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阿坝州新闻传媒中心2024年新闻纸采购。</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700,000.00</w:t>
      </w:r>
    </w:p>
    <w:p>
      <w:pPr>
        <w:pStyle w:val="4"/>
      </w:pPr>
      <w:r>
        <w:t>采购包最高限价（元）: 700,000.00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2024年新闻纸采购</w:t>
            </w:r>
          </w:p>
        </w:tc>
        <w:tc>
          <w:tcPr>
            <w:tcW w:w="848" w:type="dxa"/>
          </w:tcPr>
          <w:p>
            <w:pPr>
              <w:pStyle w:val="4"/>
              <w:jc w:val="right"/>
            </w:pPr>
            <w:r>
              <w:t>1.00</w:t>
            </w:r>
          </w:p>
        </w:tc>
        <w:tc>
          <w:tcPr>
            <w:tcW w:w="1356" w:type="dxa"/>
          </w:tcPr>
          <w:p>
            <w:pPr>
              <w:pStyle w:val="4"/>
              <w:jc w:val="right"/>
            </w:pPr>
            <w:r>
              <w:t>700,000.00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标的名称：2024年新闻纸采购</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000000"/>
                <w:sz w:val="24"/>
              </w:rPr>
              <w:t>（一）技术要求：</w:t>
            </w:r>
          </w:p>
          <w:p>
            <w:pPr>
              <w:pStyle w:val="4"/>
              <w:ind w:firstLine="480"/>
              <w:jc w:val="left"/>
            </w:pPr>
            <w:r>
              <w:rPr>
                <w:rFonts w:ascii="宋体" w:hAnsi="宋体" w:eastAsia="宋体" w:cs="宋体"/>
                <w:color w:val="000000"/>
                <w:sz w:val="24"/>
              </w:rPr>
              <w:t>1.产品规格：纸卷横幅：770mm，A 级卷筒新闻纸；复卷直径：950-1100mm 内；</w:t>
            </w:r>
          </w:p>
          <w:p>
            <w:pPr>
              <w:pStyle w:val="4"/>
              <w:ind w:firstLine="480"/>
              <w:jc w:val="left"/>
            </w:pPr>
            <w:r>
              <w:rPr>
                <w:rFonts w:ascii="宋体" w:hAnsi="宋体" w:eastAsia="宋体" w:cs="宋体"/>
                <w:color w:val="000000"/>
                <w:sz w:val="24"/>
              </w:rPr>
              <w:t>2.纸张克重：45-48g/m²；</w:t>
            </w:r>
          </w:p>
          <w:p>
            <w:pPr>
              <w:pStyle w:val="4"/>
              <w:ind w:firstLine="480"/>
              <w:jc w:val="left"/>
            </w:pPr>
            <w:r>
              <w:rPr>
                <w:rFonts w:ascii="宋体" w:hAnsi="宋体" w:eastAsia="宋体" w:cs="宋体"/>
                <w:color w:val="000000"/>
                <w:sz w:val="24"/>
              </w:rPr>
              <w:t>▲3.纵向抗张指数：≥40.0 N·m²/g；（提供具有CMA/CNAS标识的检测报告复印件并进行电子签章）</w:t>
            </w:r>
          </w:p>
          <w:p>
            <w:pPr>
              <w:pStyle w:val="4"/>
              <w:ind w:firstLine="480"/>
              <w:jc w:val="left"/>
            </w:pPr>
            <w:r>
              <w:rPr>
                <w:rFonts w:ascii="宋体" w:hAnsi="宋体" w:eastAsia="宋体" w:cs="宋体"/>
                <w:color w:val="000000"/>
                <w:sz w:val="24"/>
              </w:rPr>
              <w:t>▲4.横向撕裂指数：≥5.50 N·m²/g；（提供具有CMA/CNAS标识的检测报告复印件并进行电子签章）</w:t>
            </w:r>
          </w:p>
          <w:p>
            <w:pPr>
              <w:pStyle w:val="4"/>
              <w:ind w:firstLine="480"/>
              <w:jc w:val="left"/>
            </w:pPr>
            <w:r>
              <w:rPr>
                <w:rFonts w:ascii="宋体" w:hAnsi="宋体" w:eastAsia="宋体" w:cs="宋体"/>
                <w:color w:val="000000"/>
                <w:sz w:val="24"/>
              </w:rPr>
              <w:t>▲5.不透明度：≥93%；（提供具有CMA/CNAS标识的检测报告复印件并进行电子签章）</w:t>
            </w:r>
          </w:p>
          <w:p>
            <w:pPr>
              <w:pStyle w:val="4"/>
              <w:spacing w:after="120"/>
              <w:ind w:firstLine="480"/>
              <w:jc w:val="both"/>
            </w:pPr>
            <w:r>
              <w:rPr>
                <w:rFonts w:ascii="宋体" w:hAnsi="宋体" w:eastAsia="宋体" w:cs="宋体"/>
                <w:color w:val="000000"/>
                <w:sz w:val="24"/>
              </w:rPr>
              <w:t>▲6.平滑度：≥40秒（正、反面）；（提供具有CMA/CNAS标识的检测报告复印件</w:t>
            </w:r>
            <w:r>
              <w:rPr>
                <w:rFonts w:ascii="times new roman, times, serif" w:hAnsi="times new roman, times, serif" w:eastAsia="times new roman, times, serif" w:cs="times new roman, times, serif"/>
                <w:color w:val="000000"/>
                <w:sz w:val="24"/>
              </w:rPr>
              <w:t>并进行电子签章</w:t>
            </w:r>
            <w:r>
              <w:rPr>
                <w:rFonts w:ascii="宋体" w:hAnsi="宋体" w:eastAsia="宋体" w:cs="宋体"/>
                <w:color w:val="000000"/>
                <w:sz w:val="24"/>
              </w:rPr>
              <w:t>）</w:t>
            </w:r>
          </w:p>
          <w:p>
            <w:pPr>
              <w:pStyle w:val="4"/>
              <w:ind w:firstLine="480"/>
              <w:jc w:val="left"/>
            </w:pPr>
            <w:r>
              <w:rPr>
                <w:rFonts w:ascii="宋体" w:hAnsi="宋体" w:eastAsia="宋体" w:cs="宋体"/>
                <w:color w:val="000000"/>
                <w:sz w:val="24"/>
              </w:rPr>
              <w:t>▲7.尘埃度：（0.5-1.5）mm2﹤50个/m2；（提供具有CMA/CNAS标识的检测报告复印件并进行电子签章）</w:t>
            </w:r>
          </w:p>
          <w:p>
            <w:pPr>
              <w:pStyle w:val="4"/>
              <w:ind w:firstLine="480"/>
              <w:jc w:val="both"/>
            </w:pPr>
            <w:r>
              <w:rPr>
                <w:rFonts w:ascii="宋体" w:hAnsi="宋体" w:eastAsia="宋体" w:cs="宋体"/>
                <w:color w:val="000000"/>
                <w:sz w:val="24"/>
              </w:rPr>
              <w:t>8.水分：6-10%；</w:t>
            </w:r>
          </w:p>
          <w:p>
            <w:pPr>
              <w:pStyle w:val="4"/>
              <w:ind w:firstLine="480"/>
              <w:jc w:val="both"/>
            </w:pPr>
            <w:r>
              <w:rPr>
                <w:rFonts w:ascii="Calibri" w:hAnsi="Calibri" w:eastAsia="Calibri" w:cs="Calibri"/>
                <w:color w:val="000000"/>
                <w:sz w:val="24"/>
              </w:rPr>
              <w:t>9.</w:t>
            </w:r>
            <w:r>
              <w:rPr>
                <w:rFonts w:ascii="宋体" w:hAnsi="宋体" w:eastAsia="宋体" w:cs="宋体"/>
                <w:color w:val="000000"/>
                <w:sz w:val="24"/>
              </w:rPr>
              <w:t>印刷表面粗糙度：≤</w:t>
            </w:r>
            <w:r>
              <w:rPr>
                <w:rFonts w:ascii="Calibri" w:hAnsi="Calibri" w:eastAsia="Calibri" w:cs="Calibri"/>
                <w:color w:val="000000"/>
                <w:sz w:val="24"/>
              </w:rPr>
              <w:t>5.50</w:t>
            </w:r>
            <w:r>
              <w:rPr>
                <w:rFonts w:ascii="宋体" w:hAnsi="宋体" w:eastAsia="宋体" w:cs="宋体"/>
                <w:color w:val="000000"/>
                <w:sz w:val="24"/>
              </w:rPr>
              <w:t>μ</w:t>
            </w:r>
            <w:r>
              <w:rPr>
                <w:rFonts w:ascii="Calibri" w:hAnsi="Calibri" w:eastAsia="Calibri" w:cs="Calibri"/>
                <w:color w:val="000000"/>
                <w:sz w:val="24"/>
              </w:rPr>
              <w:t>m</w:t>
            </w:r>
            <w:r>
              <w:rPr>
                <w:rFonts w:ascii="宋体" w:hAnsi="宋体" w:eastAsia="宋体" w:cs="宋体"/>
                <w:color w:val="000000"/>
                <w:sz w:val="24"/>
              </w:rPr>
              <w:t>（正、反面）；</w:t>
            </w:r>
          </w:p>
          <w:p>
            <w:pPr>
              <w:pStyle w:val="4"/>
              <w:ind w:firstLine="480"/>
              <w:jc w:val="both"/>
            </w:pPr>
            <w:r>
              <w:rPr>
                <w:rFonts w:ascii="Calibri" w:hAnsi="Calibri" w:eastAsia="Calibri" w:cs="Calibri"/>
                <w:color w:val="000000"/>
                <w:sz w:val="24"/>
              </w:rPr>
              <w:t>10.</w:t>
            </w:r>
            <w:r>
              <w:rPr>
                <w:rFonts w:ascii="宋体" w:hAnsi="宋体" w:eastAsia="宋体" w:cs="宋体"/>
                <w:color w:val="000000"/>
                <w:sz w:val="24"/>
              </w:rPr>
              <w:t>接头率</w:t>
            </w:r>
            <w:r>
              <w:rPr>
                <w:rFonts w:ascii="Calibri" w:hAnsi="Calibri" w:eastAsia="Calibri" w:cs="Calibri"/>
                <w:color w:val="000000"/>
                <w:sz w:val="24"/>
              </w:rPr>
              <w:t>:0</w:t>
            </w:r>
            <w:r>
              <w:rPr>
                <w:rFonts w:ascii="宋体" w:hAnsi="宋体" w:eastAsia="宋体" w:cs="宋体"/>
                <w:color w:val="000000"/>
                <w:sz w:val="24"/>
              </w:rPr>
              <w:t>；</w:t>
            </w:r>
          </w:p>
          <w:p>
            <w:pPr>
              <w:pStyle w:val="4"/>
              <w:ind w:firstLine="480"/>
              <w:jc w:val="both"/>
            </w:pPr>
            <w:r>
              <w:rPr>
                <w:rFonts w:ascii="Calibri" w:hAnsi="Calibri" w:eastAsia="Calibri" w:cs="Calibri"/>
                <w:color w:val="000000"/>
                <w:sz w:val="24"/>
              </w:rPr>
              <w:t>11.</w:t>
            </w:r>
            <w:r>
              <w:rPr>
                <w:rFonts w:ascii="宋体" w:hAnsi="宋体" w:eastAsia="宋体" w:cs="宋体"/>
                <w:color w:val="000000"/>
                <w:sz w:val="24"/>
              </w:rPr>
              <w:t>破损率</w:t>
            </w:r>
            <w:r>
              <w:rPr>
                <w:rFonts w:ascii="Calibri" w:hAnsi="Calibri" w:eastAsia="Calibri" w:cs="Calibri"/>
                <w:color w:val="000000"/>
                <w:sz w:val="24"/>
              </w:rPr>
              <w:t>:0</w:t>
            </w:r>
            <w:r>
              <w:rPr>
                <w:rFonts w:ascii="宋体" w:hAnsi="宋体" w:eastAsia="宋体" w:cs="宋体"/>
                <w:color w:val="000000"/>
                <w:sz w:val="24"/>
              </w:rPr>
              <w:t>；</w:t>
            </w:r>
          </w:p>
          <w:p>
            <w:pPr>
              <w:pStyle w:val="4"/>
              <w:ind w:firstLine="480"/>
              <w:jc w:val="both"/>
            </w:pPr>
            <w:r>
              <w:rPr>
                <w:rFonts w:ascii="Calibri" w:hAnsi="Calibri" w:eastAsia="Calibri" w:cs="Calibri"/>
                <w:color w:val="000000"/>
                <w:sz w:val="24"/>
              </w:rPr>
              <w:t>12.</w:t>
            </w:r>
            <w:r>
              <w:rPr>
                <w:rFonts w:ascii="宋体" w:hAnsi="宋体" w:eastAsia="宋体" w:cs="宋体"/>
                <w:color w:val="000000"/>
                <w:sz w:val="24"/>
              </w:rPr>
              <w:t>卷筒芯内径</w:t>
            </w:r>
            <w:r>
              <w:rPr>
                <w:rFonts w:ascii="Calibri" w:hAnsi="Calibri" w:eastAsia="Calibri" w:cs="Calibri"/>
                <w:color w:val="000000"/>
                <w:sz w:val="24"/>
              </w:rPr>
              <w:t>76mm</w:t>
            </w:r>
          </w:p>
          <w:p>
            <w:pPr>
              <w:pStyle w:val="4"/>
              <w:ind w:firstLine="480"/>
              <w:jc w:val="both"/>
            </w:pPr>
            <w:r>
              <w:rPr>
                <w:rFonts w:ascii="Calibri" w:hAnsi="Calibri" w:eastAsia="Calibri" w:cs="Calibri"/>
                <w:color w:val="000000"/>
                <w:sz w:val="24"/>
              </w:rPr>
              <w:t>13.</w:t>
            </w:r>
            <w:r>
              <w:rPr>
                <w:rFonts w:ascii="宋体" w:hAnsi="宋体" w:eastAsia="宋体" w:cs="宋体"/>
                <w:color w:val="000000"/>
                <w:sz w:val="24"/>
              </w:rPr>
              <w:t>纸面要求：纸面平整，不应有洞眼、裂口、褶子、疙瘩、汽斑、玻璃花、压爆等外观纸病，印刷中不应掉粉掉毛；</w:t>
            </w:r>
          </w:p>
          <w:p>
            <w:pPr>
              <w:pStyle w:val="4"/>
              <w:ind w:firstLine="480"/>
              <w:jc w:val="both"/>
            </w:pPr>
            <w:r>
              <w:rPr>
                <w:rFonts w:ascii="Calibri" w:hAnsi="Calibri" w:eastAsia="Calibri" w:cs="Calibri"/>
                <w:color w:val="000000"/>
                <w:sz w:val="24"/>
              </w:rPr>
              <w:t>14.</w:t>
            </w:r>
            <w:r>
              <w:rPr>
                <w:rFonts w:ascii="宋体" w:hAnsi="宋体" w:eastAsia="宋体" w:cs="宋体"/>
                <w:color w:val="000000"/>
                <w:sz w:val="24"/>
              </w:rPr>
              <w:t>投标人</w:t>
            </w:r>
            <w:r>
              <w:rPr>
                <w:rFonts w:ascii="Calibri" w:hAnsi="Calibri" w:eastAsia="Calibri" w:cs="Calibri"/>
                <w:color w:val="000000"/>
                <w:sz w:val="24"/>
              </w:rPr>
              <w:t>(</w:t>
            </w:r>
            <w:r>
              <w:rPr>
                <w:rFonts w:ascii="宋体" w:hAnsi="宋体" w:eastAsia="宋体" w:cs="宋体"/>
                <w:color w:val="000000"/>
                <w:sz w:val="24"/>
              </w:rPr>
              <w:t>或生产厂商）具有连续供货能力或连续生产能力。</w:t>
            </w:r>
          </w:p>
          <w:p>
            <w:pPr>
              <w:pStyle w:val="4"/>
              <w:ind w:firstLine="480"/>
              <w:jc w:val="both"/>
            </w:pPr>
            <w:r>
              <w:rPr>
                <w:rFonts w:ascii="Calibri" w:hAnsi="Calibri" w:eastAsia="Calibri" w:cs="Calibri"/>
                <w:color w:val="000000"/>
                <w:sz w:val="24"/>
              </w:rPr>
              <w:t>15.</w:t>
            </w:r>
            <w:r>
              <w:rPr>
                <w:rFonts w:ascii="宋体" w:hAnsi="宋体" w:eastAsia="宋体" w:cs="宋体"/>
                <w:color w:val="000000"/>
                <w:sz w:val="24"/>
              </w:rPr>
              <w:t>外包装：牛皮纸不少于</w:t>
            </w:r>
            <w:r>
              <w:rPr>
                <w:rFonts w:ascii="Calibri" w:hAnsi="Calibri" w:eastAsia="Calibri" w:cs="Calibri"/>
                <w:color w:val="000000"/>
                <w:sz w:val="24"/>
              </w:rPr>
              <w:t>2</w:t>
            </w:r>
            <w:r>
              <w:rPr>
                <w:rFonts w:ascii="宋体" w:hAnsi="宋体" w:eastAsia="宋体" w:cs="宋体"/>
                <w:color w:val="000000"/>
                <w:sz w:val="24"/>
              </w:rPr>
              <w:t>层，拉力强、防潮、不易破损</w:t>
            </w:r>
          </w:p>
          <w:p>
            <w:pPr>
              <w:pStyle w:val="4"/>
              <w:jc w:val="both"/>
            </w:pPr>
            <w:r>
              <w:rPr>
                <w:rFonts w:ascii="宋体" w:hAnsi="宋体" w:eastAsia="宋体" w:cs="宋体"/>
                <w:b/>
                <w:color w:val="000000"/>
                <w:sz w:val="24"/>
              </w:rPr>
              <w:t>（二）服务要求</w:t>
            </w:r>
          </w:p>
          <w:p>
            <w:pPr>
              <w:pStyle w:val="4"/>
              <w:ind w:firstLine="480"/>
              <w:jc w:val="both"/>
            </w:pPr>
            <w:r>
              <w:rPr>
                <w:rFonts w:ascii="宋体" w:hAnsi="宋体" w:eastAsia="宋体" w:cs="宋体"/>
                <w:color w:val="000000"/>
                <w:sz w:val="24"/>
              </w:rPr>
              <w:t>1.采购人在合同履行期间，按照实际需要向中标（成交）供应商进行采购，每次采购单独据实结算。中标（成交）供应商在收到采购人的采购通知后</w:t>
            </w:r>
            <w:r>
              <w:rPr>
                <w:rFonts w:ascii="Calibri" w:hAnsi="Calibri" w:eastAsia="Calibri" w:cs="Calibri"/>
                <w:color w:val="000000"/>
                <w:sz w:val="24"/>
              </w:rPr>
              <w:t>1</w:t>
            </w:r>
            <w:r>
              <w:rPr>
                <w:rFonts w:ascii="宋体" w:hAnsi="宋体" w:eastAsia="宋体" w:cs="宋体"/>
                <w:color w:val="000000"/>
                <w:sz w:val="24"/>
              </w:rPr>
              <w:t>个工作日内，按采购人要求备齐货物。</w:t>
            </w:r>
          </w:p>
          <w:p>
            <w:pPr>
              <w:pStyle w:val="4"/>
              <w:ind w:firstLine="480"/>
              <w:jc w:val="both"/>
            </w:pPr>
            <w:r>
              <w:rPr>
                <w:rFonts w:ascii="宋体" w:hAnsi="宋体" w:eastAsia="宋体" w:cs="宋体"/>
                <w:color w:val="000000"/>
                <w:sz w:val="24"/>
              </w:rPr>
              <w:t>2.所有货物应该符合质量检验、监督等部门的相关质量要求，能出具相关部门最近</w:t>
            </w:r>
            <w:r>
              <w:rPr>
                <w:rFonts w:ascii="Calibri" w:hAnsi="Calibri" w:eastAsia="Calibri" w:cs="Calibri"/>
                <w:color w:val="000000"/>
                <w:sz w:val="24"/>
              </w:rPr>
              <w:t>6</w:t>
            </w:r>
            <w:r>
              <w:rPr>
                <w:rFonts w:ascii="宋体" w:hAnsi="宋体" w:eastAsia="宋体" w:cs="宋体"/>
                <w:color w:val="000000"/>
                <w:sz w:val="24"/>
              </w:rPr>
              <w:t>个月内的质检报告。</w:t>
            </w:r>
          </w:p>
          <w:p>
            <w:pPr>
              <w:pStyle w:val="4"/>
              <w:ind w:firstLine="480"/>
              <w:jc w:val="both"/>
            </w:pPr>
            <w:r>
              <w:rPr>
                <w:rFonts w:ascii="宋体" w:hAnsi="宋体" w:eastAsia="宋体" w:cs="宋体"/>
                <w:color w:val="000000"/>
                <w:sz w:val="24"/>
              </w:rPr>
              <w:t>3.中标（成交）供应商向采购人所提供包装货物的包装、标签、标识等必须完好无破损、安全卫生、无毒无害，符合国家法律法规政策的规定和相关标准要求。标签、标识等贴放在醒目位置，必须标明产品的名称、生产厂名、厂址等，内容描述必须真实、完整、准确、规范，字迹清晰可辨，不易擦除、脱落，不得手写。</w:t>
            </w:r>
          </w:p>
          <w:p>
            <w:pPr>
              <w:pStyle w:val="4"/>
              <w:ind w:firstLine="480"/>
              <w:jc w:val="both"/>
            </w:pPr>
            <w:r>
              <w:rPr>
                <w:rFonts w:ascii="Calibri" w:hAnsi="Calibri" w:eastAsia="Calibri" w:cs="Calibri"/>
                <w:color w:val="000000"/>
                <w:sz w:val="24"/>
              </w:rPr>
              <w:t>4.</w:t>
            </w:r>
            <w:r>
              <w:rPr>
                <w:rFonts w:ascii="宋体" w:hAnsi="宋体" w:eastAsia="宋体" w:cs="宋体"/>
                <w:color w:val="000000"/>
                <w:sz w:val="24"/>
              </w:rPr>
              <w:t>货物验收由采购人进行现场检验，对中标（成交）供应商所供应货物的品名、数量确认无误，质量符合采购文件要求，视为验收合格，双方经办人在采购人提供的签收单上签字确认，各自留存，作为结算依据。</w:t>
            </w:r>
          </w:p>
          <w:p>
            <w:pPr>
              <w:pStyle w:val="4"/>
              <w:ind w:firstLine="480"/>
              <w:jc w:val="both"/>
            </w:pPr>
            <w:r>
              <w:rPr>
                <w:rFonts w:ascii="Calibri" w:hAnsi="Calibri" w:eastAsia="Calibri" w:cs="Calibri"/>
                <w:color w:val="000000"/>
                <w:sz w:val="24"/>
              </w:rPr>
              <w:t>5.</w:t>
            </w:r>
            <w:r>
              <w:rPr>
                <w:rFonts w:ascii="宋体" w:hAnsi="宋体" w:eastAsia="宋体" w:cs="宋体"/>
                <w:color w:val="000000"/>
                <w:sz w:val="24"/>
              </w:rPr>
              <w:t>在验收时，若采购人发现货物损耗偏高或其他非正常情况，中标（成交）供应商应及时弥补或更换；若货物品名、型号等不符合要求的，一律退回，中标（成交）供应商无条件按采购人要求重新更换货物。若弥补或更换后仍然不符合要求的，视为验收不合格。</w:t>
            </w:r>
          </w:p>
          <w:p>
            <w:pPr>
              <w:pStyle w:val="4"/>
            </w:pP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采购人按季度据实结算新闻纸配送费用，第一季度配送结束后，次月支付费用时供应商应向采购人开具并提交符合采购人要求的合规发票（如逾期提交发票或所提交发票不合规的，付款期限顺延。），采购人在收到费用发票后 ，达到付款条件起 15 日内，支付合同总金额的 25.00%。</w:t>
      </w:r>
    </w:p>
    <w:p>
      <w:pPr>
        <w:pStyle w:val="4"/>
      </w:pPr>
      <w:r>
        <w:t>采购包1： 付款条件说明： 采购人按季度据实结算新闻纸配送费用，第二季度配送结束后，次月支付费用时供应商应向采购人开具并提交符合采购人要求的合规发票（如逾期提交发票或所提交发票不合规的，付款期限顺延。），采购人在收到费用发票后 ，达到付款条件起 15 日内，支付合同总金额的 25.00%。</w:t>
      </w:r>
    </w:p>
    <w:p>
      <w:pPr>
        <w:pStyle w:val="4"/>
      </w:pPr>
      <w:r>
        <w:t>采购包1： 付款条件说明： 采购人按季度据实结算新闻纸配送费用，第三季度配送结束后，次月支付费用时供应商应向采购人开具并提交符合采购人要求的合规发票（如逾期提交发票或所提交发票不合规的，付款期限顺延。），采购人在收到费用发票后， ，达到付款条件起 15 日内，支付合同总金额的 25.00%。</w:t>
      </w:r>
    </w:p>
    <w:p>
      <w:pPr>
        <w:pStyle w:val="4"/>
      </w:pPr>
      <w:r>
        <w:t>采购包1： 付款条件说明： 采购人按季度据实结算新闻纸配送费用，第四季度配送结束后，次月支付费用时供应商应向采购人开具并提交符合采购人要求的合规发票（如逾期提交发票或所提交发票不合规的，付款期限顺延。），采购人在收到费用发票后， ，达到付款条件起 15 日内，支付合同总金额的 25.00%。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采购人将严格按照政府采购相关法律法规以及《财政部关于进一步加强政府采购需求和履约验收管理的指导意见》(财库〔2016〕205号)、本项目采购文件、响应文件的要求进行验收。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采购人验收合格后6个月。质保期内出现的质量问题由中标（成交）供应商无偿负责更换并承担相应的赔偿责任。</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在执行本合同中发生的或与本合同有关的争端，双方应通过友好协商解决，经协商在10天内不能达成协议时，应提交项目所在地仲裁委员会仲裁。2、仲裁裁决应为最终决定，并对双方具有约束力。3、除另有裁决外，仲裁费应由败诉方负担。4、在仲裁期间，除正在进行仲裁部分外，合同其他部分继续执行。</w:t>
      </w:r>
    </w:p>
    <w:p>
      <w:pPr>
        <w:pStyle w:val="4"/>
        <w:jc w:val="left"/>
        <w:outlineLvl w:val="2"/>
      </w:pPr>
      <w:r>
        <w:rPr>
          <w:b/>
          <w:sz w:val="28"/>
        </w:rPr>
        <w:t>3.5其他要求</w:t>
      </w:r>
    </w:p>
    <w:p>
      <w:pPr>
        <w:pStyle w:val="4"/>
      </w:pPr>
    </w:p>
    <w:p>
      <w:pPr>
        <w:pStyle w:val="4"/>
      </w:pPr>
    </w:p>
    <w:p>
      <w:pPr>
        <w:pStyle w:val="4"/>
      </w:pPr>
      <w:r>
        <w:t xml:space="preserve"> ★1、因系统固化，“3.2采购内容”采购包预算金额/最高限价不适用，以此为准：采购包预算金额：70万元，采购包最高限价：单价限价6150元/吨，供应商报价不高于本项目最高限价；★2、供应商投标文件报价时，按照单价报价，单价限价6150元/吨，报价不高于本项目单价限价。★3、因系统固化，“3.4.4支付约定”不适用，以此为准：付款条件说明：采购人按季度据实结算新闻纸配送费用，每季度配送结束后，次月支付费用时供应商应向采购人开具并提交符合采购人要求的合规发票（如逾期提交发票或所提交发票不合规的，付款期限顺延。），采购人在收到费用发票后，达到付款条件起15日，支付上季度新闻纸费用。4、因系统固化，“★”符号部分板块无法添加，在此说明：采购文件第三章中“3.4商务要求”的参数内容均为实质性要求，供应商不满足的，将做废标处理。</w:t>
      </w:r>
    </w:p>
    <w:p>
      <w:pPr>
        <w:pStyle w:val="4"/>
      </w:pPr>
    </w:p>
    <w:p>
      <w:pPr>
        <w:pStyle w:val="4"/>
      </w:pPr>
      <w: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Y2E2ZTM4MDRmN2FkODFiYTgyMGJlMTUwMzY1MDIifQ=="/>
  </w:docVars>
  <w:rsids>
    <w:rsidRoot w:val="512F510F"/>
    <w:rsid w:val="512F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2024-03-28T09:38:00Z</dcterms:created>
  <dc:creator>陈先生</dc:creator>
  <cp:lastModifiedBy>陈先生</cp:lastModifiedBy>
  <dcterms:modified xsi:type="dcterms:W3CDTF">2024-03-28T09:39:42Z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2745166C6D3F4F4F9659DEA8AA28629A_11</vt:lpwstr>
  </property>
</Properties>
</file>