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采购需求</w:t>
      </w:r>
      <w:bookmarkStart w:id="0" w:name="_GoBack"/>
      <w:bookmarkEnd w:id="0"/>
    </w:p>
    <w:p>
      <w:pPr>
        <w:pStyle w:val="4"/>
        <w:ind w:firstLine="480"/>
      </w:pPr>
      <w: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outlineLvl w:val="2"/>
      </w:pPr>
      <w:r>
        <w:rPr>
          <w:b/>
          <w:sz w:val="28"/>
        </w:rPr>
        <w:t>3.1、采购项目概况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地热资源是一种清洁低碳、储量丰富、安全优质的可再生能源，发展前景广阔，市场潜力巨大。大力开发利用地热资源，对深入贯彻习近平生态文明思想，落实“碳达峰、碳中和”目标具有重要意义。壤古温泉属中高温地热资源，富含氟、锂、偏硅酸、偏硼酸、锶，属于比较优质的热矿水，尤其是富锂热水在阿坝州以及全省地热水中少见，其对防治心血管疾病具有较好的理疗作用，具有极高的医疗价值和开发价值。但通过近 3 年的长期动态观测，壤古温泉现有出水点温度偏低，井口水温仅 39.5℃，水量不稳定，易出现间歇性断流，制约了地热资源后期的开发利用。依据《壤塘县壤古温泉水文地质调查评价报告》成果认识，壤古温泉在 400m 孔深处仍有进一步探寻优质热矿水的潜力。因此，开展壤塘县壤古温泉地热资源钻探施工项目，进一步探明 400m 以浅地热资源赋存情况，以揭露流量更大、温度更高、水质更为优质的地热资源。</w:t>
      </w:r>
    </w:p>
    <w:p>
      <w:pPr>
        <w:pStyle w:val="4"/>
        <w:outlineLvl w:val="2"/>
      </w:pPr>
      <w:r>
        <w:rPr>
          <w:b/>
          <w:sz w:val="28"/>
        </w:rPr>
        <w:t>3.2、服务内容及服务要求</w:t>
      </w:r>
    </w:p>
    <w:p>
      <w:pPr>
        <w:pStyle w:val="4"/>
        <w:outlineLvl w:val="3"/>
      </w:pPr>
      <w:r>
        <w:rPr>
          <w:b/>
          <w:sz w:val="24"/>
        </w:rPr>
        <w:t>3.2.1服务内容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670,000.00</w:t>
      </w:r>
    </w:p>
    <w:p>
      <w:pPr>
        <w:pStyle w:val="4"/>
      </w:pPr>
      <w:r>
        <w:t>采购包最高限价（元）: 670,000.00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壤塘县壤古温泉地热资源钻探施工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670,000.00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项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3.2.2服务要求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标的名称：壤塘县壤古温泉地热资源钻探施工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711"/>
        <w:gridCol w:w="310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b/>
                <w:color w:val="000000"/>
                <w:sz w:val="28"/>
              </w:rPr>
              <w:t>一、项目概况</w:t>
            </w:r>
            <w:r>
              <w:br w:type="textWrapping"/>
            </w:r>
            <w:r>
              <w:rPr>
                <w:rFonts w:ascii="宋体" w:hAnsi="宋体" w:eastAsia="宋体" w:cs="宋体"/>
                <w:sz w:val="24"/>
              </w:rPr>
              <w:t xml:space="preserve">   地热资源是一种清洁低碳、储量丰富、安全优质的可再生能源，发展前景广阔，市场潜力巨大。大力开发利用地热资源，对深入贯彻习近平生态文明思想，落实“碳达峰、碳中和”目标具有重要意义。壤古温泉属中高温地热资源，富含氟、锂、偏硅酸、偏硼酸、锶，属于比较优质的热矿水，尤其是富锂热水在阿坝州以及全省地热水中少见，其对防治心血管疾病具有较好的理疗作用，具有极高的医疗价值和开发价值。但通过近 3 年的长期动态观测，壤古温泉现有出水点温度偏低，井口水温仅39.5℃，水量不稳定，易出现间歇性断流，制约了地热资源后期的开发利用。依据《壤塘县壤古温泉水文地质调查评价报告》成果认识，壤古温泉在 400m 孔深处仍有进一步探寻优质热矿水的潜力。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因此，开展壤塘县壤古温泉地热资源钻探施工项目，进一步探明</w:t>
            </w:r>
            <w:r>
              <w:rPr>
                <w:rFonts w:ascii="&quot;times new roman&quot;" w:hAnsi="&quot;times new roman&quot;" w:eastAsia="&quot;times new roman&quot;" w:cs="&quot;times new roman&quot;"/>
                <w:color w:val="000000"/>
                <w:sz w:val="24"/>
              </w:rPr>
              <w:t xml:space="preserve">400m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以浅地热资源赋存情况，以揭露流量更大、温度更高、水质更为优质的地热资源。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b/>
                <w:color w:val="000000"/>
                <w:sz w:val="28"/>
              </w:rPr>
              <w:t>二、技术路线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  为顺利实施壤塘县壤古温泉地热资源钻探施工项目，完成本次工作任务，工作手段主要以钻探施工为主导，同时开展固井作业、抽水试验和采样测试等其他配套工程，达到初步查明壤古温泉400m 以浅的地层岩性、结构、构造特征、地温的垂向变化，了解热储的富水性、渗透性、地热资源产能等特征，评价允许开采量和开发潜力的目的。本次地热钻探工作执行以下技术路线：1、充分收集工作区基础地质资料、实钻资料，分析工作区构造、地层层序及岩性组合，分析确定施工重点和难点，制定控制措施。2、系统实地踏勘，合理归划和建设井场，做好土地临时租用工作，修建井场及钻机基础。3、严格按照工作方案要求实施钻井施工。4、根据《壤塘县壤古温泉地热资源钻探施工实施方案》要求进行固井、洗井和抽水试验工作。5、实时做好工程资料的记录、整理和分析，注意各工程工作人员的配合。6、安装简易装置保护井口，钻井设备解体，垃圾废水处理及井场恢复，做好环境恢复工作。</w:t>
            </w:r>
            <w: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sz w:val="28"/>
              </w:rPr>
              <w:t>三、技术要求与工作方法</w:t>
            </w:r>
            <w: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sz w:val="2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依据相关的规程、规范及有关文件、项目工作部署方案和技术路线，按照“总体规划，阶段实施”的思路，制定项目实施计划，确定相应的工作方法。根据本项目的任务要求和各阶段工作的特点，可分为钻前工程、钻井工程、样品分析测试、钻后治理等。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本次委托业务为地热井钻探，执行的技术规范与质量要求包括但不限于：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《地热资源地质勘查规范》（GB/T 11615-2010）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《地热钻探技术规程》（DZ0260-2014）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《地热资源评价方法及估算规程》（DZ/T 0331-2020）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《天然矿泉水资源地质勘查规范》（GB/T13727-2016）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《水文地质术语》（GB/T 14157-2023）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《地下水动态监测规程》（DZT0133-1994）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《井身结构设计方法》（SY/T5431-2017）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《套管柱结构与强度设计》（SY/T 5724-2008）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《水热型地热井钻井井控技术规程》（NB／T 10708-2021）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《固井设计规范》（SY/T5480-2016）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《测井作业设计规范》（SY/T 6691-2014）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（测井作业安全规程）（SY/T 5726-2018）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《钻井工程设计格式》（SY/T 5333—2012）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《钻前工程及井场布置技术要求》（SY/T 5466—2013）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《钻井井场、设备、作业安全技术规程》（SY 5974—2014）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《钻井液净化设备配套、安装、使用和维护》（SY/T 6223—2013）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《开钻前验收项目及要求》（SY/T 5954—2004）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《钻井井身质量控制规范》（SY/T 5088—2017）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《下套管作业规程》（SY/T 5412—2016）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《固井作业规程第1 部分：常规固井》（SY/T 5374.1—2016）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《固井质量评价方法》（SY/T 6592—2016）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《钻井井控装置组合配套安装调试与维护》（SY/T 5964—2006）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《工程测量通用规范》（GB 55018-2021）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《矿产资源综合勘查评价规范》（GB/T25283-2010）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《污水综合排放标准》（GB8978-1996）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《录井资料质量评定规范》(Q/SH0193-2008)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《下套管作业规程》（SY 5412-2016）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《套管柱试压规范》（SY/T 5467-2007）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《钻井完井交接验收规则》（SY/T 5678—2017）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《钻井液净化设备配套、安装、使用和维护》（SY/T 6223—2013）壤塘县壤古温泉地热资源钻探施工任务书。</w:t>
            </w:r>
            <w: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sz w:val="28"/>
              </w:rPr>
              <w:t>四、工作内容</w:t>
            </w:r>
          </w:p>
          <w:p>
            <w:pPr>
              <w:pStyle w:val="4"/>
              <w:spacing w:before="150"/>
              <w:ind w:firstLine="500"/>
            </w:pPr>
            <w:r>
              <w:rPr>
                <w:rFonts w:ascii="宋体" w:hAnsi="宋体" w:eastAsia="宋体" w:cs="宋体"/>
                <w:sz w:val="24"/>
              </w:rPr>
              <w:t>根据项目的技术要求、技术特点和作业次序，本项目可分为钻前施工、钻井施工、测井作业、固井作业、成井作业、抽水试验（产能测试）、样品采集与测试、钻后治理等。主要工作内容和主要工作量见(表1)和(表2)。</w:t>
            </w:r>
          </w:p>
          <w:p>
            <w:pPr>
              <w:pStyle w:val="4"/>
            </w:pPr>
            <w:r>
              <w:rPr>
                <w:rFonts w:ascii="宋体" w:hAnsi="宋体" w:eastAsia="宋体" w:cs="宋体"/>
                <w:b/>
                <w:sz w:val="24"/>
              </w:rPr>
              <w:t>表1 主要工作内容表</w:t>
            </w:r>
          </w:p>
          <w:tbl>
            <w:tblPr>
              <w:tblStyle w:val="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0"/>
              <w:gridCol w:w="450"/>
              <w:gridCol w:w="1022"/>
              <w:gridCol w:w="879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序号</w:t>
                  </w:r>
                </w:p>
              </w:tc>
              <w:tc>
                <w:tcPr>
                  <w:tcW w:w="4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阶段</w:t>
                  </w:r>
                </w:p>
              </w:tc>
              <w:tc>
                <w:tcPr>
                  <w:tcW w:w="10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主要工作内容</w:t>
                  </w:r>
                </w:p>
              </w:tc>
              <w:tc>
                <w:tcPr>
                  <w:tcW w:w="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实施方案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实施方案编制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2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钻前施工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临时用地租用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开工验收合格后进入下一个阶段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42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井场设备基础建设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42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设备搬迁、安装和调试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钻井施工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钻井施工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一开、二开、三开验收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固井作业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各开次固井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5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成井作业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洗井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42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完井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抽水试验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按规范要求进行三个降次的抽水试验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样品采集测试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按规范要求采集热储层热水样品，并及时送检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钻后治理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对废水、废渣进行无害化处理、填埋，恢复井场地貌、环保交井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</w:tbl>
          <w:p>
            <w:pPr>
              <w:pStyle w:val="4"/>
            </w:pPr>
          </w:p>
          <w:p>
            <w:pPr>
              <w:pStyle w:val="4"/>
            </w:pPr>
            <w:r>
              <w:rPr>
                <w:rFonts w:ascii="宋体" w:hAnsi="宋体" w:eastAsia="宋体" w:cs="宋体"/>
                <w:b/>
                <w:sz w:val="24"/>
              </w:rPr>
              <w:t>表2主要实物工作量表</w:t>
            </w:r>
          </w:p>
          <w:tbl>
            <w:tblPr>
              <w:tblStyle w:val="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0"/>
              <w:gridCol w:w="840"/>
              <w:gridCol w:w="360"/>
              <w:gridCol w:w="480"/>
              <w:gridCol w:w="840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序号</w:t>
                  </w:r>
                </w:p>
              </w:tc>
              <w:tc>
                <w:tcPr>
                  <w:tcW w:w="6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工作内容</w:t>
                  </w:r>
                </w:p>
              </w:tc>
              <w:tc>
                <w:tcPr>
                  <w:tcW w:w="3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计量单位</w:t>
                  </w:r>
                </w:p>
              </w:tc>
              <w:tc>
                <w:tcPr>
                  <w:tcW w:w="3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工作量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实施方案编制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份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钻前工程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井次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地热钻探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固井作业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井次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一开、二开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洗井作业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井次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洗井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6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成井作业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Φ150mm成井管材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7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抽（放）水试验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台班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按水文地质抽（放）水试验标准进行抽（放）水试验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8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水样取样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个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依据热储层类型采集热矿水样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9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钻后治理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井次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宋体" w:hAnsi="宋体" w:eastAsia="宋体" w:cs="宋体"/>
                      <w:sz w:val="24"/>
                    </w:rPr>
                    <w:t>无害化处理、井场恢复、环保交井</w:t>
                  </w:r>
                </w:p>
              </w:tc>
            </w:tr>
          </w:tbl>
          <w:p>
            <w:pPr>
              <w:pStyle w:val="4"/>
              <w:jc w:val="both"/>
            </w:pPr>
          </w:p>
        </w:tc>
      </w:tr>
    </w:tbl>
    <w:p>
      <w:pPr>
        <w:pStyle w:val="4"/>
        <w:outlineLvl w:val="3"/>
      </w:pPr>
      <w:r>
        <w:rPr>
          <w:b/>
          <w:sz w:val="24"/>
        </w:rPr>
        <w:t>3.2.3人员配置要求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详见服务要求</w:t>
      </w:r>
    </w:p>
    <w:p>
      <w:pPr>
        <w:pStyle w:val="4"/>
        <w:outlineLvl w:val="3"/>
      </w:pPr>
      <w:r>
        <w:rPr>
          <w:b/>
          <w:sz w:val="24"/>
        </w:rPr>
        <w:t>3.2.4设施设备要求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详见服务要求</w:t>
      </w:r>
    </w:p>
    <w:p>
      <w:pPr>
        <w:pStyle w:val="4"/>
        <w:outlineLvl w:val="3"/>
      </w:pPr>
      <w:r>
        <w:rPr>
          <w:b/>
          <w:sz w:val="24"/>
        </w:rPr>
        <w:t>3.2.5其他要求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供应商提供项目整体实施方案:(1)项目需求及现状分析包括但不限于：①项目需求与现状分析、②项目区域地质认识、③项目实施重难点分析、④工作目标；(2)工作部署、工作方法和技术路线包括但不限于：①项目技术路线、②工作方法及技术要求、③钻井施工设计、④工作量及工作布置；(3)进度计划及保证措施包括但不限于：①进度计划、②组织保障措施、③质量保障措施、④安全及环境保护措施；(4)后续服务方案包括但不限于：①服务方式、②服务技术力量人员及保障措施。</w:t>
      </w:r>
    </w:p>
    <w:p>
      <w:pPr>
        <w:pStyle w:val="4"/>
        <w:outlineLvl w:val="2"/>
      </w:pPr>
      <w:r>
        <w:rPr>
          <w:b/>
          <w:sz w:val="28"/>
        </w:rPr>
        <w:t>3.3、商务要求</w:t>
      </w:r>
    </w:p>
    <w:p>
      <w:pPr>
        <w:pStyle w:val="4"/>
        <w:outlineLvl w:val="3"/>
      </w:pPr>
      <w:r>
        <w:rPr>
          <w:b/>
          <w:sz w:val="24"/>
        </w:rPr>
        <w:t>3.3.1服务期限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自合同签订之日起90日</w:t>
      </w:r>
    </w:p>
    <w:p>
      <w:pPr>
        <w:pStyle w:val="4"/>
        <w:outlineLvl w:val="3"/>
      </w:pPr>
      <w:r>
        <w:rPr>
          <w:b/>
          <w:sz w:val="24"/>
        </w:rPr>
        <w:t>3.3.2服务地点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以合同约定为准</w:t>
      </w:r>
    </w:p>
    <w:p>
      <w:pPr>
        <w:pStyle w:val="4"/>
        <w:outlineLvl w:val="3"/>
      </w:pPr>
      <w:r>
        <w:rPr>
          <w:b/>
          <w:sz w:val="24"/>
        </w:rPr>
        <w:t>3.3.3考核（验收）标准和方法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根据本项目磋商文件、供应商响应文件、政府采购相关法律法规及《财政部关于进一步加强政府采购需求和履约验收管理的指导意见》（财库〔2016〕205号）的要求进行验收。</w:t>
      </w:r>
    </w:p>
    <w:p>
      <w:pPr>
        <w:pStyle w:val="4"/>
        <w:jc w:val="left"/>
        <w:outlineLvl w:val="3"/>
      </w:pPr>
      <w:r>
        <w:rPr>
          <w:b/>
          <w:sz w:val="24"/>
        </w:rPr>
        <w:t>3.3.4支付方式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b/>
          <w:sz w:val="24"/>
        </w:rPr>
        <w:t>3.3.5支付约定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合同签订生效后 ，达到付款条件起 15 日内，支付合同总金额的 40.00%。</w:t>
      </w:r>
    </w:p>
    <w:p>
      <w:pPr>
        <w:pStyle w:val="4"/>
      </w:pPr>
      <w:r>
        <w:t>采购包1： 付款条件说明： 完成项目所有工作内容并通过验收后 ，达到付款条件起 15 日内，支付合同总金额的 60.00%。</w:t>
      </w:r>
    </w:p>
    <w:p>
      <w:pPr>
        <w:pStyle w:val="4"/>
        <w:outlineLvl w:val="3"/>
      </w:pPr>
      <w:r>
        <w:rPr>
          <w:b/>
          <w:sz w:val="24"/>
        </w:rPr>
        <w:t>3.3.6违约责任及解决争议的方法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以合同约定为准</w:t>
      </w:r>
    </w:p>
    <w:p>
      <w:pPr>
        <w:pStyle w:val="4"/>
        <w:jc w:val="left"/>
        <w:outlineLvl w:val="2"/>
      </w:pPr>
      <w:r>
        <w:rPr>
          <w:b/>
          <w:sz w:val="28"/>
        </w:rPr>
        <w:t>3.4其他要求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无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Y2ExOWJkZDFjMWFhMWM3M2Y4MDg5MGE2NzQ1MWEifQ=="/>
  </w:docVars>
  <w:rsids>
    <w:rsidRoot w:val="00000000"/>
    <w:rsid w:val="691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EDZ</dc:creator>
  <cp:lastModifiedBy>飞天小女警22333</cp:lastModifiedBy>
  <dcterms:modified xsi:type="dcterms:W3CDTF">2024-02-20T03:39:57Z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4917DF83A1144682890BD27A3C3D32B1_12</vt:lpwstr>
  </property>
</Properties>
</file>