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壤塘县上杜柯乡鱼托村矿山恢复建设项目</w:t>
      </w:r>
    </w:p>
    <w:p>
      <w:pPr>
        <w:pStyle w:val="null3"/>
        <w:jc w:val="center"/>
        <w:outlineLvl w:val="2"/>
      </w:pPr>
      <w:r>
        <w:rPr>
          <w:b/>
          <w:sz w:val="28"/>
        </w:rPr>
        <w:t>采购项目编号：</w:t>
      </w:r>
      <w:r>
        <w:rPr>
          <w:b/>
          <w:sz w:val="28"/>
        </w:rPr>
        <w:t>N5132302024000056</w:t>
      </w:r>
      <w:r>
        <w:br/>
      </w:r>
      <w:r>
        <w:br/>
      </w:r>
      <w:r>
        <w:br/>
      </w:r>
    </w:p>
    <w:p>
      <w:pPr>
        <w:pStyle w:val="null3"/>
        <w:jc w:val="center"/>
        <w:outlineLvl w:val="2"/>
      </w:pPr>
      <w:r>
        <w:rPr>
          <w:b/>
          <w:sz w:val="28"/>
        </w:rPr>
        <w:t>壤塘县自然资源局</w:t>
      </w:r>
    </w:p>
    <w:p>
      <w:pPr>
        <w:pStyle w:val="null3"/>
        <w:jc w:val="center"/>
        <w:outlineLvl w:val="2"/>
      </w:pPr>
      <w:r>
        <w:rPr>
          <w:b/>
          <w:sz w:val="28"/>
        </w:rPr>
        <w:t>四川中政易采工程项目管理有限公司</w:t>
      </w:r>
      <w:r>
        <w:rPr>
          <w:b/>
          <w:sz w:val="28"/>
        </w:rPr>
        <w:t>共同编制</w:t>
      </w:r>
    </w:p>
    <w:p>
      <w:pPr>
        <w:pStyle w:val="null3"/>
        <w:jc w:val="center"/>
        <w:outlineLvl w:val="2"/>
      </w:pPr>
      <w:r>
        <w:rPr>
          <w:b/>
          <w:sz w:val="28"/>
        </w:rPr>
        <w:t>2024年04月15日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四川中政易采工程项目管理有限公司</w:t>
      </w:r>
      <w:r>
        <w:rPr/>
        <w:t>（以下简称“代理机构”）受</w:t>
      </w:r>
      <w:r>
        <w:rPr/>
        <w:t>壤塘县自然资源局</w:t>
      </w:r>
      <w:r>
        <w:rPr/>
        <w:t>委托，拟对</w:t>
      </w:r>
      <w:r>
        <w:rPr/>
        <w:t>壤塘县上杜柯乡鱼托村矿山恢复建设项目</w:t>
      </w:r>
      <w:r>
        <w:rPr/>
        <w:t>采用竞争性磋商采购方式进行采购，兹邀请供应商参加本项目的竞争性磋商。</w:t>
      </w:r>
    </w:p>
    <w:p>
      <w:pPr>
        <w:pStyle w:val="null3"/>
        <w:outlineLvl w:val="2"/>
      </w:pPr>
      <w:r>
        <w:rPr>
          <w:b/>
          <w:sz w:val="28"/>
        </w:rPr>
        <w:t>一、项目编号：</w:t>
      </w:r>
      <w:r>
        <w:rPr>
          <w:b/>
          <w:sz w:val="28"/>
        </w:rPr>
        <w:t>N5132302024000056</w:t>
      </w:r>
    </w:p>
    <w:p>
      <w:pPr>
        <w:pStyle w:val="null3"/>
        <w:outlineLvl w:val="2"/>
      </w:pPr>
      <w:r>
        <w:rPr>
          <w:b/>
          <w:sz w:val="28"/>
        </w:rPr>
        <w:t>二、项目名称：</w:t>
      </w:r>
      <w:r>
        <w:rPr>
          <w:b/>
          <w:sz w:val="28"/>
        </w:rPr>
        <w:t>壤塘县上杜柯乡鱼托村矿山恢复建设项目</w:t>
      </w:r>
    </w:p>
    <w:p>
      <w:pPr>
        <w:pStyle w:val="null3"/>
        <w:outlineLvl w:val="2"/>
      </w:pPr>
      <w:r>
        <w:rPr>
          <w:b/>
          <w:sz w:val="28"/>
        </w:rPr>
        <w:t>三、磋商项目简介</w:t>
      </w:r>
    </w:p>
    <w:p>
      <w:pPr>
        <w:pStyle w:val="null3"/>
        <w:ind w:firstLine="480"/>
      </w:pPr>
      <w:r>
        <w:rPr/>
        <w:t>本项目为壤塘县上杜柯乡鱼托村矿山恢复建设项目，共1个包</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 xml:space="preserve"> 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供应商具有有效的《草种经营许可证》或《草种生产许可证》或《林草种子生产经营许可证》或备案证明（描述：供应商具有有效的《草种经营许可证》或《草种生产许可证》或《林草种子生产经营许可证》或备案证明）</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壤塘县自然资源局</w:t>
      </w:r>
    </w:p>
    <w:p>
      <w:pPr>
        <w:pStyle w:val="null3"/>
      </w:pPr>
    </w:p>
    <w:p>
      <w:pPr>
        <w:pStyle w:val="null3"/>
      </w:pPr>
    </w:p>
    <w:p>
      <w:pPr>
        <w:pStyle w:val="null3"/>
      </w:pPr>
      <w:r>
        <w:rPr/>
        <w:t xml:space="preserve"> 地址： </w:t>
      </w:r>
      <w:r>
        <w:rPr/>
        <w:t>四川省阿坝州壤塘县罗吾塘中街151号</w:t>
      </w:r>
    </w:p>
    <w:p>
      <w:pPr>
        <w:pStyle w:val="null3"/>
      </w:pPr>
      <w:r>
        <w:rPr/>
        <w:t xml:space="preserve"> 邮编： </w:t>
      </w:r>
      <w:r>
        <w:rPr/>
        <w:t>624300</w:t>
      </w:r>
    </w:p>
    <w:p>
      <w:pPr>
        <w:pStyle w:val="null3"/>
      </w:pPr>
      <w:r>
        <w:rPr/>
        <w:t xml:space="preserve"> 联系人： </w:t>
      </w:r>
      <w:r>
        <w:rPr/>
        <w:t>马老师</w:t>
      </w:r>
    </w:p>
    <w:p>
      <w:pPr>
        <w:pStyle w:val="null3"/>
      </w:pPr>
      <w:r>
        <w:rPr/>
        <w:t xml:space="preserve"> 联系电话： </w:t>
      </w:r>
      <w:r>
        <w:rPr/>
        <w:t>0837-2378555</w:t>
      </w:r>
    </w:p>
    <w:p>
      <w:pPr>
        <w:pStyle w:val="null3"/>
        <w:outlineLvl w:val="3"/>
      </w:pPr>
      <w:r>
        <w:rPr>
          <w:b/>
          <w:sz w:val="24"/>
        </w:rPr>
        <w:t>代理机构：</w:t>
      </w:r>
      <w:r>
        <w:rPr>
          <w:b/>
          <w:sz w:val="24"/>
        </w:rPr>
        <w:t>四川中政易采工程项目管理有限公司</w:t>
      </w:r>
    </w:p>
    <w:p>
      <w:pPr>
        <w:pStyle w:val="null3"/>
      </w:pPr>
    </w:p>
    <w:p>
      <w:pPr>
        <w:pStyle w:val="null3"/>
      </w:pPr>
    </w:p>
    <w:p>
      <w:pPr>
        <w:pStyle w:val="null3"/>
      </w:pPr>
      <w:r>
        <w:rPr/>
        <w:t xml:space="preserve"> 地址： </w:t>
      </w:r>
      <w:r>
        <w:rPr/>
        <w:t>四川省成都市武侯区星狮路711号1栋2单元12层1206号</w:t>
      </w:r>
    </w:p>
    <w:p>
      <w:pPr>
        <w:pStyle w:val="null3"/>
      </w:pPr>
      <w:r>
        <w:rPr/>
        <w:t xml:space="preserve"> 邮编： </w:t>
      </w:r>
      <w:r>
        <w:rPr/>
        <w:t>610041</w:t>
      </w:r>
    </w:p>
    <w:p>
      <w:pPr>
        <w:pStyle w:val="null3"/>
      </w:pPr>
      <w:r>
        <w:rPr/>
        <w:t xml:space="preserve"> 联系人： </w:t>
      </w:r>
      <w:r>
        <w:rPr/>
        <w:t>张女士</w:t>
      </w:r>
    </w:p>
    <w:p>
      <w:pPr>
        <w:pStyle w:val="null3"/>
      </w:pPr>
      <w:r>
        <w:rPr/>
        <w:t xml:space="preserve"> 联系电话： </w:t>
      </w:r>
      <w:r>
        <w:rPr/>
        <w:t>028-87773020</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p>
            <w:pPr>
              <w:pStyle w:val="null3"/>
            </w:pP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代理服务费收费标准：按照国家计委关于印发《招标代理服务收费管理暂行办法》计价格[2002]1980号文规定收取，由成交人领取成交通知书时一次性支付服务费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壤塘县自然资源局</w:t>
      </w:r>
      <w:r>
        <w:rPr/>
        <w:t>和</w:t>
      </w:r>
      <w:r>
        <w:rPr/>
        <w:t>四川中政易采工程项目管理有限公司</w:t>
      </w:r>
      <w:r>
        <w:rPr/>
        <w:t>享有。对磋商文件中供应商参加本次政府采购活动应当具备的条件，磋商项目技术、服务、商务及其他要求，评审细则及标准由</w:t>
      </w:r>
      <w:r>
        <w:rPr/>
        <w:t>壤塘县自然资源局</w:t>
      </w:r>
      <w:r>
        <w:rPr/>
        <w:t>负责解释。除上述磋商文件内容，其他内容由</w:t>
      </w:r>
      <w:r>
        <w:rPr/>
        <w:t>四川中政易采工程项目管理有限公司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壤塘县自然资源局</w:t>
      </w:r>
      <w:r>
        <w:rPr/>
        <w:t>。</w:t>
      </w:r>
    </w:p>
    <w:p>
      <w:pPr>
        <w:pStyle w:val="null3"/>
        <w:ind w:firstLine="480"/>
      </w:pPr>
      <w:r>
        <w:rPr/>
        <w:t xml:space="preserve"> 二、“供应商”是指在按照磋商公告规定获取磋商文件，拟参加响应和向采购人提供货物及相应服务的法人、其他组织或自然人。</w:t>
      </w:r>
    </w:p>
    <w:p>
      <w:pPr>
        <w:pStyle w:val="null3"/>
        <w:ind w:firstLine="480"/>
      </w:pPr>
      <w:r>
        <w:rPr/>
        <w:t xml:space="preserve"> 三、“代理机构”是指政府采购集中采购机构和从事政府采购代理业务的社会中介机构。本项目的代理机构是</w:t>
      </w:r>
      <w:r>
        <w:rPr/>
        <w:t>四川中政易采工程项目管理有限公司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 xml:space="preserve"> 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一、响应文件应当根据磋商文件进行编制。供应商应通过四川政府采购网-办事指南下载响应客户端，使用客户端编制响应文件。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jc w:val="left"/>
      </w:pPr>
    </w:p>
    <w:p>
      <w:pPr>
        <w:pStyle w:val="null3"/>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 xml:space="preserve"> 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15</w:t>
      </w:r>
      <w:r>
        <w:rPr/>
        <w:t>日内组织验收</w:t>
      </w:r>
    </w:p>
    <w:p>
      <w:pPr>
        <w:pStyle w:val="null3"/>
        <w:ind w:firstLine="840"/>
      </w:pPr>
      <w:r>
        <w:rPr/>
        <w:t>8）验收组织的其他事项：</w:t>
      </w:r>
      <w:r>
        <w:rPr/>
        <w:t>采购人应成立验收小组，按照采购合同的约定对供应商履约情况进行验收。验收时，按照采购文件及采购合同的约定对每一项技术、服务、安全标准的履约情况进行确认。验收结束后，出具书面验收记录，列明各项标准的验收情况及项目总体评价，由验收双方共同签署。履约验收的各项资料应存档备查。</w:t>
      </w:r>
    </w:p>
    <w:p>
      <w:pPr>
        <w:pStyle w:val="null3"/>
        <w:ind w:firstLine="840"/>
      </w:pPr>
      <w:r>
        <w:rPr/>
        <w:t>9）技术履约验收内容：</w:t>
      </w:r>
      <w:r>
        <w:rPr/>
        <w:t>按国家有关规定以及采购文件的服务质量要求和技术指标、响应文件及承诺与合同约定标准进行验收；双方如对服务质量要求和技术指标的约定标准有相互抵触或异议的事项，由采购人在采购文件与响应文件中按服务质量要求和技术指标比较优胜的原则确定该项的约定标准进行验收</w:t>
      </w:r>
    </w:p>
    <w:p>
      <w:pPr>
        <w:pStyle w:val="null3"/>
        <w:ind w:firstLine="840"/>
      </w:pPr>
      <w:r>
        <w:rPr/>
        <w:t>10）商务履约验收内容：</w:t>
      </w:r>
      <w:r>
        <w:rPr/>
        <w:t>按国家有关规定以及采购文件的服务质量要求和技术指标、响应文件及承诺与合同约定标准进行验收；双方如对服务质量要求和技术指标的约定标准有相互抵触或异议的事项，由采购人在采购文件与响应文件中按服务质量要求和技术指标比较优胜的原则确定该项的约定标准进行验收</w:t>
      </w:r>
    </w:p>
    <w:p>
      <w:pPr>
        <w:pStyle w:val="null3"/>
        <w:ind w:firstLine="840"/>
      </w:pPr>
      <w:r>
        <w:rPr/>
        <w:t>11）履约验收标准：</w:t>
      </w:r>
    </w:p>
    <w:p>
      <w:pPr>
        <w:pStyle w:val="null3"/>
      </w:pPr>
    </w:p>
    <w:p>
      <w:pPr>
        <w:pStyle w:val="null3"/>
        <w:ind w:firstLine="1200"/>
      </w:pPr>
      <w:r>
        <w:rPr/>
        <w:t>按照采购文件要求、《政府采购需求管理办法》(财库〔2021〕22号)等相关政府采购法律法规执行</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四川中政易采工程项目管理有限公司</w:t>
      </w:r>
      <w:r>
        <w:rPr/>
        <w:t xml:space="preserve"> 负责答复；供应商对除采购需求外的采购文件的询问、质疑由</w:t>
      </w:r>
      <w:r>
        <w:rPr/>
        <w:t>四川中政易采工程项目管理有限公司</w:t>
      </w:r>
      <w:r>
        <w:rPr/>
        <w:t xml:space="preserve"> 负责答复；供应商对采购过程、采购结果的询问、质疑由 </w:t>
      </w:r>
      <w:r>
        <w:rPr/>
        <w:t>四川中政易采工程项目管理有限公司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联系人：张老师</w:t>
      </w:r>
    </w:p>
    <w:p>
      <w:pPr>
        <w:pStyle w:val="null3"/>
      </w:pPr>
      <w:r>
        <w:rPr/>
        <w:t>联系电话：028-87773020</w:t>
      </w:r>
    </w:p>
    <w:p>
      <w:pPr>
        <w:pStyle w:val="null3"/>
      </w:pPr>
      <w:r>
        <w:rPr/>
        <w:t>地址：四川省成都市武侯区星狮路711号1栋2单元12层1206号</w:t>
      </w:r>
    </w:p>
    <w:p>
      <w:pPr>
        <w:pStyle w:val="null3"/>
      </w:pPr>
      <w:r>
        <w:rPr/>
        <w:t>邮编：610041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p>
    <w:p>
      <w:pPr>
        <w:pStyle w:val="null3"/>
      </w:pPr>
    </w:p>
    <w:p>
      <w:pPr>
        <w:pStyle w:val="null3"/>
      </w:pPr>
      <w:r>
        <w:rPr/>
        <w:t>壤塘县上杜柯乡鱼托村矿山恢复建设项目</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500,000.00</w:t>
      </w:r>
    </w:p>
    <w:p>
      <w:pPr>
        <w:pStyle w:val="null3"/>
      </w:pPr>
      <w:r>
        <w:rPr/>
        <w:t>采购包最高限价（元）: 500,000.00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壤塘县上杜柯乡鱼托村矿山恢复建设项目</w:t>
            </w:r>
          </w:p>
        </w:tc>
        <w:tc>
          <w:tcPr>
            <w:tcW w:type="dxa" w:w="848"/>
          </w:tcPr>
          <w:p>
            <w:pPr>
              <w:pStyle w:val="null3"/>
              <w:jc w:val="right"/>
            </w:pPr>
            <w:r>
              <w:rPr/>
              <w:t>1.00</w:t>
            </w:r>
          </w:p>
        </w:tc>
        <w:tc>
          <w:tcPr>
            <w:tcW w:type="dxa" w:w="1356"/>
          </w:tcPr>
          <w:p>
            <w:pPr>
              <w:pStyle w:val="null3"/>
              <w:jc w:val="right"/>
            </w:pPr>
            <w:r>
              <w:rPr/>
              <w:t>500,000.00</w:t>
            </w:r>
          </w:p>
        </w:tc>
        <w:tc>
          <w:tcPr>
            <w:tcW w:type="dxa" w:w="678"/>
          </w:tcPr>
          <w:p>
            <w:pPr>
              <w:pStyle w:val="null3"/>
            </w:pPr>
            <w:r>
              <w:rPr/>
              <w:t>项</w:t>
            </w:r>
          </w:p>
        </w:tc>
        <w:tc>
          <w:tcPr>
            <w:tcW w:type="dxa" w:w="678"/>
          </w:tcPr>
          <w:p>
            <w:pPr>
              <w:pStyle w:val="null3"/>
            </w:pPr>
            <w:r>
              <w:rPr/>
              <w:t>其他未列明行业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标的名称：壤塘县上杜柯乡鱼托村矿山恢复建设项目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62"/>
              <w:jc w:val="both"/>
            </w:pPr>
            <w:r>
              <w:rPr>
                <w:rFonts w:ascii="simsun" w:hAnsi="simsun" w:cs="simsun" w:eastAsia="simsun"/>
                <w:sz w:val="21"/>
              </w:rPr>
              <w:t>（一）项目目标</w:t>
            </w:r>
          </w:p>
          <w:p>
            <w:pPr>
              <w:pStyle w:val="null3"/>
              <w:ind w:firstLine="462"/>
              <w:jc w:val="both"/>
            </w:pPr>
            <w:r>
              <w:rPr>
                <w:rFonts w:ascii="simsun" w:hAnsi="simsun" w:cs="simsun" w:eastAsia="simsun"/>
                <w:sz w:val="21"/>
              </w:rPr>
              <w:t>对部分矿区占损面进行修复治理，通过治理工程实施，消除生态环境问题所产生的隐患，将废弃土地变为有利用价值的土地，实现土地资源可持续利用。</w:t>
            </w:r>
          </w:p>
          <w:p>
            <w:pPr>
              <w:pStyle w:val="null3"/>
              <w:spacing w:after="120"/>
              <w:jc w:val="both"/>
            </w:pPr>
            <w:r>
              <w:rPr>
                <w:rFonts w:ascii="simsun" w:hAnsi="simsun" w:cs="simsun" w:eastAsia="simsun"/>
                <w:sz w:val="21"/>
              </w:rPr>
              <w:t>（二）项目服务要求</w:t>
            </w:r>
          </w:p>
          <w:p>
            <w:pPr>
              <w:pStyle w:val="null3"/>
              <w:ind w:firstLine="462"/>
              <w:jc w:val="both"/>
            </w:pPr>
            <w:r>
              <w:rPr>
                <w:rFonts w:ascii="simsun" w:hAnsi="simsun" w:cs="simsun" w:eastAsia="simsun"/>
                <w:sz w:val="21"/>
              </w:rPr>
              <w:t>1、治理土地面积：400亩</w:t>
            </w:r>
          </w:p>
          <w:p>
            <w:pPr>
              <w:pStyle w:val="null3"/>
              <w:spacing w:after="120"/>
              <w:ind w:firstLine="462"/>
              <w:jc w:val="both"/>
            </w:pPr>
            <w:r>
              <w:rPr>
                <w:rFonts w:ascii="simsun" w:hAnsi="simsun" w:cs="simsun" w:eastAsia="simsun"/>
                <w:sz w:val="21"/>
              </w:rPr>
              <w:t>2、治理标准：通过开展人工种草、天然草原改良等修复措施，推行草原休养生息，能够有效促进草原生态恢复。一是主动修复草原植被，修复草原生态系统，促进项目区草地高质量发展；二是促进退化草原植被更新和恢复，增加草原植被盖度，提升可食牧草品质，增加饲草料有效供给，提高草原利用性能。三是助力区域观光旅游业发展，增加项目区农牧民收入，减轻草地放牧压力，保护草原生态，从而全面提升草原生态系统功能，实现生态效益和经济效益双赢，拟采取“场地平整+客土覆土+松土去石+草籽撒播+人工种草+监测与管护”多措并举的综合植被修复治理措施。</w:t>
            </w:r>
          </w:p>
          <w:p>
            <w:pPr>
              <w:pStyle w:val="null3"/>
              <w:ind w:firstLine="462"/>
              <w:jc w:val="both"/>
            </w:pPr>
            <w:r>
              <w:rPr>
                <w:rFonts w:ascii="simsun" w:hAnsi="simsun" w:cs="simsun" w:eastAsia="simsun"/>
                <w:sz w:val="21"/>
              </w:rPr>
              <w:t>3、场地平整160亩</w:t>
            </w:r>
          </w:p>
          <w:p>
            <w:pPr>
              <w:pStyle w:val="null3"/>
              <w:ind w:firstLine="462"/>
              <w:jc w:val="both"/>
            </w:pPr>
            <w:r>
              <w:rPr>
                <w:rFonts w:ascii="simsun" w:hAnsi="simsun" w:cs="simsun" w:eastAsia="simsun"/>
                <w:sz w:val="21"/>
              </w:rPr>
              <w:t>4、客土覆土对修复区进行客土覆盖时，客土覆盖厚度不低于15cm。（土壤PH值要求在6.5~7.5之间，全氮含量大于750mg/kg，全磷含量大于750mg/kg，含水量约30-50%，土壤容重小于1.5 g/cm</w:t>
            </w:r>
            <w:r>
              <w:rPr>
                <w:rFonts w:ascii="simsun" w:hAnsi="simsun" w:cs="simsun" w:eastAsia="simsun"/>
                <w:sz w:val="21"/>
                <w:vertAlign w:val="superscript"/>
              </w:rPr>
              <w:t>3</w:t>
            </w:r>
            <w:r>
              <w:rPr>
                <w:rFonts w:ascii="simsun" w:hAnsi="simsun" w:cs="simsun" w:eastAsia="simsun"/>
                <w:sz w:val="21"/>
              </w:rPr>
              <w:t>，砾石含量小于30%）因矿区并无土壤可取，取土需经采购人现场指定，遵循就近取材、不形成二次破坏和及时修复的原则。</w:t>
            </w:r>
          </w:p>
          <w:p>
            <w:pPr>
              <w:pStyle w:val="null3"/>
              <w:spacing w:after="120"/>
              <w:ind w:firstLine="462"/>
              <w:jc w:val="both"/>
            </w:pPr>
            <w:r>
              <w:rPr>
                <w:rFonts w:ascii="simsun" w:hAnsi="simsun" w:cs="simsun" w:eastAsia="simsun"/>
                <w:sz w:val="21"/>
              </w:rPr>
              <w:t>5、松土去石面积约 60亩</w:t>
            </w:r>
          </w:p>
          <w:p>
            <w:pPr>
              <w:pStyle w:val="null3"/>
              <w:spacing w:after="120"/>
              <w:ind w:firstLine="462"/>
              <w:jc w:val="both"/>
            </w:pPr>
            <w:r>
              <w:rPr>
                <w:rFonts w:ascii="simsun" w:hAnsi="simsun" w:cs="simsun" w:eastAsia="simsun"/>
                <w:sz w:val="21"/>
              </w:rPr>
              <w:t>6、草种：采用垂穗披碱草、老芒草、多年生黑麦草和燕麦四种草混播，客土的区域面积约80亩混合比：披碱草、老芒草、多年生黑麦草和燕麦3:3:2:2，以实际面积按16kg/亩的标准，面积共计320亩。</w:t>
            </w:r>
          </w:p>
          <w:p>
            <w:pPr>
              <w:pStyle w:val="null3"/>
              <w:spacing w:after="120"/>
              <w:ind w:firstLine="462"/>
              <w:jc w:val="both"/>
            </w:pPr>
            <w:r>
              <w:rPr>
                <w:rFonts w:ascii="simsun" w:hAnsi="simsun" w:cs="simsun" w:eastAsia="simsun"/>
                <w:sz w:val="21"/>
              </w:rPr>
              <w:t>7、人工种草：草种选择当地常见的优势草种披碱草、老芒草、多年生黑麦草和燕麦，牧草播种量为8kg/亩。播种面积80亩。</w:t>
            </w:r>
          </w:p>
          <w:p>
            <w:pPr>
              <w:pStyle w:val="null3"/>
              <w:ind w:firstLine="462"/>
              <w:jc w:val="both"/>
            </w:pPr>
            <w:r>
              <w:rPr>
                <w:rFonts w:ascii="simsun" w:hAnsi="simsun" w:cs="simsun" w:eastAsia="simsun"/>
                <w:sz w:val="21"/>
              </w:rPr>
              <w:t>8、监测与管护：根据适时监测数据的分析，适时采取适当措施 （如适时补播、施肥、洒水、防病虫害等），确保达到预期效果。</w:t>
            </w:r>
          </w:p>
          <w:p>
            <w:pPr>
              <w:pStyle w:val="null3"/>
              <w:ind w:firstLine="462"/>
              <w:jc w:val="both"/>
            </w:pPr>
            <w:r>
              <w:rPr>
                <w:rFonts w:ascii="simsun" w:hAnsi="simsun" w:cs="simsun" w:eastAsia="simsun"/>
                <w:sz w:val="21"/>
              </w:rPr>
              <w:t>9、人工种草管护期3年（含取土点）。</w:t>
            </w: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按文件要求</w:t>
      </w:r>
    </w:p>
    <w:p>
      <w:pPr>
        <w:pStyle w:val="null3"/>
        <w:outlineLvl w:val="3"/>
      </w:pPr>
      <w:r>
        <w:rPr>
          <w:b/>
          <w:sz w:val="24"/>
        </w:rPr>
        <w:t>3.2.4设施设备要求</w:t>
      </w:r>
    </w:p>
    <w:p>
      <w:pPr>
        <w:pStyle w:val="null3"/>
      </w:pPr>
    </w:p>
    <w:p>
      <w:pPr>
        <w:pStyle w:val="null3"/>
      </w:pPr>
    </w:p>
    <w:p>
      <w:pPr>
        <w:pStyle w:val="null3"/>
      </w:pPr>
    </w:p>
    <w:p>
      <w:pPr>
        <w:pStyle w:val="null3"/>
      </w:pPr>
      <w:r>
        <w:rPr/>
        <w:t>采购包1：</w:t>
      </w:r>
    </w:p>
    <w:p>
      <w:pPr>
        <w:pStyle w:val="null3"/>
      </w:pPr>
      <w:r>
        <w:rPr/>
        <w:t>无</w:t>
      </w:r>
    </w:p>
    <w:p>
      <w:pPr>
        <w:pStyle w:val="null3"/>
        <w:outlineLvl w:val="3"/>
      </w:pPr>
      <w:r>
        <w:rPr>
          <w:b/>
          <w:sz w:val="24"/>
        </w:rPr>
        <w:t>3.2.5其他要求</w:t>
      </w:r>
    </w:p>
    <w:p>
      <w:pPr>
        <w:pStyle w:val="null3"/>
      </w:pPr>
    </w:p>
    <w:p>
      <w:pPr>
        <w:pStyle w:val="null3"/>
      </w:pPr>
    </w:p>
    <w:p>
      <w:pPr>
        <w:pStyle w:val="null3"/>
      </w:pPr>
    </w:p>
    <w:p>
      <w:pPr>
        <w:pStyle w:val="null3"/>
      </w:pPr>
      <w:r>
        <w:rPr/>
        <w:t>采购包1：</w:t>
      </w:r>
    </w:p>
    <w:p>
      <w:pPr>
        <w:pStyle w:val="null3"/>
      </w:pPr>
      <w:r>
        <w:rPr/>
        <w:t>3.2.5.1草种要求：（1）质量标准参考《禾本科草种子质量分级》GB6142-2008二级及以上；（2）草种存活率要求：种植1个月后发芽率不低于80%。（3）供应商在供货时提供有资质的第三方检测机构出具的当批次产品质量检验报告原件与草种的《植物检疫证书》。（提供承诺函）3.2.5.2成交供应商在项目实施过程中的安全责任由成交供应商负责，采购人不承担任何安全责任，也不承担如发生安全事故产生的任何责任。3.2.5.3成交供应商在项目实施阶段（含管护期）对项目人员进行防火警示教育，禁带火种进入林区和草原，不得野外生火，确保不发生火情。3.2.5.4取土点不得有红火蚁发生。注：以上要求为实质性要求。</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自合同签订之日起60日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p>
    <w:p>
      <w:pPr>
        <w:pStyle w:val="null3"/>
      </w:pPr>
    </w:p>
    <w:p>
      <w:pPr>
        <w:pStyle w:val="null3"/>
      </w:pPr>
    </w:p>
    <w:p>
      <w:pPr>
        <w:pStyle w:val="null3"/>
      </w:pPr>
      <w:r>
        <w:rPr/>
        <w:t>采购包1：</w:t>
      </w:r>
    </w:p>
    <w:p>
      <w:pPr>
        <w:pStyle w:val="null3"/>
      </w:pPr>
      <w:r>
        <w:rPr/>
        <w:t>1、验收时间：项目履约完成后，由采购人组织进行现场验收。 2、验收方式：按照《政府采购需求管理办法》(财库〔2021〕22号)等相关政府采购法律法规执行。 3、验收标准：按国家有关规定以及采购文件的服务质量要求和技术指标、响应文件及承诺与合同约定标准进行验收；双方如对服务质量要求和技术指标的约定标准有相互抵触或异议的事项，由采购人在采购文件与响应文件中按服务质量要求和技术指标比较优胜的原则确定该项的约定标准进行验收； 4、验收程序：采购人应成立验收小组，按照采购合同的约定对供应商履约情况进行验收。验收时，按照采购文件及采购合同的约定对每一项技术、服务、安全标准的履约情况进行确认。验收结束后，出具书面验收记录，列明各项标准的验收情况及项目总体评价，由验收双方共同签署。履约验收的各项资料应存档备查。</w:t>
      </w:r>
    </w:p>
    <w:p>
      <w:pPr>
        <w:pStyle w:val="null3"/>
        <w:jc w:val="left"/>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项目整体完工后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项目验收合格后</w:t>
      </w:r>
      <w:r>
        <w:rPr/>
        <w:t xml:space="preserve"> ，达到付款条件起 </w:t>
      </w:r>
      <w:r>
        <w:rPr/>
        <w:t>10</w:t>
      </w:r>
      <w:r>
        <w:rPr/>
        <w:t xml:space="preserve"> 日内，支付合同总金额的 </w:t>
      </w:r>
      <w:r>
        <w:rPr/>
        <w:t>30.00</w:t>
      </w:r>
      <w:r>
        <w:rPr/>
        <w:t>%。</w:t>
      </w:r>
    </w:p>
    <w:p>
      <w:pPr>
        <w:pStyle w:val="null3"/>
        <w:outlineLvl w:val="3"/>
      </w:pPr>
      <w:r>
        <w:rPr>
          <w:b/>
          <w:sz w:val="24"/>
        </w:rPr>
        <w:t>3.3.6违约责任及解决争议的方法</w:t>
      </w:r>
    </w:p>
    <w:p>
      <w:pPr>
        <w:pStyle w:val="null3"/>
      </w:pPr>
    </w:p>
    <w:p>
      <w:pPr>
        <w:pStyle w:val="null3"/>
      </w:pPr>
    </w:p>
    <w:p>
      <w:pPr>
        <w:pStyle w:val="null3"/>
      </w:pPr>
    </w:p>
    <w:p>
      <w:pPr>
        <w:pStyle w:val="null3"/>
      </w:pPr>
      <w:r>
        <w:rPr/>
        <w:t>采购包1：</w:t>
      </w:r>
    </w:p>
    <w:p>
      <w:pPr>
        <w:pStyle w:val="null3"/>
      </w:pPr>
      <w:r>
        <w:rPr/>
        <w:t>按合同约定</w:t>
      </w:r>
    </w:p>
    <w:p>
      <w:pPr>
        <w:pStyle w:val="null3"/>
        <w:jc w:val="left"/>
        <w:outlineLvl w:val="2"/>
      </w:pPr>
      <w:r>
        <w:rPr>
          <w:b/>
          <w:sz w:val="28"/>
        </w:rPr>
        <w:t>3.4其他要求</w:t>
      </w:r>
    </w:p>
    <w:p>
      <w:pPr>
        <w:pStyle w:val="null3"/>
      </w:pPr>
    </w:p>
    <w:p>
      <w:pPr>
        <w:pStyle w:val="null3"/>
      </w:pPr>
    </w:p>
    <w:p>
      <w:pPr>
        <w:pStyle w:val="null3"/>
      </w:pPr>
      <w:r>
        <w:rPr/>
        <w:t>3.4.1采购人付款前，成交供应商须向采购人出具符合壤塘县统一格式的对账单和合法有效完整的完税发票及凭证资料后才能进行支付结算；成交供应商逾期未提供相应结算资料的，采购人有权迟延支付相应款项，且不承担任何违约责任，成交供应商还应继续履行合同义务。（实质性要求）3.4.2本项目报价是履行合同的最终价格，应包含完成本合同的所有直接和间接费用，包括但不限于人工费、种植费、场地平整费、客土覆土松土去石以及运输费、管护费、税费以及供应商合理的利润等，采购人在项目实施过程中不再另行支付其他任何费用；供应商报价估算错误等引起的风险由供应商自行承担。（实质性要求）3.4.3为保障项目顺利实施，供应商人需针对本项目提供项目实施方案，内容要素包括：①项目需求与背景分析；②实施进度保障措施；③质量控制保障措施；④土地整治措施；⑤草种种植作业方案；⑥项目整体效果监测与调整措施；⑦森林、草原防火以及应急预案。3.4.4为保障项目顺利实施，供应商人需针对本项目提供后续服务，内容要素包括：①定期管理；②病虫害监测与防治；③牧草生长监测评估；④牧草养护技术支持与培训；⑤生态修复宣传引导措施。3.4.5为保障项目顺利实施，供应商需针对本项目提供团队人员与履约能力。</w:t>
      </w:r>
    </w:p>
    <w:p>
      <w:pPr>
        <w:pStyle w:val="null3"/>
      </w:pPr>
    </w:p>
    <w:p>
      <w:pPr>
        <w:pStyle w:val="null3"/>
      </w:pPr>
      <w:r>
        <w:rPr/>
        <w:t xml:space="preserve"> </w:t>
      </w:r>
    </w:p>
    <w:p>
      <w:pPr>
        <w:pStyle w:val="null3"/>
        <w:jc w:val="center"/>
        <w:outlineLvl w:val="1"/>
      </w:pPr>
      <w:r>
        <w:rPr>
          <w:b/>
          <w:sz w:val="36"/>
        </w:rPr>
        <w:t>第四章 磋商过程中可实质性变动的内容</w:t>
      </w:r>
    </w:p>
    <w:p>
      <w:pPr>
        <w:pStyle w:val="null3"/>
        <w:ind w:firstLine="480"/>
      </w:pPr>
      <w:r>
        <w:rPr/>
        <w:t xml:space="preserve"> 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磋商办法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 磋商小组</w:t>
      </w:r>
    </w:p>
    <w:p>
      <w:pPr>
        <w:pStyle w:val="null3"/>
        <w:ind w:firstLine="480"/>
      </w:pPr>
      <w:r>
        <w:rPr/>
        <w:t xml:space="preserve"> 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响应文件封面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供应商具有有效的《草种经营许可证》或《草种生产许可证》或《林草种子生产经营许可证》或备案证明</w:t>
            </w:r>
          </w:p>
        </w:tc>
        <w:tc>
          <w:tcPr>
            <w:tcW w:type="dxa" w:w="3322"/>
          </w:tcPr>
          <w:p>
            <w:pPr>
              <w:pStyle w:val="null3"/>
            </w:pPr>
            <w:r>
              <w:rPr/>
              <w:t>供应商具有有效的《草种经营许可证》或《草种生产许可证》或《林草种子生产经营许可证》或备案证明</w:t>
            </w:r>
          </w:p>
        </w:tc>
        <w:tc>
          <w:tcPr>
            <w:tcW w:type="dxa" w:w="1661"/>
          </w:tcPr>
          <w:p>
            <w:pPr>
              <w:pStyle w:val="null3"/>
            </w:pPr>
            <w:r>
              <w:rPr/>
              <w:t>供应商应提交的相关资格证明材料</w:t>
            </w:r>
          </w:p>
        </w:tc>
      </w:tr>
    </w:tbl>
    <w:p>
      <w:pPr>
        <w:pStyle w:val="null3"/>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outlineLvl w:val="3"/>
      </w:pPr>
      <w:r>
        <w:rPr>
          <w:b/>
          <w:sz w:val="24"/>
        </w:rPr>
        <w:t>5.3.3磋商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 磋商过程中，磋商的任何一方不得透露与磋商有关的其他供应商的技术资料、价格和其他信息。</w:t>
      </w:r>
    </w:p>
    <w:p>
      <w:pPr>
        <w:pStyle w:val="null3"/>
        <w:ind w:firstLine="480"/>
      </w:pPr>
      <w:r>
        <w:rPr/>
        <w:t>八、 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 xml:space="preserve"> 5.3.4符合性审查</w:t>
      </w:r>
    </w:p>
    <w:p>
      <w:pPr>
        <w:pStyle w:val="null3"/>
        <w:ind w:firstLine="480"/>
      </w:pPr>
      <w:r>
        <w:rPr/>
        <w:t xml:space="preserve"> 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商务要求、3.2.5其他要求中实质性要求、3.4其他要求中实质性要求以及采购文件要求的实质性要求</w:t>
            </w:r>
          </w:p>
        </w:tc>
        <w:tc>
          <w:tcPr>
            <w:tcW w:type="dxa" w:w="3322"/>
          </w:tcPr>
          <w:p>
            <w:pPr>
              <w:pStyle w:val="null3"/>
            </w:pPr>
            <w:r>
              <w:rPr/>
              <w:t>商务要求、3.2.5其他要求中实质性要求、3.4其他要求中实质性要求以及采购文件要求的实质性要求</w:t>
            </w:r>
          </w:p>
        </w:tc>
        <w:tc>
          <w:tcPr>
            <w:tcW w:type="dxa" w:w="1661"/>
          </w:tcPr>
          <w:p>
            <w:pPr>
              <w:pStyle w:val="null3"/>
            </w:pPr>
            <w:r>
              <w:rPr/>
              <w:t>实质性要求应答表 商务应答表 其他要求中实质性要求</w:t>
            </w:r>
          </w:p>
        </w:tc>
      </w:tr>
    </w:tbl>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或者需要扶持的科技成果转化项目，提交最后报价的供应商可以为2家。有效最后报价的供应商不足的，本次采购活动终止，并发布终止公告。</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 xml:space="preserve"> 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5.3.7比较与评价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5.3.8复核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项目实施方案、后续服务</w:t>
      </w:r>
      <w:r>
        <w:rPr/>
        <w:t xml:space="preserve"> ，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成交候选供应商并列的，由磋商小组根据磋商文件规定的推荐成交候选供应商数量，在排名并列的成交候选供应商中，采取随机抽取的方式确定成交候选供应商排名顺序。</w:t>
      </w:r>
    </w:p>
    <w:p>
      <w:pPr>
        <w:pStyle w:val="null3"/>
        <w:outlineLvl w:va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5.3.11评审争议处理规则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5.4评审办法及标准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5.4.1评分办法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服务内容</w:t>
            </w:r>
          </w:p>
        </w:tc>
        <w:tc>
          <w:tcPr>
            <w:tcW w:type="dxa" w:w="2492"/>
          </w:tcPr>
          <w:p>
            <w:pPr>
              <w:pStyle w:val="null3"/>
            </w:pPr>
            <w:r>
              <w:rPr/>
              <w:t>供应商完全满足本项目服务要求以及内容的得18分，每有一项不满足或未响应的扣2分，扣完为止。</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服务要求应答表</w:t>
            </w:r>
          </w:p>
        </w:tc>
      </w:tr>
      <w:tr>
        <w:tc>
          <w:tcPr>
            <w:tcW w:type="dxa" w:w="831"/>
            <w:vMerge/>
          </w:tcPr>
          <w:p/>
        </w:tc>
        <w:tc>
          <w:tcPr>
            <w:tcW w:type="dxa" w:w="1661"/>
          </w:tcPr>
          <w:p>
            <w:pPr>
              <w:pStyle w:val="null3"/>
            </w:pPr>
            <w:r>
              <w:rPr/>
              <w:t>项目实施方案</w:t>
            </w:r>
          </w:p>
        </w:tc>
        <w:tc>
          <w:tcPr>
            <w:tcW w:type="dxa" w:w="2492"/>
          </w:tcPr>
          <w:p>
            <w:pPr>
              <w:pStyle w:val="null3"/>
            </w:pPr>
            <w:r>
              <w:rPr/>
              <w:t>根据供应商提供的针对本项目的项目实施方案进行评分，内容要素包括：①项目需求与背景分析；②实施进度保障措施；③质量控制保障措施；④土地整治措施；⑤草种种植作业方案；⑥项目整体效果监测与调整措施；⑦草原防火以及应急预案，内容完整且完全满足采购文件要求的得35分；在此基础上方案中每有一项内容要素存在缺失或遗漏或仅有大纲标题无正文内容的扣5分，方案内容要素中每存在一处内容不足或缺陷的扣2.5分，单项内容要素扣减分值不超过5分。扣完为止。 注：内容不足或缺陷是指：存在不适用项目实际情况的情形、凭空编造、方案中内容前后不一致、引用国家规范、标准失效、错误、地点区域错误、项目采购内容缺失、与项目实际情况及技术、服务要求无关等情况</w:t>
            </w:r>
          </w:p>
        </w:tc>
        <w:tc>
          <w:tcPr>
            <w:tcW w:type="dxa" w:w="831"/>
          </w:tcPr>
          <w:p>
            <w:pPr>
              <w:pStyle w:val="null3"/>
              <w:jc w:val="right"/>
            </w:pPr>
            <w:r>
              <w:rPr/>
              <w:t>35.00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后续服务</w:t>
            </w:r>
          </w:p>
        </w:tc>
        <w:tc>
          <w:tcPr>
            <w:tcW w:type="dxa" w:w="2492"/>
          </w:tcPr>
          <w:p>
            <w:pPr>
              <w:pStyle w:val="null3"/>
            </w:pPr>
            <w:r>
              <w:rPr/>
              <w:t>根据供应商提供的针对本项目的后续服务进行评分，内容要素包括：①定期管理；②病虫害防治；③监测评估；④牧草养护技术支持与培训；⑤生态修复宣传引导措施，内容完整且完全满足招标文件要求的得15分；在此基础上方案中每有一项内容要素存在缺失或遗漏或仅有大纲标题无正文内容的扣3分，方案内容要素中每存在一处内容不足或缺陷的扣1.5分，单项内容要素扣减分值不超过3分。扣完为止。 注：内容不足或缺陷是指：存在不适用项目实际情况的情形、凭空编造、方案中内容前后不一致、引用国家规范、标准失效、错误、地点区域错误、项目采购内容缺失、与项目实际情况及技术、服务要求无关等情况</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后续服务方案</w:t>
            </w:r>
          </w:p>
        </w:tc>
      </w:tr>
      <w:tr>
        <w:tc>
          <w:tcPr>
            <w:tcW w:type="dxa" w:w="831"/>
            <w:vMerge/>
          </w:tcPr>
          <w:p/>
        </w:tc>
        <w:tc>
          <w:tcPr>
            <w:tcW w:type="dxa" w:w="1661"/>
          </w:tcPr>
          <w:p>
            <w:pPr>
              <w:pStyle w:val="null3"/>
            </w:pPr>
            <w:r>
              <w:rPr/>
              <w:t>履约能力</w:t>
            </w:r>
          </w:p>
        </w:tc>
        <w:tc>
          <w:tcPr>
            <w:tcW w:type="dxa" w:w="2492"/>
          </w:tcPr>
          <w:p>
            <w:pPr>
              <w:pStyle w:val="null3"/>
            </w:pPr>
            <w:r>
              <w:rPr/>
              <w:t>自2021年1月1日（含）以来，供应商每提供一个类似项目业绩的得2分，最多得6分。 注：以合同签订时间为准，类似项目业绩是指：合同内容至少包含“采用牧草种进行植生态修复”【或类似语义】，提供合同复印件。</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供应商认为需要提供的其它相关资料</w:t>
            </w:r>
          </w:p>
          <w:p>
            <w:pPr>
              <w:pStyle w:val="null3"/>
            </w:pPr>
            <w:r>
              <w:rPr/>
              <w:t>履约能力</w:t>
            </w:r>
          </w:p>
        </w:tc>
      </w:tr>
      <w:tr>
        <w:tc>
          <w:tcPr>
            <w:tcW w:type="dxa" w:w="831"/>
            <w:vMerge/>
          </w:tcPr>
          <w:p/>
        </w:tc>
        <w:tc>
          <w:tcPr>
            <w:tcW w:type="dxa" w:w="1661"/>
          </w:tcPr>
          <w:p>
            <w:pPr>
              <w:pStyle w:val="null3"/>
            </w:pPr>
            <w:r>
              <w:rPr/>
              <w:t>团队人员</w:t>
            </w:r>
          </w:p>
        </w:tc>
        <w:tc>
          <w:tcPr>
            <w:tcW w:type="dxa" w:w="2492"/>
          </w:tcPr>
          <w:p>
            <w:pPr>
              <w:pStyle w:val="null3"/>
            </w:pPr>
            <w:r>
              <w:rPr/>
              <w:t>1、拟派项目负责人（1名）具有农业类（或林草类）相关专业中级职称证书的得2分，具有农业类（或林草类）相关专业高级职称证书的得4分。 2、拟派项目技术负责人（1名）具有农业类（或林草类）相关专业中级职称证书的得1分，具有农业类（或林草类）相关专业高级职称证书的得3分。 3、拟派项目团队人员具有农业类（或林草类）中级或以上职称的，每有一人得1分，最多得4分。 注：提供人员证书与劳动关系证明材料，以上人员不得重复得分。</w:t>
            </w:r>
          </w:p>
        </w:tc>
        <w:tc>
          <w:tcPr>
            <w:tcW w:type="dxa" w:w="831"/>
          </w:tcPr>
          <w:p>
            <w:pPr>
              <w:pStyle w:val="null3"/>
              <w:jc w:val="right"/>
            </w:pPr>
            <w:r>
              <w:rPr/>
              <w:t>11.00</w:t>
            </w:r>
          </w:p>
        </w:tc>
        <w:tc>
          <w:tcPr>
            <w:tcW w:type="dxa" w:w="831"/>
          </w:tcPr>
          <w:p>
            <w:pPr>
              <w:pStyle w:val="null3"/>
            </w:pPr>
            <w:r>
              <w:rPr/>
              <w:t>客观</w:t>
            </w:r>
          </w:p>
        </w:tc>
        <w:tc>
          <w:tcPr>
            <w:tcW w:type="dxa" w:w="1661"/>
          </w:tcPr>
          <w:p>
            <w:pPr>
              <w:pStyle w:val="null3"/>
            </w:pPr>
            <w:r>
              <w:rPr/>
              <w:t>供应商认为需要提供的其它相关资料</w:t>
            </w:r>
          </w:p>
          <w:p>
            <w:pPr>
              <w:pStyle w:val="null3"/>
            </w:pPr>
            <w:r>
              <w:rPr/>
              <w:t>团队人员要求</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满足采购文件要求且最后报价最低的供应商的价格为磋商基准价，其价格分为满分。其他供应商的价格分统一按照下列公式计算：磋商报价得分=（磋商基准价/磋商报价）×15</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246"/>
        <w:gridCol w:w="1661"/>
        <w:gridCol w:w="1246"/>
        <w:gridCol w:w="1661"/>
        <w:gridCol w:w="1661"/>
      </w:tblGrid>
      <w:tr>
        <w:tc>
          <w:tcPr>
            <w:tcW w:type="dxa" w:w="831"/>
          </w:tcPr>
          <w:p>
            <w:pPr>
              <w:pStyle w:val="null3"/>
            </w:pPr>
            <w:r>
              <w:rPr/>
              <w:t xml:space="preserve"> 序号</w:t>
            </w:r>
          </w:p>
        </w:tc>
        <w:tc>
          <w:tcPr>
            <w:tcW w:type="dxa" w:w="1246"/>
          </w:tcPr>
          <w:p>
            <w:pPr>
              <w:pStyle w:val="null3"/>
            </w:pPr>
            <w:r>
              <w:rPr/>
              <w:t xml:space="preserve"> 情形</w:t>
            </w:r>
          </w:p>
        </w:tc>
        <w:tc>
          <w:tcPr>
            <w:tcW w:type="dxa" w:w="1661"/>
          </w:tcPr>
          <w:p>
            <w:pPr>
              <w:pStyle w:val="null3"/>
            </w:pPr>
            <w:r>
              <w:rPr/>
              <w:t xml:space="preserve"> 适用对象</w:t>
            </w:r>
          </w:p>
        </w:tc>
        <w:tc>
          <w:tcPr>
            <w:tcW w:type="dxa" w:w="1246"/>
          </w:tcPr>
          <w:p>
            <w:pPr>
              <w:pStyle w:val="null3"/>
            </w:pPr>
            <w:r>
              <w:rPr/>
              <w:t xml:space="preserve"> 扣除比例(C1)</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1、所有的评分、价格等涉及小数计算，先四舍五入再计算；</w:t>
      </w:r>
    </w:p>
    <w:p>
      <w:pPr>
        <w:pStyle w:val="null3"/>
        <w:ind w:firstLine="480"/>
      </w:pPr>
      <w:r>
        <w:rPr/>
        <w:t>2、评分标准中要求提供的证明材料须清晰可辨。</w:t>
      </w:r>
    </w:p>
    <w:p>
      <w:pPr>
        <w:pStyle w:val="null3"/>
        <w:outlineLvl w:val="2"/>
      </w:pPr>
      <w:r>
        <w:rPr>
          <w:b/>
          <w:sz w:val="28"/>
        </w:rPr>
        <w:t>5.5终止采购活动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5.6确定成交供应商</w:t>
      </w:r>
    </w:p>
    <w:p>
      <w:pPr>
        <w:pStyle w:val="null3"/>
      </w:pPr>
    </w:p>
    <w:p>
      <w:pPr>
        <w:pStyle w:val="null3"/>
      </w:pPr>
    </w:p>
    <w:p>
      <w:pPr>
        <w:pStyle w:val="null3"/>
      </w:pPr>
      <w:r>
        <w:rPr/>
        <w:t>一、评审结束后，代理机构在评审结束后2个工作日内将磋商报告送采购人。</w:t>
      </w:r>
    </w:p>
    <w:p>
      <w:pPr>
        <w:pStyle w:val="null3"/>
      </w:pPr>
      <w:r>
        <w:rPr/>
        <w:t>二、采购人在收到磋商报告后5个工作日内，在磋商报告确定的成交候选供应商名单中按顺序确定1名成交供应商。采购人逾期未确定成交供应商且不提出异议的，视为确定磋商报告提出的排序第一的供应商为成交供应商。</w:t>
      </w:r>
    </w:p>
    <w:p>
      <w:pPr>
        <w:pStyle w:val="null3"/>
      </w:pPr>
      <w:r>
        <w:rPr/>
        <w:t>三、采购人或者代理机构应当自成交供应商确定之日起 2 个工作日内，在四川政府采购网上公告成交结果，磋商文件应当随成交结果同时公告。</w:t>
      </w:r>
    </w:p>
    <w:p>
      <w:pPr>
        <w:pStyle w:val="null3"/>
        <w:outlineLvl w:val="2"/>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详见附件：后续服务方案</w:t>
      </w:r>
    </w:p>
    <w:p>
      <w:pPr>
        <w:pStyle w:val="null3"/>
        <w:ind w:firstLine="960"/>
      </w:pPr>
      <w:r>
        <w:rPr/>
        <w:t>详见附件：项目实施方案</w:t>
      </w:r>
    </w:p>
    <w:p>
      <w:pPr>
        <w:pStyle w:val="null3"/>
        <w:ind w:firstLine="960"/>
      </w:pPr>
      <w:r>
        <w:rPr/>
        <w:t>详见附件：供应商认为需要提供的其它相关资料</w:t>
      </w:r>
    </w:p>
    <w:p>
      <w:pPr>
        <w:pStyle w:val="null3"/>
        <w:ind w:firstLine="960"/>
      </w:pPr>
      <w:r>
        <w:rPr/>
        <w:t>详见附件：履约能力</w:t>
      </w:r>
    </w:p>
    <w:p>
      <w:pPr>
        <w:pStyle w:val="null3"/>
        <w:ind w:firstLine="960"/>
      </w:pPr>
      <w:r>
        <w:rPr/>
        <w:t>详见附件：团队人员要求</w:t>
      </w:r>
    </w:p>
    <w:p>
      <w:pPr>
        <w:pStyle w:val="null3"/>
        <w:ind w:firstLine="960"/>
      </w:pPr>
      <w:r>
        <w:rPr/>
        <w:t>详见附件：服务要求应答表</w:t>
      </w:r>
    </w:p>
    <w:p>
      <w:pPr>
        <w:pStyle w:val="null3"/>
        <w:ind w:firstLine="960"/>
      </w:pPr>
      <w:r>
        <w:rPr/>
        <w:t>详见附件：其他要求中实质性要求</w:t>
      </w:r>
    </w:p>
    <w:p>
      <w:pPr>
        <w:pStyle w:val="null3"/>
        <w:ind w:firstLine="960"/>
      </w:pPr>
      <w:r>
        <w:rPr/>
        <w:t>详见附件：实质性要求应答表</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 </w:t>
      </w:r>
      <w:r>
        <w:rPr/>
        <w:t>《磋商文件》</w:t>
      </w:r>
      <w:r>
        <w:rPr/>
        <w:t>，乙方的《投标（响应）文件》及《中标（成交）通知书》，甲乙双方同意签订本合同。具体情况及要求如下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