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四川省交通运行监测与应急指挥系统甘孜州一期专用设备建设已完成，并试运行后交由采购单位使用，现采购一年运维服务。资金来源为财政性资金34.56万元。</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345,600.00</w:t>
      </w:r>
    </w:p>
    <w:p>
      <w:pPr>
        <w:pStyle w:val="4"/>
      </w:pPr>
      <w:r>
        <w:t>采购包最高限价（元）: 345,600.00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甘孜藏族自治州交通运行监测中心四川省交通运行监测与应急指挥系统网络及运维服务</w:t>
            </w:r>
          </w:p>
        </w:tc>
        <w:tc>
          <w:tcPr>
            <w:tcW w:w="848" w:type="dxa"/>
          </w:tcPr>
          <w:p>
            <w:pPr>
              <w:pStyle w:val="4"/>
              <w:jc w:val="right"/>
            </w:pPr>
            <w:r>
              <w:t>1.00</w:t>
            </w:r>
          </w:p>
        </w:tc>
        <w:tc>
          <w:tcPr>
            <w:tcW w:w="1356" w:type="dxa"/>
          </w:tcPr>
          <w:p>
            <w:pPr>
              <w:pStyle w:val="4"/>
              <w:jc w:val="right"/>
            </w:pPr>
            <w:r>
              <w:t>345,600.00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标的名称：甘孜藏族自治州交通运行监测中心四川省交通运行监测与应急指挥系统网络及运维服务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64"/>
        <w:gridCol w:w="1371"/>
        <w:gridCol w:w="60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64" w:type="dxa"/>
          </w:tcPr>
          <w:p>
            <w:pPr>
              <w:pStyle w:val="4"/>
            </w:pPr>
            <w:r>
              <w:t xml:space="preserve"> 参数性质</w:t>
            </w:r>
          </w:p>
        </w:tc>
        <w:tc>
          <w:tcPr>
            <w:tcW w:w="1371" w:type="dxa"/>
          </w:tcPr>
          <w:p>
            <w:pPr>
              <w:pStyle w:val="4"/>
            </w:pPr>
            <w:r>
              <w:t xml:space="preserve"> 序号</w:t>
            </w:r>
          </w:p>
        </w:tc>
        <w:tc>
          <w:tcPr>
            <w:tcW w:w="6087"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64" w:type="dxa"/>
          </w:tcPr>
          <w:p/>
        </w:tc>
        <w:tc>
          <w:tcPr>
            <w:tcW w:w="1371" w:type="dxa"/>
          </w:tcPr>
          <w:p>
            <w:pPr>
              <w:pStyle w:val="4"/>
            </w:pPr>
            <w:r>
              <w:t>1</w:t>
            </w:r>
          </w:p>
        </w:tc>
        <w:tc>
          <w:tcPr>
            <w:tcW w:w="6087" w:type="dxa"/>
          </w:tcPr>
          <w:p>
            <w:pPr>
              <w:pStyle w:val="4"/>
              <w:jc w:val="both"/>
            </w:pPr>
          </w:p>
          <w:p>
            <w:pPr>
              <w:pStyle w:val="4"/>
              <w:ind w:firstLine="560"/>
              <w:jc w:val="both"/>
            </w:pPr>
            <w:r>
              <w:rPr>
                <w:rFonts w:ascii="仿宋" w:hAnsi="仿宋" w:eastAsia="仿宋" w:cs="仿宋"/>
                <w:b/>
                <w:sz w:val="24"/>
              </w:rPr>
              <w:t>1、交通运行监测与应急指挥系统平台运行维护</w:t>
            </w:r>
          </w:p>
          <w:p>
            <w:pPr>
              <w:pStyle w:val="4"/>
              <w:ind w:firstLine="560"/>
              <w:jc w:val="both"/>
            </w:pPr>
            <w:r>
              <w:rPr>
                <w:rFonts w:ascii="仿宋" w:hAnsi="仿宋" w:eastAsia="仿宋" w:cs="仿宋"/>
                <w:sz w:val="24"/>
              </w:rPr>
              <w:t>1.1服务范围</w:t>
            </w:r>
          </w:p>
          <w:p>
            <w:pPr>
              <w:pStyle w:val="4"/>
              <w:ind w:firstLine="560"/>
              <w:jc w:val="both"/>
            </w:pPr>
            <w:r>
              <w:rPr>
                <w:rFonts w:ascii="仿宋" w:hAnsi="仿宋" w:eastAsia="仿宋" w:cs="仿宋"/>
                <w:sz w:val="24"/>
              </w:rPr>
              <w:t>甘孜州辖区范围内16个前端设备和5套F型可变情报板加电运行、看护、除尘，设备运行状况观察；光纤电路的连接测试及维护。主要包括16个前端摄像头及其附属设备和5个F型可变情报板的设备维护、线路维护、日常电费缴纳，6个车船载4G流量卡内不小于10G的包月流量，30条传输链路服务保障，其中24条10M前端数据专线（16+4个隧道+2个车站+木格措），1条100M交通专网专线，1条200M运营商汇聚专线，1条100M公安专网线，2条100M互联网专线，1条100M政务外网专线。</w:t>
            </w:r>
          </w:p>
          <w:p>
            <w:pPr>
              <w:pStyle w:val="4"/>
              <w:ind w:firstLine="560"/>
              <w:jc w:val="both"/>
            </w:pPr>
            <w:r>
              <w:rPr>
                <w:rFonts w:ascii="仿宋" w:hAnsi="仿宋" w:eastAsia="仿宋" w:cs="仿宋"/>
                <w:sz w:val="24"/>
              </w:rPr>
              <w:t>1.2服务内容</w:t>
            </w:r>
          </w:p>
          <w:p>
            <w:pPr>
              <w:pStyle w:val="4"/>
              <w:ind w:firstLine="560"/>
              <w:jc w:val="both"/>
            </w:pPr>
            <w:r>
              <w:rPr>
                <w:rFonts w:ascii="仿宋" w:hAnsi="仿宋" w:eastAsia="仿宋" w:cs="仿宋"/>
                <w:sz w:val="24"/>
              </w:rPr>
              <w:t>▲（1）负责前端设备的日常维护和保养，主要包括红外高清球机、F型情报板及设备杆件的检修、调试和保养。</w:t>
            </w:r>
          </w:p>
          <w:p>
            <w:pPr>
              <w:pStyle w:val="4"/>
              <w:ind w:firstLine="560"/>
              <w:jc w:val="both"/>
            </w:pPr>
            <w:r>
              <w:rPr>
                <w:rFonts w:ascii="仿宋" w:hAnsi="仿宋" w:eastAsia="仿宋" w:cs="仿宋"/>
                <w:sz w:val="24"/>
              </w:rPr>
              <w:t>▲（2）负责对前端故障点位进行处理，并在服务要求的时限内排除故障，恢复前端点位正常运行。</w:t>
            </w:r>
          </w:p>
          <w:p>
            <w:pPr>
              <w:pStyle w:val="4"/>
              <w:ind w:firstLine="560"/>
              <w:jc w:val="both"/>
            </w:pPr>
            <w:r>
              <w:rPr>
                <w:rFonts w:ascii="仿宋" w:hAnsi="仿宋" w:eastAsia="仿宋" w:cs="仿宋"/>
                <w:sz w:val="24"/>
              </w:rPr>
              <w:t>1.3服务要求</w:t>
            </w:r>
          </w:p>
          <w:p>
            <w:pPr>
              <w:pStyle w:val="4"/>
              <w:ind w:firstLine="560"/>
              <w:jc w:val="both"/>
            </w:pPr>
            <w:r>
              <w:rPr>
                <w:rFonts w:ascii="仿宋" w:hAnsi="仿宋" w:eastAsia="仿宋" w:cs="仿宋"/>
                <w:sz w:val="24"/>
              </w:rPr>
              <w:t>▲（1）建立本地信息化保障支撑团队，有专门的运维人员承担外出维护工作，提供现场服务和7*24小时响应服务。</w:t>
            </w:r>
          </w:p>
          <w:p>
            <w:pPr>
              <w:pStyle w:val="4"/>
              <w:ind w:firstLine="560"/>
              <w:jc w:val="both"/>
            </w:pPr>
            <w:r>
              <w:rPr>
                <w:rFonts w:ascii="仿宋" w:hAnsi="仿宋" w:eastAsia="仿宋" w:cs="仿宋"/>
                <w:sz w:val="24"/>
              </w:rPr>
              <w:t>★（2）对于故障必须在24小时内反馈处理结果和意见。</w:t>
            </w:r>
          </w:p>
          <w:p>
            <w:pPr>
              <w:pStyle w:val="4"/>
              <w:ind w:firstLine="840"/>
              <w:jc w:val="both"/>
            </w:pPr>
            <w:r>
              <w:rPr>
                <w:rFonts w:ascii="仿宋" w:hAnsi="仿宋" w:eastAsia="仿宋" w:cs="仿宋"/>
                <w:sz w:val="24"/>
              </w:rPr>
              <w:t>（3）在线率要求</w:t>
            </w:r>
          </w:p>
          <w:p>
            <w:pPr>
              <w:pStyle w:val="4"/>
              <w:ind w:firstLine="560"/>
              <w:jc w:val="both"/>
            </w:pPr>
            <w:r>
              <w:rPr>
                <w:rFonts w:ascii="仿宋" w:hAnsi="仿宋" w:eastAsia="仿宋" w:cs="仿宋"/>
                <w:sz w:val="24"/>
              </w:rPr>
              <w:t>站点的单点在线率=单位时间段内联网监控监测（省/市）平台可正常接收调用的总时长÷单位时间段总时长（其中单位时间段包括：月、季、年等，下同）。</w:t>
            </w:r>
          </w:p>
          <w:p>
            <w:pPr>
              <w:pStyle w:val="4"/>
              <w:ind w:firstLine="560"/>
              <w:jc w:val="both"/>
            </w:pPr>
            <w:r>
              <w:rPr>
                <w:rFonts w:ascii="仿宋" w:hAnsi="仿宋" w:eastAsia="仿宋" w:cs="仿宋"/>
                <w:sz w:val="24"/>
              </w:rPr>
              <w:t>平均在线率=单位时间段内各站点单点在线率的总和÷站点总数。</w:t>
            </w:r>
          </w:p>
          <w:p>
            <w:pPr>
              <w:pStyle w:val="4"/>
              <w:ind w:firstLine="560"/>
              <w:jc w:val="both"/>
            </w:pPr>
            <w:r>
              <w:rPr>
                <w:rFonts w:ascii="仿宋" w:hAnsi="仿宋" w:eastAsia="仿宋" w:cs="仿宋"/>
                <w:sz w:val="24"/>
              </w:rPr>
              <w:t>采用有线传输网络方式接入的终端，每个站点月度、季度、年度的单点在线率应≥80%、≥85%、≥90%。</w:t>
            </w:r>
          </w:p>
          <w:p>
            <w:pPr>
              <w:pStyle w:val="4"/>
              <w:ind w:firstLine="560"/>
              <w:jc w:val="both"/>
            </w:pPr>
            <w:r>
              <w:rPr>
                <w:rFonts w:ascii="仿宋" w:hAnsi="仿宋" w:eastAsia="仿宋" w:cs="仿宋"/>
                <w:sz w:val="24"/>
              </w:rPr>
              <w:t>采用无线传输网络方式接入的终端，每个站点月度、季度、年度的单点在线率应≥60%、≥70%、≥80%。</w:t>
            </w:r>
          </w:p>
          <w:p>
            <w:pPr>
              <w:pStyle w:val="4"/>
              <w:ind w:firstLine="560"/>
              <w:jc w:val="both"/>
            </w:pPr>
            <w:r>
              <w:rPr>
                <w:rFonts w:ascii="仿宋" w:hAnsi="仿宋" w:eastAsia="仿宋" w:cs="仿宋"/>
                <w:sz w:val="24"/>
              </w:rPr>
              <w:t>月度、季度、年度的平均在线率应≥70%、≥80%、≥90%。</w:t>
            </w:r>
          </w:p>
          <w:p>
            <w:pPr>
              <w:pStyle w:val="4"/>
              <w:ind w:firstLine="560"/>
              <w:jc w:val="both"/>
            </w:pPr>
            <w:r>
              <w:rPr>
                <w:rFonts w:ascii="仿宋" w:hAnsi="仿宋" w:eastAsia="仿宋" w:cs="仿宋"/>
                <w:sz w:val="24"/>
              </w:rPr>
              <w:t>采购人将对在线率进行考核，如未达到要求，则将根据产生影响程度大小扣减服务费，不可抗拒因素除外（如地震、泥石流、山火、停电等）。</w:t>
            </w:r>
          </w:p>
          <w:p>
            <w:pPr>
              <w:pStyle w:val="4"/>
              <w:ind w:firstLine="560"/>
              <w:jc w:val="both"/>
            </w:pPr>
          </w:p>
          <w:p>
            <w:pPr>
              <w:pStyle w:val="4"/>
              <w:ind w:firstLine="480"/>
              <w:jc w:val="both"/>
            </w:pPr>
            <w:r>
              <w:rPr>
                <w:rFonts w:ascii="仿宋" w:hAnsi="仿宋" w:eastAsia="仿宋" w:cs="仿宋"/>
                <w:sz w:val="24"/>
              </w:rPr>
              <w:t>★</w:t>
            </w:r>
            <w:r>
              <w:rPr>
                <w:rFonts w:ascii="仿宋" w:hAnsi="仿宋" w:eastAsia="仿宋" w:cs="仿宋"/>
                <w:b/>
                <w:sz w:val="24"/>
              </w:rPr>
              <w:t>2、前端维护点位表</w:t>
            </w:r>
          </w:p>
          <w:tbl>
            <w:tblPr>
              <w:tblStyle w:val="2"/>
              <w:tblW w:w="0" w:type="auto"/>
              <w:tblInd w:w="12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515"/>
              <w:gridCol w:w="933"/>
              <w:gridCol w:w="2977"/>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5" w:type="dxa"/>
                  <w:tcBorders>
                    <w:top w:val="single" w:color="000000" w:sz="8" w:space="0"/>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b/>
                      <w:sz w:val="24"/>
                    </w:rPr>
                    <w:t>序号</w:t>
                  </w:r>
                </w:p>
              </w:tc>
              <w:tc>
                <w:tcPr>
                  <w:tcW w:w="933" w:type="dxa"/>
                  <w:tcBorders>
                    <w:top w:val="single" w:color="000000" w:sz="8" w:space="0"/>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b/>
                      <w:sz w:val="24"/>
                    </w:rPr>
                    <w:t>市（县）</w:t>
                  </w:r>
                </w:p>
              </w:tc>
              <w:tc>
                <w:tcPr>
                  <w:tcW w:w="2977" w:type="dxa"/>
                  <w:tcBorders>
                    <w:top w:val="single" w:color="000000" w:sz="8" w:space="0"/>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b/>
                      <w:sz w:val="24"/>
                    </w:rPr>
                    <w:t>地点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5"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93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康定市</w:t>
                  </w:r>
                </w:p>
              </w:tc>
              <w:tc>
                <w:tcPr>
                  <w:tcW w:w="2977"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G248K1256+220米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5"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93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康定市</w:t>
                  </w:r>
                </w:p>
              </w:tc>
              <w:tc>
                <w:tcPr>
                  <w:tcW w:w="2977"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G248K1256+240米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5"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3</w:t>
                  </w:r>
                </w:p>
              </w:tc>
              <w:tc>
                <w:tcPr>
                  <w:tcW w:w="93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泸定县</w:t>
                  </w:r>
                </w:p>
              </w:tc>
              <w:tc>
                <w:tcPr>
                  <w:tcW w:w="2977"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G318K2774+150米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5"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4</w:t>
                  </w:r>
                </w:p>
              </w:tc>
              <w:tc>
                <w:tcPr>
                  <w:tcW w:w="93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丹巴县</w:t>
                  </w:r>
                </w:p>
              </w:tc>
              <w:tc>
                <w:tcPr>
                  <w:tcW w:w="2977"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G350K1091+050米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5"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5</w:t>
                  </w:r>
                </w:p>
              </w:tc>
              <w:tc>
                <w:tcPr>
                  <w:tcW w:w="93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丹巴县</w:t>
                  </w:r>
                </w:p>
              </w:tc>
              <w:tc>
                <w:tcPr>
                  <w:tcW w:w="2977"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G248K1138+130米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5"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6</w:t>
                  </w:r>
                </w:p>
              </w:tc>
              <w:tc>
                <w:tcPr>
                  <w:tcW w:w="93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理塘县</w:t>
                  </w:r>
                </w:p>
              </w:tc>
              <w:tc>
                <w:tcPr>
                  <w:tcW w:w="2977"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G227K1766+790米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5"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7</w:t>
                  </w:r>
                </w:p>
              </w:tc>
              <w:tc>
                <w:tcPr>
                  <w:tcW w:w="93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巴塘县</w:t>
                  </w:r>
                </w:p>
              </w:tc>
              <w:tc>
                <w:tcPr>
                  <w:tcW w:w="2977"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G318K3227+700米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5"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8</w:t>
                  </w:r>
                </w:p>
              </w:tc>
              <w:tc>
                <w:tcPr>
                  <w:tcW w:w="93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巴塘县</w:t>
                  </w:r>
                </w:p>
              </w:tc>
              <w:tc>
                <w:tcPr>
                  <w:tcW w:w="2977"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G318K3227+730米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5"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9</w:t>
                  </w:r>
                </w:p>
              </w:tc>
              <w:tc>
                <w:tcPr>
                  <w:tcW w:w="93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新龙县</w:t>
                  </w:r>
                </w:p>
              </w:tc>
              <w:tc>
                <w:tcPr>
                  <w:tcW w:w="2977"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G227K1624+400米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5"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10</w:t>
                  </w:r>
                </w:p>
              </w:tc>
              <w:tc>
                <w:tcPr>
                  <w:tcW w:w="93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白玉县</w:t>
                  </w:r>
                </w:p>
              </w:tc>
              <w:tc>
                <w:tcPr>
                  <w:tcW w:w="2977"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G215K2384+300米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5"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11</w:t>
                  </w:r>
                </w:p>
              </w:tc>
              <w:tc>
                <w:tcPr>
                  <w:tcW w:w="93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德格县</w:t>
                  </w:r>
                </w:p>
              </w:tc>
              <w:tc>
                <w:tcPr>
                  <w:tcW w:w="2977"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G215K2283+980米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5"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12</w:t>
                  </w:r>
                </w:p>
              </w:tc>
              <w:tc>
                <w:tcPr>
                  <w:tcW w:w="93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德格县</w:t>
                  </w:r>
                </w:p>
              </w:tc>
              <w:tc>
                <w:tcPr>
                  <w:tcW w:w="2977"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G215K2284米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5"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13</w:t>
                  </w:r>
                </w:p>
              </w:tc>
              <w:tc>
                <w:tcPr>
                  <w:tcW w:w="93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稻城县</w:t>
                  </w:r>
                </w:p>
              </w:tc>
              <w:tc>
                <w:tcPr>
                  <w:tcW w:w="2977"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G227K1901+580米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5"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14</w:t>
                  </w:r>
                </w:p>
              </w:tc>
              <w:tc>
                <w:tcPr>
                  <w:tcW w:w="93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稻城县</w:t>
                  </w:r>
                </w:p>
              </w:tc>
              <w:tc>
                <w:tcPr>
                  <w:tcW w:w="2977"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G227K1901+600米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5"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15</w:t>
                  </w:r>
                </w:p>
              </w:tc>
              <w:tc>
                <w:tcPr>
                  <w:tcW w:w="93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稻城县</w:t>
                  </w:r>
                </w:p>
              </w:tc>
              <w:tc>
                <w:tcPr>
                  <w:tcW w:w="2977"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G227K1963+750米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5"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16</w:t>
                  </w:r>
                </w:p>
              </w:tc>
              <w:tc>
                <w:tcPr>
                  <w:tcW w:w="93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乡城县</w:t>
                  </w:r>
                </w:p>
              </w:tc>
              <w:tc>
                <w:tcPr>
                  <w:tcW w:w="2977"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G549K497+970米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5"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17</w:t>
                  </w:r>
                </w:p>
              </w:tc>
              <w:tc>
                <w:tcPr>
                  <w:tcW w:w="93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得荣县</w:t>
                  </w:r>
                </w:p>
              </w:tc>
              <w:tc>
                <w:tcPr>
                  <w:tcW w:w="2977"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G215K204+130米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5"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18</w:t>
                  </w:r>
                </w:p>
              </w:tc>
              <w:tc>
                <w:tcPr>
                  <w:tcW w:w="93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色达县</w:t>
                  </w:r>
                </w:p>
              </w:tc>
              <w:tc>
                <w:tcPr>
                  <w:tcW w:w="2977"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G548K154+700米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5"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19</w:t>
                  </w:r>
                </w:p>
              </w:tc>
              <w:tc>
                <w:tcPr>
                  <w:tcW w:w="93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色达县</w:t>
                  </w:r>
                </w:p>
              </w:tc>
              <w:tc>
                <w:tcPr>
                  <w:tcW w:w="2977"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G227K1321+850米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5"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20</w:t>
                  </w:r>
                </w:p>
              </w:tc>
              <w:tc>
                <w:tcPr>
                  <w:tcW w:w="93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色达县</w:t>
                  </w:r>
                </w:p>
              </w:tc>
              <w:tc>
                <w:tcPr>
                  <w:tcW w:w="2977"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G227K1321+880米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5"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21</w:t>
                  </w:r>
                </w:p>
              </w:tc>
              <w:tc>
                <w:tcPr>
                  <w:tcW w:w="93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石渠县</w:t>
                  </w:r>
                </w:p>
              </w:tc>
              <w:tc>
                <w:tcPr>
                  <w:tcW w:w="2977"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top"/>
                </w:tcPr>
                <w:p>
                  <w:pPr>
                    <w:pStyle w:val="4"/>
                    <w:jc w:val="center"/>
                  </w:pPr>
                  <w:r>
                    <w:rPr>
                      <w:rFonts w:ascii="仿宋" w:hAnsi="仿宋" w:eastAsia="仿宋" w:cs="仿宋"/>
                      <w:sz w:val="24"/>
                    </w:rPr>
                    <w:t>G345K3389+410米</w:t>
                  </w:r>
                </w:p>
              </w:tc>
            </w:tr>
          </w:tbl>
          <w:p>
            <w:pPr>
              <w:pStyle w:val="4"/>
              <w:jc w:val="both"/>
            </w:pPr>
          </w:p>
          <w:p>
            <w:pPr>
              <w:pStyle w:val="4"/>
              <w:ind w:firstLine="480"/>
              <w:jc w:val="both"/>
            </w:pPr>
            <w:r>
              <w:rPr>
                <w:rFonts w:ascii="仿宋" w:hAnsi="仿宋" w:eastAsia="仿宋" w:cs="仿宋"/>
                <w:sz w:val="24"/>
              </w:rPr>
              <w:t>★</w:t>
            </w:r>
            <w:r>
              <w:rPr>
                <w:rFonts w:ascii="仿宋" w:hAnsi="仿宋" w:eastAsia="仿宋" w:cs="仿宋"/>
                <w:b/>
                <w:sz w:val="24"/>
              </w:rPr>
              <w:t>3、服务设备清单</w:t>
            </w:r>
          </w:p>
          <w:tbl>
            <w:tblPr>
              <w:tblStyle w:val="2"/>
              <w:tblW w:w="0" w:type="auto"/>
              <w:tblInd w:w="21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511"/>
              <w:gridCol w:w="1630"/>
              <w:gridCol w:w="685"/>
              <w:gridCol w:w="600"/>
              <w:gridCol w:w="113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b/>
                      <w:sz w:val="21"/>
                    </w:rPr>
                    <w:t>序号</w:t>
                  </w:r>
                </w:p>
              </w:tc>
              <w:tc>
                <w:tcPr>
                  <w:tcW w:w="163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b/>
                      <w:sz w:val="21"/>
                    </w:rPr>
                    <w:t>名称</w:t>
                  </w:r>
                </w:p>
              </w:tc>
              <w:tc>
                <w:tcPr>
                  <w:tcW w:w="685"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b/>
                      <w:sz w:val="21"/>
                    </w:rPr>
                    <w:t>数量</w:t>
                  </w:r>
                </w:p>
              </w:tc>
              <w:tc>
                <w:tcPr>
                  <w:tcW w:w="60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b/>
                      <w:sz w:val="21"/>
                    </w:rPr>
                    <w:t>单位</w:t>
                  </w:r>
                </w:p>
              </w:tc>
              <w:tc>
                <w:tcPr>
                  <w:tcW w:w="113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b/>
                      <w:sz w:val="21"/>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tcBorders>
                    <w:top w:val="nil"/>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b/>
                      <w:sz w:val="21"/>
                    </w:rPr>
                    <w:t>1</w:t>
                  </w:r>
                </w:p>
              </w:tc>
              <w:tc>
                <w:tcPr>
                  <w:tcW w:w="163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红外高清球机</w:t>
                  </w:r>
                </w:p>
              </w:tc>
              <w:tc>
                <w:tcPr>
                  <w:tcW w:w="685"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1６</w:t>
                  </w:r>
                </w:p>
              </w:tc>
              <w:tc>
                <w:tcPr>
                  <w:tcW w:w="60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台</w:t>
                  </w:r>
                </w:p>
              </w:tc>
              <w:tc>
                <w:tcPr>
                  <w:tcW w:w="1131"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tcBorders>
                    <w:top w:val="nil"/>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b/>
                      <w:sz w:val="21"/>
                    </w:rPr>
                    <w:t>2</w:t>
                  </w:r>
                </w:p>
              </w:tc>
              <w:tc>
                <w:tcPr>
                  <w:tcW w:w="163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信号浪涌保护器</w:t>
                  </w:r>
                </w:p>
              </w:tc>
              <w:tc>
                <w:tcPr>
                  <w:tcW w:w="685"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21</w:t>
                  </w:r>
                </w:p>
              </w:tc>
              <w:tc>
                <w:tcPr>
                  <w:tcW w:w="60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个</w:t>
                  </w:r>
                </w:p>
              </w:tc>
              <w:tc>
                <w:tcPr>
                  <w:tcW w:w="1131"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bottom"/>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tcBorders>
                    <w:top w:val="nil"/>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b/>
                      <w:sz w:val="21"/>
                    </w:rPr>
                    <w:t>3</w:t>
                  </w:r>
                </w:p>
              </w:tc>
              <w:tc>
                <w:tcPr>
                  <w:tcW w:w="163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电源浪涌保护器（开关型）</w:t>
                  </w:r>
                </w:p>
              </w:tc>
              <w:tc>
                <w:tcPr>
                  <w:tcW w:w="685"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52</w:t>
                  </w:r>
                </w:p>
              </w:tc>
              <w:tc>
                <w:tcPr>
                  <w:tcW w:w="60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个</w:t>
                  </w:r>
                </w:p>
              </w:tc>
              <w:tc>
                <w:tcPr>
                  <w:tcW w:w="1131"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bottom"/>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tcBorders>
                    <w:top w:val="nil"/>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b/>
                      <w:sz w:val="21"/>
                    </w:rPr>
                    <w:t>4</w:t>
                  </w:r>
                </w:p>
              </w:tc>
              <w:tc>
                <w:tcPr>
                  <w:tcW w:w="163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电源浪涌保护器（限压型）</w:t>
                  </w:r>
                </w:p>
              </w:tc>
              <w:tc>
                <w:tcPr>
                  <w:tcW w:w="685"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52</w:t>
                  </w:r>
                </w:p>
              </w:tc>
              <w:tc>
                <w:tcPr>
                  <w:tcW w:w="60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个</w:t>
                  </w:r>
                </w:p>
              </w:tc>
              <w:tc>
                <w:tcPr>
                  <w:tcW w:w="1131"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bottom"/>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tcBorders>
                    <w:top w:val="nil"/>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b/>
                      <w:sz w:val="21"/>
                    </w:rPr>
                    <w:t>5</w:t>
                  </w:r>
                </w:p>
              </w:tc>
              <w:tc>
                <w:tcPr>
                  <w:tcW w:w="163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光缆终端盒</w:t>
                  </w:r>
                </w:p>
              </w:tc>
              <w:tc>
                <w:tcPr>
                  <w:tcW w:w="685"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21</w:t>
                  </w:r>
                </w:p>
              </w:tc>
              <w:tc>
                <w:tcPr>
                  <w:tcW w:w="60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个</w:t>
                  </w:r>
                </w:p>
              </w:tc>
              <w:tc>
                <w:tcPr>
                  <w:tcW w:w="1131"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bottom"/>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tcBorders>
                    <w:top w:val="nil"/>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b/>
                      <w:sz w:val="21"/>
                    </w:rPr>
                    <w:t>6</w:t>
                  </w:r>
                </w:p>
              </w:tc>
              <w:tc>
                <w:tcPr>
                  <w:tcW w:w="163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光电转换器</w:t>
                  </w:r>
                </w:p>
              </w:tc>
              <w:tc>
                <w:tcPr>
                  <w:tcW w:w="685"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21</w:t>
                  </w:r>
                </w:p>
              </w:tc>
              <w:tc>
                <w:tcPr>
                  <w:tcW w:w="60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个</w:t>
                  </w:r>
                </w:p>
              </w:tc>
              <w:tc>
                <w:tcPr>
                  <w:tcW w:w="1131"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tcBorders>
                    <w:top w:val="nil"/>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b/>
                      <w:sz w:val="21"/>
                    </w:rPr>
                    <w:t>7</w:t>
                  </w:r>
                </w:p>
              </w:tc>
              <w:tc>
                <w:tcPr>
                  <w:tcW w:w="163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视频设备箱体电源</w:t>
                  </w:r>
                </w:p>
              </w:tc>
              <w:tc>
                <w:tcPr>
                  <w:tcW w:w="685"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16</w:t>
                  </w:r>
                </w:p>
              </w:tc>
              <w:tc>
                <w:tcPr>
                  <w:tcW w:w="60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套</w:t>
                  </w:r>
                </w:p>
              </w:tc>
              <w:tc>
                <w:tcPr>
                  <w:tcW w:w="1131"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tcBorders>
                    <w:top w:val="nil"/>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b/>
                      <w:sz w:val="21"/>
                    </w:rPr>
                    <w:t>8</w:t>
                  </w:r>
                </w:p>
              </w:tc>
              <w:tc>
                <w:tcPr>
                  <w:tcW w:w="163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自动重合闸装置</w:t>
                  </w:r>
                </w:p>
              </w:tc>
              <w:tc>
                <w:tcPr>
                  <w:tcW w:w="685"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21</w:t>
                  </w:r>
                </w:p>
              </w:tc>
              <w:tc>
                <w:tcPr>
                  <w:tcW w:w="60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个</w:t>
                  </w:r>
                </w:p>
              </w:tc>
              <w:tc>
                <w:tcPr>
                  <w:tcW w:w="1131"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bottom"/>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tcBorders>
                    <w:top w:val="nil"/>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b/>
                      <w:sz w:val="21"/>
                    </w:rPr>
                    <w:t>9</w:t>
                  </w:r>
                </w:p>
              </w:tc>
              <w:tc>
                <w:tcPr>
                  <w:tcW w:w="163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视频设备箱体</w:t>
                  </w:r>
                </w:p>
              </w:tc>
              <w:tc>
                <w:tcPr>
                  <w:tcW w:w="685"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1６</w:t>
                  </w:r>
                </w:p>
              </w:tc>
              <w:tc>
                <w:tcPr>
                  <w:tcW w:w="60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个</w:t>
                  </w:r>
                </w:p>
              </w:tc>
              <w:tc>
                <w:tcPr>
                  <w:tcW w:w="1131"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bottom"/>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tcBorders>
                    <w:top w:val="nil"/>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b/>
                      <w:sz w:val="21"/>
                    </w:rPr>
                    <w:t>10</w:t>
                  </w:r>
                </w:p>
              </w:tc>
              <w:tc>
                <w:tcPr>
                  <w:tcW w:w="163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视频设备杆体</w:t>
                  </w:r>
                </w:p>
              </w:tc>
              <w:tc>
                <w:tcPr>
                  <w:tcW w:w="685"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1６</w:t>
                  </w:r>
                </w:p>
              </w:tc>
              <w:tc>
                <w:tcPr>
                  <w:tcW w:w="60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根</w:t>
                  </w:r>
                </w:p>
              </w:tc>
              <w:tc>
                <w:tcPr>
                  <w:tcW w:w="1131"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bottom"/>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tcBorders>
                    <w:top w:val="nil"/>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b/>
                      <w:sz w:val="21"/>
                    </w:rPr>
                    <w:t>11</w:t>
                  </w:r>
                </w:p>
              </w:tc>
              <w:tc>
                <w:tcPr>
                  <w:tcW w:w="163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F型可变情报板</w:t>
                  </w:r>
                </w:p>
              </w:tc>
              <w:tc>
                <w:tcPr>
                  <w:tcW w:w="685"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5</w:t>
                  </w:r>
                </w:p>
              </w:tc>
              <w:tc>
                <w:tcPr>
                  <w:tcW w:w="60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套</w:t>
                  </w:r>
                </w:p>
              </w:tc>
              <w:tc>
                <w:tcPr>
                  <w:tcW w:w="1131" w:type="dxa"/>
                  <w:vMerge w:val="restart"/>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tcBorders>
                    <w:top w:val="nil"/>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b/>
                      <w:sz w:val="21"/>
                    </w:rPr>
                    <w:t>12</w:t>
                  </w:r>
                </w:p>
              </w:tc>
              <w:tc>
                <w:tcPr>
                  <w:tcW w:w="163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大屏控制器</w:t>
                  </w:r>
                </w:p>
              </w:tc>
              <w:tc>
                <w:tcPr>
                  <w:tcW w:w="685"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5</w:t>
                  </w:r>
                </w:p>
              </w:tc>
              <w:tc>
                <w:tcPr>
                  <w:tcW w:w="60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套</w:t>
                  </w:r>
                </w:p>
              </w:tc>
              <w:tc>
                <w:tcPr>
                  <w:tcW w:w="1131" w:type="dxa"/>
                  <w:vMerge w:val="continue"/>
                  <w:tcBorders>
                    <w:top w:val="nil"/>
                    <w:left w:val="nil"/>
                    <w:bottom w:val="single" w:color="000000" w:sz="8"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tcBorders>
                    <w:top w:val="nil"/>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b/>
                      <w:sz w:val="21"/>
                    </w:rPr>
                    <w:t>13</w:t>
                  </w:r>
                </w:p>
              </w:tc>
              <w:tc>
                <w:tcPr>
                  <w:tcW w:w="163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F型可变情报板杆件</w:t>
                  </w:r>
                </w:p>
              </w:tc>
              <w:tc>
                <w:tcPr>
                  <w:tcW w:w="685"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5</w:t>
                  </w:r>
                </w:p>
              </w:tc>
              <w:tc>
                <w:tcPr>
                  <w:tcW w:w="60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套</w:t>
                  </w:r>
                </w:p>
              </w:tc>
              <w:tc>
                <w:tcPr>
                  <w:tcW w:w="1131" w:type="dxa"/>
                  <w:tcBorders>
                    <w:top w:val="nil"/>
                    <w:left w:val="nil"/>
                    <w:bottom w:val="single" w:color="000000" w:sz="8" w:space="0"/>
                    <w:right w:val="single" w:color="000000" w:sz="8" w:space="0"/>
                  </w:tcBorders>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tcBorders>
                    <w:top w:val="nil"/>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b/>
                      <w:sz w:val="21"/>
                    </w:rPr>
                    <w:t>14</w:t>
                  </w:r>
                </w:p>
              </w:tc>
              <w:tc>
                <w:tcPr>
                  <w:tcW w:w="163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F型可变情报板设备箱体</w:t>
                  </w:r>
                </w:p>
              </w:tc>
              <w:tc>
                <w:tcPr>
                  <w:tcW w:w="685"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5</w:t>
                  </w:r>
                </w:p>
              </w:tc>
              <w:tc>
                <w:tcPr>
                  <w:tcW w:w="60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套</w:t>
                  </w:r>
                </w:p>
              </w:tc>
              <w:tc>
                <w:tcPr>
                  <w:tcW w:w="1131"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bottom"/>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tcBorders>
                    <w:top w:val="nil"/>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b/>
                      <w:sz w:val="21"/>
                    </w:rPr>
                    <w:t>15</w:t>
                  </w:r>
                </w:p>
              </w:tc>
              <w:tc>
                <w:tcPr>
                  <w:tcW w:w="163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F型可变情报板箱体电源</w:t>
                  </w:r>
                </w:p>
              </w:tc>
              <w:tc>
                <w:tcPr>
                  <w:tcW w:w="685"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5</w:t>
                  </w:r>
                </w:p>
              </w:tc>
              <w:tc>
                <w:tcPr>
                  <w:tcW w:w="60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套</w:t>
                  </w:r>
                </w:p>
              </w:tc>
              <w:tc>
                <w:tcPr>
                  <w:tcW w:w="1131"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tcBorders>
                    <w:top w:val="nil"/>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b/>
                      <w:sz w:val="21"/>
                    </w:rPr>
                    <w:t>16</w:t>
                  </w:r>
                </w:p>
              </w:tc>
              <w:tc>
                <w:tcPr>
                  <w:tcW w:w="163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传输链路服务</w:t>
                  </w:r>
                </w:p>
              </w:tc>
              <w:tc>
                <w:tcPr>
                  <w:tcW w:w="685"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1</w:t>
                  </w:r>
                </w:p>
              </w:tc>
              <w:tc>
                <w:tcPr>
                  <w:tcW w:w="60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项</w:t>
                  </w:r>
                </w:p>
              </w:tc>
              <w:tc>
                <w:tcPr>
                  <w:tcW w:w="1131"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bottom"/>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tcBorders>
                    <w:top w:val="nil"/>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b/>
                      <w:sz w:val="21"/>
                    </w:rPr>
                    <w:t>17</w:t>
                  </w:r>
                </w:p>
              </w:tc>
              <w:tc>
                <w:tcPr>
                  <w:tcW w:w="163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车船载流量卡</w:t>
                  </w:r>
                </w:p>
              </w:tc>
              <w:tc>
                <w:tcPr>
                  <w:tcW w:w="685"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６</w:t>
                  </w:r>
                </w:p>
              </w:tc>
              <w:tc>
                <w:tcPr>
                  <w:tcW w:w="60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项</w:t>
                  </w:r>
                </w:p>
              </w:tc>
              <w:tc>
                <w:tcPr>
                  <w:tcW w:w="1131"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bottom"/>
                </w:tcPr>
                <w:p>
                  <w:pPr>
                    <w:pStyle w:val="4"/>
                    <w:jc w:val="center"/>
                  </w:pPr>
                  <w:r>
                    <w:rPr>
                      <w:rFonts w:ascii="仿宋" w:hAnsi="仿宋" w:eastAsia="仿宋" w:cs="仿宋"/>
                      <w:sz w:val="21"/>
                    </w:rPr>
                    <w:t>≥10G/月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11" w:type="dxa"/>
                  <w:tcBorders>
                    <w:top w:val="nil"/>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b/>
                      <w:sz w:val="21"/>
                    </w:rPr>
                    <w:t>18</w:t>
                  </w:r>
                </w:p>
              </w:tc>
              <w:tc>
                <w:tcPr>
                  <w:tcW w:w="163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电费代缴服务</w:t>
                  </w:r>
                </w:p>
              </w:tc>
              <w:tc>
                <w:tcPr>
                  <w:tcW w:w="685"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1</w:t>
                  </w:r>
                </w:p>
              </w:tc>
              <w:tc>
                <w:tcPr>
                  <w:tcW w:w="600"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sz w:val="21"/>
                    </w:rPr>
                    <w:t>项</w:t>
                  </w:r>
                </w:p>
              </w:tc>
              <w:tc>
                <w:tcPr>
                  <w:tcW w:w="1131" w:type="dxa"/>
                  <w:tcBorders>
                    <w:top w:val="nil"/>
                    <w:left w:val="nil"/>
                    <w:bottom w:val="single" w:color="000000" w:sz="8" w:space="0"/>
                    <w:right w:val="single" w:color="000000" w:sz="8" w:space="0"/>
                  </w:tcBorders>
                  <w:shd w:val="clear" w:color="auto" w:fill="FFFFFF"/>
                  <w:tcMar>
                    <w:top w:w="0" w:type="dxa"/>
                    <w:left w:w="105" w:type="dxa"/>
                    <w:bottom w:w="0" w:type="dxa"/>
                    <w:right w:w="105" w:type="dxa"/>
                  </w:tcMar>
                  <w:vAlign w:val="bottom"/>
                </w:tcPr>
                <w:p>
                  <w:pPr>
                    <w:pStyle w:val="4"/>
                    <w:jc w:val="center"/>
                  </w:pPr>
                </w:p>
              </w:tc>
            </w:tr>
          </w:tbl>
          <w:p>
            <w:pPr>
              <w:pStyle w:val="4"/>
              <w:jc w:val="both"/>
            </w:pPr>
          </w:p>
          <w:p>
            <w:pPr>
              <w:pStyle w:val="4"/>
              <w:jc w:val="both"/>
            </w:pPr>
          </w:p>
          <w:p>
            <w:pPr>
              <w:pStyle w:val="4"/>
              <w:jc w:val="both"/>
            </w:pP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无</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无</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无</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自合同签订之日起365日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甘孜州（采购人指定地点）</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验收标准以磋商文件要求、成交供应商响应文件、相关行业标准为准。严格按照《关于进一步加强政府采购采购需求和履约验收管理的知道意见》 (财库〔2016〕205 号)、项目合同及采购人的要求等进行验收。验收时如发现不符合标准及合同约定之情形者，采购方做出详尽的现场记录或由双方签署备忘录，此现场记录或备忘录用作考核的有效证据。若验收不合格，成交供应商须根据验收要求及时整改，由此造成的损失由成交供应商一方负责；验收合格后出具验收报告。</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合同签订后15日 ，达到付款条件起 15 日内，支付合同总金额的 50.00%。</w:t>
      </w:r>
    </w:p>
    <w:p>
      <w:pPr>
        <w:pStyle w:val="4"/>
      </w:pPr>
      <w:r>
        <w:t>采购包1： 付款条件说明： 当年期满考核合格后，支付当年度服务费尾款 ，达到付款条件起 15 日内，支付合同总金额的 50.00%。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1.采购人、供应商双方必须遵守合同约定并执行合同中的各项规定，保证合同的正常履行。 2.如因供应商工作人员在履行职务过程中的的疏忽、失职、过错等故意或者过失原因给采购人造成损失或侵害，包括但不限于采购人本身的财产损失、由此而导致的采购人对任何第三方的法律责任等，供应商对此均应承担全部的赔偿责任。 3、解决争议的方法 (1) 因服务的质量问题发生争议，由采购人或其指定的第三方机构进行质量鉴定。服务质量符合标准的，鉴定费由采购人承担;服务质量不符合标准的，鉴定费由供应商承担。 (2) 合同履行期间，若双方发生争议，可协商或由有关部门调解解决，协商或调解不成的，向采购人当地仲裁委员会申请裁决。 （如与合同不一致的以合同为准）</w:t>
      </w:r>
    </w:p>
    <w:p>
      <w:pPr>
        <w:pStyle w:val="4"/>
        <w:jc w:val="left"/>
        <w:outlineLvl w:val="2"/>
      </w:pPr>
      <w:r>
        <w:rPr>
          <w:b/>
          <w:sz w:val="28"/>
        </w:rPr>
        <w:t>3.4其他要求</w:t>
      </w:r>
    </w:p>
    <w:p>
      <w:pPr>
        <w:pStyle w:val="4"/>
      </w:pPr>
    </w:p>
    <w:p>
      <w:pPr>
        <w:pStyle w:val="4"/>
      </w:pPr>
    </w:p>
    <w:p>
      <w:pPr>
        <w:pStyle w:val="4"/>
      </w:pPr>
      <w:r>
        <w:t>(1)知识产权要求：供应商应保证在本项目中所提供的任何一部分相关技术资料和成果资料，均不会产生因第三方提出侵犯其专利权、商标权或其它知识产权而引起的法律和经济纠纷。 (2)保密要求：采购人和供应商须按照《中华人民共和国保守国家秘密法》执行本项目实施方案编制,本项目服务过程中涉及的所有信息资料和成果资料的所有权均归采购人所有(包括采购人提供以及供应商自行收集的)，供应商对服务过程中涉及的所有信息资料负有保密义务，未经采购人同意供应商不得将信息资料透漏给第三方，否则采购人有权追究其法律责任。 (3)成交供应商应完全按照采购人的要求在法律法规和标准范围内修改成果文件。 (4)合同价款是供应商响应采购项目要求的工作内容的价格体现,包括完成本项目所涉及的人工劳务、设备投入、管理、利润、税金、风险及代理服务费等一切费用。供应商只允许有一个报价，任何有选择或可调整的报价将不予接受,并按无效响应处理。 （5）①供应商应根据项目特征制定总体服务计划，合理安排服务期内各项工作，及时响应采购人要求，快速处理各类服务要求。梳理各项巡检要点，分析重点难点，并制定针对性服务方案，保障项目顺利实施。 ②为保障本项目顺利进行，提升服务质量，供应商应制定运维质量保障措施，安全文明实施项目。 ③对于各类突发情况或临时故障，供应商应提前制定应急预案，有序处理各种意外情形。 ④供应商应做好档案管理，做到各项工作留痕，资料移交完整。</w:t>
      </w:r>
    </w:p>
    <w:p>
      <w:pPr>
        <w:pStyle w:val="4"/>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MjQ1ZGFhYTlkOTQ0MTQwNTRmZTAwNGU3YjA0NGYifQ=="/>
  </w:docVars>
  <w:rsids>
    <w:rsidRoot w:val="00000000"/>
    <w:rsid w:val="74DC3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2024-04-18T03:46:48Z</dcterms:created>
  <dc:creator>ThinkPad</dc:creator>
  <cp:lastModifiedBy>刘远祥</cp:lastModifiedBy>
  <dcterms:modified xsi:type="dcterms:W3CDTF">2024-04-18T03:47:49Z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08A2A909089548AD8387E5A046CE13F3_12</vt:lpwstr>
  </property>
</Properties>
</file>