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center"/>
        <w:outlineLvl w:val="0"/>
        <w:rPr>
          <w:rFonts w:hint="eastAsia"/>
          <w:b/>
          <w:sz w:val="48"/>
          <w:lang w:eastAsia="zh-CN"/>
        </w:rPr>
      </w:pPr>
    </w:p>
    <w:p>
      <w:pPr>
        <w:pStyle w:val="15"/>
        <w:jc w:val="center"/>
        <w:outlineLvl w:val="0"/>
        <w:rPr>
          <w:rFonts w:hint="eastAsia"/>
          <w:b/>
          <w:sz w:val="48"/>
          <w:lang w:eastAsia="zh-CN"/>
        </w:rPr>
      </w:pPr>
    </w:p>
    <w:p>
      <w:pPr>
        <w:pStyle w:val="15"/>
        <w:jc w:val="center"/>
        <w:outlineLvl w:val="0"/>
        <w:rPr>
          <w:rFonts w:hint="eastAsia"/>
          <w:b/>
          <w:sz w:val="48"/>
          <w:lang w:eastAsia="zh-CN"/>
        </w:rPr>
      </w:pPr>
    </w:p>
    <w:p>
      <w:pPr>
        <w:pStyle w:val="15"/>
        <w:jc w:val="center"/>
        <w:outlineLvl w:val="0"/>
        <w:rPr>
          <w:rFonts w:hint="eastAsia"/>
          <w:b/>
          <w:sz w:val="48"/>
          <w:lang w:eastAsia="zh-CN"/>
        </w:rPr>
      </w:pPr>
    </w:p>
    <w:p>
      <w:pPr>
        <w:pStyle w:val="15"/>
        <w:jc w:val="center"/>
        <w:outlineLvl w:val="0"/>
        <w:rPr>
          <w:rFonts w:hint="eastAsia"/>
          <w:b/>
          <w:sz w:val="48"/>
          <w:lang w:eastAsia="zh-CN"/>
        </w:rPr>
      </w:pPr>
    </w:p>
    <w:p>
      <w:pPr>
        <w:pStyle w:val="15"/>
        <w:jc w:val="center"/>
        <w:outlineLvl w:val="0"/>
        <w:rPr>
          <w:rFonts w:hint="eastAsia"/>
          <w:b/>
          <w:sz w:val="48"/>
          <w:lang w:eastAsia="zh-CN"/>
        </w:rPr>
      </w:pPr>
    </w:p>
    <w:p>
      <w:pPr>
        <w:pStyle w:val="15"/>
        <w:jc w:val="center"/>
        <w:outlineLvl w:val="0"/>
      </w:pPr>
      <w:r>
        <w:rPr>
          <w:rFonts w:hint="eastAsia"/>
          <w:b/>
          <w:sz w:val="48"/>
          <w:lang w:eastAsia="zh-CN"/>
        </w:rPr>
        <w:t>采购需求</w:t>
      </w:r>
      <w:r>
        <w:br w:type="textWrapping"/>
      </w:r>
      <w:r>
        <w:br w:type="textWrapping"/>
      </w:r>
      <w:r>
        <w:br w:type="textWrapping"/>
      </w:r>
    </w:p>
    <w:p>
      <w:pPr>
        <w:pStyle w:val="15"/>
        <w:jc w:val="center"/>
        <w:outlineLvl w:val="1"/>
      </w:pPr>
      <w:r>
        <w:rPr>
          <w:b/>
          <w:sz w:val="36"/>
        </w:rPr>
        <w:t>（服务类）</w:t>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pStyle w:val="15"/>
        <w:jc w:val="center"/>
        <w:outlineLvl w:val="2"/>
      </w:pPr>
      <w:r>
        <w:rPr>
          <w:b/>
          <w:sz w:val="28"/>
        </w:rPr>
        <w:t>采购项目名称：调查编撰贡嘎山保护区植物卷</w:t>
      </w:r>
    </w:p>
    <w:p>
      <w:pPr>
        <w:jc w:val="center"/>
      </w:pPr>
      <w:r>
        <w:rPr>
          <w:b/>
          <w:sz w:val="28"/>
        </w:rPr>
        <w:t>采购项目编号：N5133112024000069</w:t>
      </w:r>
      <w:r>
        <w:br w:type="textWrapping"/>
      </w:r>
      <w:r>
        <w:br w:type="textWrapping"/>
      </w:r>
    </w:p>
    <w:p>
      <w:r>
        <w:br w:type="page"/>
      </w:r>
    </w:p>
    <w:p>
      <w:pPr>
        <w:pStyle w:val="15"/>
        <w:jc w:val="center"/>
        <w:outlineLvl w:val="1"/>
      </w:pPr>
      <w:r>
        <w:rPr>
          <w:b/>
          <w:sz w:val="36"/>
        </w:rPr>
        <w:t>招标项目技术、服务、商务及其他要求</w:t>
      </w:r>
    </w:p>
    <w:p>
      <w:pPr>
        <w:pStyle w:val="15"/>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15"/>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15"/>
        <w:outlineLvl w:val="2"/>
      </w:pPr>
      <w:r>
        <w:rPr>
          <w:b/>
          <w:sz w:val="28"/>
        </w:rPr>
        <w:t>3.1采购项目概况</w:t>
      </w:r>
    </w:p>
    <w:p>
      <w:pPr>
        <w:pStyle w:val="15"/>
        <w:ind w:firstLine="480"/>
      </w:pPr>
    </w:p>
    <w:p>
      <w:pPr>
        <w:pStyle w:val="15"/>
      </w:pPr>
    </w:p>
    <w:p>
      <w:pPr>
        <w:pStyle w:val="15"/>
      </w:pPr>
      <w:r>
        <w:t>在贡嘎山植物多样性已有研究的基础上，全面整理整合贡嘎山植物物种多样性名录、物种地理分布、物种图片等资料和数据；通过DNA barcoding、专家鉴定、野外补充考察等，进一步补充和完善贡嘎山高等植物多样性名录，补充部分植物图片；在此基础上，邀请全国专家参与编写《贡嘎山保护区生物多样性丛书-植物卷》一书。</w:t>
      </w:r>
    </w:p>
    <w:p>
      <w:pPr>
        <w:pStyle w:val="15"/>
        <w:outlineLvl w:val="2"/>
      </w:pPr>
      <w:r>
        <w:rPr>
          <w:b/>
          <w:sz w:val="28"/>
        </w:rPr>
        <w:t>3.2服务内容及服务要求</w:t>
      </w:r>
    </w:p>
    <w:p>
      <w:pPr>
        <w:pStyle w:val="15"/>
        <w:outlineLvl w:val="3"/>
      </w:pPr>
      <w:r>
        <w:rPr>
          <w:b/>
          <w:sz w:val="24"/>
        </w:rPr>
        <w:t>3.2.1服务内容</w:t>
      </w:r>
    </w:p>
    <w:p>
      <w:pPr>
        <w:pStyle w:val="15"/>
      </w:pPr>
    </w:p>
    <w:p>
      <w:pPr>
        <w:pStyle w:val="15"/>
      </w:pPr>
    </w:p>
    <w:p>
      <w:pPr>
        <w:pStyle w:val="15"/>
      </w:pPr>
      <w:r>
        <w:t>采购包1：</w:t>
      </w:r>
    </w:p>
    <w:p>
      <w:pPr>
        <w:pStyle w:val="15"/>
      </w:pPr>
      <w:r>
        <w:t>采购包预算金额（元）: 890,000.00</w:t>
      </w:r>
    </w:p>
    <w:p>
      <w:pPr>
        <w:pStyle w:val="15"/>
      </w:pPr>
      <w:r>
        <w:t>采购包最高限价（元）: 890,000.00</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15"/>
            </w:pPr>
            <w:r>
              <w:t>序号</w:t>
            </w:r>
          </w:p>
        </w:tc>
        <w:tc>
          <w:tcPr>
            <w:tcW w:w="1271" w:type="dxa"/>
          </w:tcPr>
          <w:p>
            <w:pPr>
              <w:pStyle w:val="15"/>
            </w:pPr>
            <w:r>
              <w:t>标的名称</w:t>
            </w:r>
          </w:p>
        </w:tc>
        <w:tc>
          <w:tcPr>
            <w:tcW w:w="848" w:type="dxa"/>
          </w:tcPr>
          <w:p>
            <w:pPr>
              <w:pStyle w:val="15"/>
            </w:pPr>
            <w:r>
              <w:t>数量</w:t>
            </w:r>
          </w:p>
        </w:tc>
        <w:tc>
          <w:tcPr>
            <w:tcW w:w="1356" w:type="dxa"/>
          </w:tcPr>
          <w:p>
            <w:pPr>
              <w:pStyle w:val="15"/>
            </w:pPr>
            <w:r>
              <w:t>标的金额 （元）</w:t>
            </w:r>
          </w:p>
        </w:tc>
        <w:tc>
          <w:tcPr>
            <w:tcW w:w="678" w:type="dxa"/>
          </w:tcPr>
          <w:p>
            <w:pPr>
              <w:pStyle w:val="15"/>
            </w:pPr>
            <w:r>
              <w:t>计量单位</w:t>
            </w:r>
          </w:p>
        </w:tc>
        <w:tc>
          <w:tcPr>
            <w:tcW w:w="678" w:type="dxa"/>
          </w:tcPr>
          <w:p>
            <w:pPr>
              <w:pStyle w:val="15"/>
            </w:pPr>
            <w:r>
              <w:t>所属行业</w:t>
            </w:r>
          </w:p>
        </w:tc>
        <w:tc>
          <w:tcPr>
            <w:tcW w:w="593" w:type="dxa"/>
          </w:tcPr>
          <w:p>
            <w:pPr>
              <w:pStyle w:val="15"/>
            </w:pPr>
            <w:r>
              <w:t>是否涉及核心产品</w:t>
            </w:r>
          </w:p>
        </w:tc>
        <w:tc>
          <w:tcPr>
            <w:tcW w:w="678" w:type="dxa"/>
          </w:tcPr>
          <w:p>
            <w:pPr>
              <w:pStyle w:val="15"/>
            </w:pPr>
            <w:r>
              <w:t>是否涉及采购进口产品</w:t>
            </w:r>
          </w:p>
        </w:tc>
        <w:tc>
          <w:tcPr>
            <w:tcW w:w="678" w:type="dxa"/>
          </w:tcPr>
          <w:p>
            <w:pPr>
              <w:pStyle w:val="15"/>
            </w:pPr>
            <w:r>
              <w:t>是否涉及采购节能产品</w:t>
            </w:r>
          </w:p>
        </w:tc>
        <w:tc>
          <w:tcPr>
            <w:tcW w:w="848" w:type="dxa"/>
          </w:tcPr>
          <w:p>
            <w:pPr>
              <w:pStyle w:val="15"/>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15"/>
            </w:pPr>
            <w:r>
              <w:t>1</w:t>
            </w:r>
          </w:p>
        </w:tc>
        <w:tc>
          <w:tcPr>
            <w:tcW w:w="1271" w:type="dxa"/>
          </w:tcPr>
          <w:p>
            <w:pPr>
              <w:pStyle w:val="15"/>
            </w:pPr>
            <w:r>
              <w:t>调查编撰贡嘎山保护区植物卷</w:t>
            </w:r>
          </w:p>
        </w:tc>
        <w:tc>
          <w:tcPr>
            <w:tcW w:w="848" w:type="dxa"/>
          </w:tcPr>
          <w:p>
            <w:pPr>
              <w:pStyle w:val="15"/>
              <w:jc w:val="right"/>
            </w:pPr>
            <w:r>
              <w:t>1.00</w:t>
            </w:r>
          </w:p>
        </w:tc>
        <w:tc>
          <w:tcPr>
            <w:tcW w:w="1356" w:type="dxa"/>
          </w:tcPr>
          <w:p>
            <w:pPr>
              <w:pStyle w:val="15"/>
              <w:jc w:val="right"/>
            </w:pPr>
            <w:r>
              <w:t>890,000.00</w:t>
            </w:r>
          </w:p>
        </w:tc>
        <w:tc>
          <w:tcPr>
            <w:tcW w:w="678" w:type="dxa"/>
          </w:tcPr>
          <w:p>
            <w:pPr>
              <w:pStyle w:val="15"/>
            </w:pPr>
            <w:r>
              <w:t>项</w:t>
            </w:r>
          </w:p>
        </w:tc>
        <w:tc>
          <w:tcPr>
            <w:tcW w:w="678" w:type="dxa"/>
          </w:tcPr>
          <w:p>
            <w:pPr>
              <w:pStyle w:val="15"/>
            </w:pPr>
            <w:r>
              <w:t>其他未列明行业</w:t>
            </w:r>
          </w:p>
        </w:tc>
        <w:tc>
          <w:tcPr>
            <w:tcW w:w="593" w:type="dxa"/>
          </w:tcPr>
          <w:p>
            <w:pPr>
              <w:pStyle w:val="15"/>
            </w:pPr>
            <w:r>
              <w:t>否</w:t>
            </w:r>
          </w:p>
        </w:tc>
        <w:tc>
          <w:tcPr>
            <w:tcW w:w="678" w:type="dxa"/>
          </w:tcPr>
          <w:p>
            <w:pPr>
              <w:pStyle w:val="15"/>
            </w:pPr>
            <w:r>
              <w:t>否</w:t>
            </w:r>
          </w:p>
        </w:tc>
        <w:tc>
          <w:tcPr>
            <w:tcW w:w="678" w:type="dxa"/>
          </w:tcPr>
          <w:p>
            <w:pPr>
              <w:pStyle w:val="15"/>
            </w:pPr>
            <w:r>
              <w:t>否</w:t>
            </w:r>
          </w:p>
        </w:tc>
        <w:tc>
          <w:tcPr>
            <w:tcW w:w="848" w:type="dxa"/>
          </w:tcPr>
          <w:p>
            <w:pPr>
              <w:pStyle w:val="15"/>
            </w:pPr>
            <w:r>
              <w:t>否</w:t>
            </w:r>
          </w:p>
        </w:tc>
      </w:tr>
    </w:tbl>
    <w:p>
      <w:pPr>
        <w:pStyle w:val="15"/>
        <w:outlineLvl w:val="3"/>
      </w:pPr>
      <w:r>
        <w:rPr>
          <w:b/>
          <w:sz w:val="24"/>
        </w:rPr>
        <w:t>3.2.2服务要求</w:t>
      </w:r>
    </w:p>
    <w:p>
      <w:pPr>
        <w:pStyle w:val="15"/>
      </w:pPr>
    </w:p>
    <w:p>
      <w:pPr>
        <w:pStyle w:val="15"/>
      </w:pPr>
    </w:p>
    <w:p>
      <w:pPr>
        <w:pStyle w:val="15"/>
      </w:pPr>
    </w:p>
    <w:p>
      <w:pPr>
        <w:pStyle w:val="15"/>
      </w:pPr>
      <w:r>
        <w:t>采购包1：</w:t>
      </w:r>
    </w:p>
    <w:p>
      <w:pPr>
        <w:pStyle w:val="15"/>
      </w:pPr>
    </w:p>
    <w:p>
      <w:pPr>
        <w:pStyle w:val="15"/>
      </w:pPr>
      <w:r>
        <w:t>标的名称：调查编撰贡嘎山保护区植物卷</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5"/>
            </w:pPr>
            <w:r>
              <w:t xml:space="preserve"> 参数性质</w:t>
            </w:r>
          </w:p>
        </w:tc>
        <w:tc>
          <w:tcPr>
            <w:tcW w:w="2769" w:type="dxa"/>
          </w:tcPr>
          <w:p>
            <w:pPr>
              <w:pStyle w:val="15"/>
            </w:pPr>
            <w:r>
              <w:t xml:space="preserve"> 序号</w:t>
            </w:r>
          </w:p>
        </w:tc>
        <w:tc>
          <w:tcPr>
            <w:tcW w:w="2769" w:type="dxa"/>
          </w:tcPr>
          <w:p>
            <w:pPr>
              <w:pStyle w:val="15"/>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15"/>
            </w:pPr>
            <w:r>
              <w:t>★</w:t>
            </w:r>
          </w:p>
        </w:tc>
        <w:tc>
          <w:tcPr>
            <w:tcW w:w="2769" w:type="dxa"/>
          </w:tcPr>
          <w:p>
            <w:pPr>
              <w:pStyle w:val="15"/>
            </w:pPr>
            <w:r>
              <w:t>1</w:t>
            </w:r>
          </w:p>
        </w:tc>
        <w:tc>
          <w:tcPr>
            <w:tcW w:w="2769" w:type="dxa"/>
          </w:tcPr>
          <w:p>
            <w:pPr>
              <w:pStyle w:val="15"/>
              <w:ind w:firstLine="482"/>
            </w:pPr>
            <w:r>
              <w:rPr>
                <w:rFonts w:ascii="楷体" w:hAnsi="楷体" w:eastAsia="楷体" w:cs="楷体"/>
                <w:b/>
                <w:sz w:val="24"/>
              </w:rPr>
              <w:t>1、工作内容</w:t>
            </w:r>
          </w:p>
          <w:p>
            <w:pPr>
              <w:pStyle w:val="15"/>
              <w:ind w:firstLine="472"/>
            </w:pPr>
            <w:r>
              <w:rPr>
                <w:rFonts w:ascii="楷体" w:hAnsi="楷体" w:eastAsia="楷体" w:cs="楷体"/>
                <w:sz w:val="24"/>
              </w:rPr>
              <w:t>在贡嘎山植物多样性已有研究的基础上，通过DNA barcoding、专家鉴定、野外补充考察等，进一步补充和完善贡嘎山高等植物多样性名录；通过多种方式补充贡嘎山高等植物植物图片；全面整理整合贡嘎山约4500种高等植物名录；在此基础上，建设地理分布信息完善的物种地理信息库，80%物种有GPS等地理分布信息；建设高等植物图片库，约4000种高等植物有彩色照片；邀请全国专家参与编写《贡嘎山保护区生物多样性丛书  植物卷》，数量约2000册。内容至少包含：贡嘎山自然历史条件、贡嘎山植被、贡嘎山植物多样性、贡嘎山植物名录和图片。</w:t>
            </w:r>
          </w:p>
          <w:p>
            <w:pPr>
              <w:pStyle w:val="15"/>
            </w:pPr>
            <w:r>
              <w:rPr>
                <w:rFonts w:ascii="楷体" w:hAnsi="楷体" w:eastAsia="楷体" w:cs="楷体"/>
                <w:sz w:val="24"/>
              </w:rPr>
              <w:t xml:space="preserve">  整理保护区近10年的植物多样性考察文献资料，对贡嘎山兰科、豆科、禾本科、菊科等疑难类群开展专项研究，开展贡嘎山调查空白地区1次补充调查，补充空白地区和一些疑难物种的标本，对保护区管理局标本馆未鉴定标本的进行鉴定，对疑难物种使用DNA barcoding 等进行研究，全面更新贡嘎山高等植物名录，形成权威、准确的贡嘎山高等植物名录, 名录的所有物种名称需要有凭证标本。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15"/>
            </w:pPr>
            <w:r>
              <w:t>2</w:t>
            </w:r>
          </w:p>
        </w:tc>
        <w:tc>
          <w:tcPr>
            <w:tcW w:w="2769" w:type="dxa"/>
          </w:tcPr>
          <w:p>
            <w:pPr>
              <w:pStyle w:val="15"/>
              <w:ind w:firstLine="482"/>
            </w:pPr>
            <w:r>
              <w:rPr>
                <w:rFonts w:ascii="楷体" w:hAnsi="楷体" w:eastAsia="楷体" w:cs="楷体"/>
                <w:b/>
                <w:sz w:val="24"/>
              </w:rPr>
              <w:t>2、其他要求</w:t>
            </w:r>
          </w:p>
          <w:p>
            <w:pPr>
              <w:pStyle w:val="15"/>
              <w:ind w:firstLine="480"/>
            </w:pPr>
            <w:r>
              <w:rPr>
                <w:rFonts w:ascii="楷体" w:hAnsi="楷体" w:eastAsia="楷体" w:cs="楷体"/>
                <w:b/>
                <w:sz w:val="24"/>
              </w:rPr>
              <w:t>★</w:t>
            </w:r>
            <w:r>
              <w:rPr>
                <w:rFonts w:ascii="楷体" w:hAnsi="楷体" w:eastAsia="楷体" w:cs="楷体"/>
                <w:sz w:val="24"/>
              </w:rPr>
              <w:t>（1）投标人不得以采购人名义从事与本项目无关的其他任何活动，否则，采购人有权上报监督管理部门，终止采购合同，并追究投标人责任。</w:t>
            </w:r>
            <w:r>
              <w:rPr>
                <w:rFonts w:ascii="楷体" w:hAnsi="楷体" w:eastAsia="楷体" w:cs="楷体"/>
                <w:b/>
                <w:sz w:val="24"/>
              </w:rPr>
              <w:t>（提供承诺函并加盖投标人公章，格式自拟）</w:t>
            </w:r>
          </w:p>
          <w:p>
            <w:pPr>
              <w:pStyle w:val="15"/>
              <w:ind w:firstLine="480"/>
            </w:pPr>
            <w:r>
              <w:rPr>
                <w:rFonts w:ascii="楷体" w:hAnsi="楷体" w:eastAsia="楷体" w:cs="楷体"/>
                <w:b/>
                <w:sz w:val="24"/>
              </w:rPr>
              <w:t>★</w:t>
            </w:r>
            <w:r>
              <w:rPr>
                <w:rFonts w:ascii="楷体" w:hAnsi="楷体" w:eastAsia="楷体" w:cs="楷体"/>
                <w:sz w:val="24"/>
              </w:rPr>
              <w:t>（2）在服务过程中，投标人服务团队人员的安全责任由投标人自行承担。</w:t>
            </w:r>
            <w:r>
              <w:rPr>
                <w:rFonts w:ascii="楷体" w:hAnsi="楷体" w:eastAsia="楷体" w:cs="楷体"/>
                <w:b/>
                <w:sz w:val="24"/>
              </w:rPr>
              <w:t>（提供承诺函并加盖投标人公章，格式自拟）</w:t>
            </w:r>
          </w:p>
          <w:p>
            <w:pPr>
              <w:pStyle w:val="15"/>
              <w:ind w:firstLine="480"/>
            </w:pPr>
            <w:r>
              <w:rPr>
                <w:rFonts w:ascii="楷体" w:hAnsi="楷体" w:eastAsia="楷体" w:cs="楷体"/>
                <w:sz w:val="24"/>
              </w:rPr>
              <w:t>（3）为保障本项目高质量按时完成，针对本项目作业团队需配备项目实施人员不少于10人。</w:t>
            </w:r>
          </w:p>
          <w:p>
            <w:pPr>
              <w:pStyle w:val="15"/>
              <w:ind w:firstLine="482"/>
            </w:pPr>
            <w:r>
              <w:rPr>
                <w:rFonts w:ascii="楷体" w:hAnsi="楷体" w:eastAsia="楷体" w:cs="楷体"/>
                <w:b/>
                <w:sz w:val="24"/>
              </w:rPr>
              <w:t>3、方案要求</w:t>
            </w:r>
          </w:p>
          <w:p>
            <w:pPr>
              <w:pStyle w:val="15"/>
              <w:ind w:firstLine="480"/>
            </w:pPr>
            <w:r>
              <w:rPr>
                <w:rFonts w:ascii="楷体" w:hAnsi="楷体" w:eastAsia="楷体" w:cs="楷体"/>
                <w:sz w:val="24"/>
              </w:rPr>
              <w:t>投标人应当结合投标人自身的实际情况和对本项目采购文件的响应情况编制技术服务方案、实施方案、后续保障方案：</w:t>
            </w:r>
          </w:p>
          <w:p>
            <w:pPr>
              <w:pStyle w:val="15"/>
              <w:ind w:firstLine="480"/>
            </w:pPr>
            <w:r>
              <w:rPr>
                <w:rFonts w:ascii="楷体" w:hAnsi="楷体" w:eastAsia="楷体" w:cs="楷体"/>
                <w:sz w:val="24"/>
              </w:rPr>
              <w:t>（1）技术服务方案包含但不限于①项目分析理解及整体规划；②技术路线及流程；③各分项调查时间安排；④重难点分析及对策；</w:t>
            </w:r>
          </w:p>
          <w:p>
            <w:pPr>
              <w:pStyle w:val="15"/>
              <w:ind w:firstLine="480"/>
            </w:pPr>
            <w:r>
              <w:rPr>
                <w:rFonts w:ascii="楷体" w:hAnsi="楷体" w:eastAsia="楷体" w:cs="楷体"/>
                <w:sz w:val="24"/>
              </w:rPr>
              <w:t>（2）实施方案包含但不限于①管理及后勤保障措施；②数据管理方案；③数据、图片质量保障方案；④整理流程；⑤安全保障方案；⑥服务人员配置方案；⑦保密措施及制度；</w:t>
            </w:r>
          </w:p>
          <w:p>
            <w:pPr>
              <w:pStyle w:val="15"/>
              <w:ind w:firstLine="480"/>
            </w:pPr>
            <w:r>
              <w:rPr>
                <w:rFonts w:ascii="楷体" w:hAnsi="楷体" w:eastAsia="楷体" w:cs="楷体"/>
                <w:sz w:val="24"/>
              </w:rPr>
              <w:t>（3）后续保障方案包含但不限于①后续服务人员安排；②后续服务响应时间；③数据问题售后服务流程。</w:t>
            </w:r>
          </w:p>
        </w:tc>
      </w:tr>
    </w:tbl>
    <w:p>
      <w:pPr>
        <w:pStyle w:val="15"/>
        <w:outlineLvl w:val="3"/>
      </w:pPr>
      <w:r>
        <w:rPr>
          <w:b/>
          <w:sz w:val="24"/>
        </w:rPr>
        <w:t>3.2.3人员配置要求</w:t>
      </w:r>
    </w:p>
    <w:p>
      <w:pPr>
        <w:pStyle w:val="15"/>
      </w:pPr>
    </w:p>
    <w:p>
      <w:pPr>
        <w:pStyle w:val="15"/>
      </w:pPr>
    </w:p>
    <w:p>
      <w:pPr>
        <w:pStyle w:val="15"/>
      </w:pPr>
    </w:p>
    <w:p>
      <w:pPr>
        <w:pStyle w:val="15"/>
      </w:pPr>
      <w:r>
        <w:t>采购包1：</w:t>
      </w:r>
    </w:p>
    <w:p>
      <w:pPr>
        <w:pStyle w:val="15"/>
      </w:pPr>
      <w:r>
        <w:t>详见3.2.2服务要求</w:t>
      </w:r>
    </w:p>
    <w:p>
      <w:pPr>
        <w:pStyle w:val="15"/>
        <w:outlineLvl w:val="3"/>
      </w:pPr>
      <w:r>
        <w:rPr>
          <w:b/>
          <w:sz w:val="24"/>
        </w:rPr>
        <w:t>3.2.4设施设备配置要求</w:t>
      </w:r>
    </w:p>
    <w:p>
      <w:pPr>
        <w:pStyle w:val="15"/>
      </w:pPr>
    </w:p>
    <w:p>
      <w:pPr>
        <w:pStyle w:val="15"/>
      </w:pPr>
    </w:p>
    <w:p>
      <w:pPr>
        <w:pStyle w:val="15"/>
      </w:pPr>
    </w:p>
    <w:p>
      <w:pPr>
        <w:pStyle w:val="15"/>
      </w:pPr>
      <w:r>
        <w:t>采购包1：</w:t>
      </w:r>
    </w:p>
    <w:p>
      <w:pPr>
        <w:pStyle w:val="15"/>
      </w:pPr>
      <w:r>
        <w:t>详见3.2.2服务要求</w:t>
      </w:r>
    </w:p>
    <w:p>
      <w:pPr>
        <w:pStyle w:val="15"/>
        <w:outlineLvl w:val="3"/>
      </w:pPr>
      <w:r>
        <w:rPr>
          <w:b/>
          <w:sz w:val="24"/>
        </w:rPr>
        <w:t>3.2.5其他要求</w:t>
      </w:r>
    </w:p>
    <w:p>
      <w:pPr>
        <w:pStyle w:val="15"/>
      </w:pPr>
    </w:p>
    <w:p>
      <w:pPr>
        <w:pStyle w:val="15"/>
      </w:pPr>
    </w:p>
    <w:p>
      <w:pPr>
        <w:pStyle w:val="15"/>
      </w:pPr>
    </w:p>
    <w:p>
      <w:pPr>
        <w:pStyle w:val="15"/>
      </w:pPr>
      <w:r>
        <w:t>采购包1：</w:t>
      </w:r>
    </w:p>
    <w:p>
      <w:pPr>
        <w:pStyle w:val="15"/>
      </w:pPr>
      <w:r>
        <w:t>/</w:t>
      </w:r>
    </w:p>
    <w:p>
      <w:pPr>
        <w:pStyle w:val="15"/>
        <w:outlineLvl w:val="2"/>
      </w:pPr>
      <w:r>
        <w:rPr>
          <w:b/>
          <w:sz w:val="28"/>
        </w:rPr>
        <w:t>3.3商务要求</w:t>
      </w:r>
    </w:p>
    <w:p>
      <w:pPr>
        <w:pStyle w:val="15"/>
        <w:outlineLvl w:val="3"/>
      </w:pPr>
      <w:r>
        <w:rPr>
          <w:b/>
          <w:sz w:val="24"/>
        </w:rPr>
        <w:t>3.3.1服务期限</w:t>
      </w:r>
    </w:p>
    <w:p>
      <w:pPr>
        <w:pStyle w:val="15"/>
      </w:pPr>
    </w:p>
    <w:p>
      <w:pPr>
        <w:pStyle w:val="15"/>
      </w:pPr>
    </w:p>
    <w:p>
      <w:pPr>
        <w:pStyle w:val="15"/>
      </w:pPr>
    </w:p>
    <w:p>
      <w:pPr>
        <w:pStyle w:val="15"/>
      </w:pPr>
      <w:r>
        <w:t>采购包1：</w:t>
      </w:r>
    </w:p>
    <w:p>
      <w:pPr>
        <w:pStyle w:val="15"/>
      </w:pPr>
      <w:r>
        <w:t xml:space="preserve"> 自合同签订之日起730日</w:t>
      </w:r>
    </w:p>
    <w:p>
      <w:pPr>
        <w:pStyle w:val="15"/>
        <w:outlineLvl w:val="3"/>
      </w:pPr>
      <w:r>
        <w:rPr>
          <w:b/>
          <w:sz w:val="24"/>
        </w:rPr>
        <w:t>3.3.2服务地点</w:t>
      </w:r>
    </w:p>
    <w:p>
      <w:pPr>
        <w:pStyle w:val="15"/>
      </w:pPr>
    </w:p>
    <w:p>
      <w:pPr>
        <w:pStyle w:val="15"/>
      </w:pPr>
    </w:p>
    <w:p>
      <w:pPr>
        <w:pStyle w:val="15"/>
      </w:pPr>
    </w:p>
    <w:p>
      <w:pPr>
        <w:pStyle w:val="15"/>
      </w:pPr>
      <w:r>
        <w:t>采购包1：</w:t>
      </w:r>
    </w:p>
    <w:p>
      <w:pPr>
        <w:pStyle w:val="15"/>
      </w:pPr>
      <w:r>
        <w:t>采购人指定地点</w:t>
      </w:r>
    </w:p>
    <w:p>
      <w:pPr>
        <w:pStyle w:val="15"/>
        <w:outlineLvl w:val="3"/>
      </w:pPr>
      <w:r>
        <w:rPr>
          <w:b/>
          <w:sz w:val="24"/>
        </w:rPr>
        <w:t>3.3.3考核（验收）标准和方法</w:t>
      </w:r>
    </w:p>
    <w:p>
      <w:pPr>
        <w:pStyle w:val="15"/>
      </w:pPr>
    </w:p>
    <w:p>
      <w:pPr>
        <w:pStyle w:val="15"/>
      </w:pPr>
    </w:p>
    <w:p>
      <w:pPr>
        <w:pStyle w:val="15"/>
      </w:pPr>
    </w:p>
    <w:p>
      <w:pPr>
        <w:pStyle w:val="15"/>
      </w:pPr>
      <w:r>
        <w:t>采购包1：</w:t>
      </w:r>
    </w:p>
    <w:p>
      <w:pPr>
        <w:pStyle w:val="15"/>
      </w:pPr>
      <w:r>
        <w:t>（1）按国家有关规定以及采购人招标文件的质量要求和技术指标、中标人的响应文件及承诺与本合同约定标准进行验收；采购人、中标人双方如对质量要求和技术指标的约定标准有相互抵触或异议的事项，由采购人在招标文件与响应文件中按质量要求和技术指标比较优胜的原则确定该项的约定标准进行验收。 （2）其他未尽事宜应严格按照政府采购相关法律法规、《财政部关于进一步加强政府采购需求和履约验收管理的指导意见》（财库〔2016〕205号）的要求及国家行业主管部门规定的标准、方法和内容组织验收。 （3）成果资料以通过采购人审查为验收合格。</w:t>
      </w:r>
    </w:p>
    <w:p>
      <w:pPr>
        <w:pStyle w:val="15"/>
        <w:outlineLvl w:val="3"/>
      </w:pPr>
      <w:r>
        <w:rPr>
          <w:b/>
          <w:sz w:val="24"/>
        </w:rPr>
        <w:t>3.3.4支付方式</w:t>
      </w:r>
    </w:p>
    <w:p>
      <w:pPr>
        <w:pStyle w:val="15"/>
      </w:pPr>
    </w:p>
    <w:p>
      <w:pPr>
        <w:pStyle w:val="15"/>
      </w:pPr>
    </w:p>
    <w:p>
      <w:pPr>
        <w:pStyle w:val="15"/>
      </w:pPr>
    </w:p>
    <w:p>
      <w:pPr>
        <w:pStyle w:val="15"/>
      </w:pPr>
      <w:r>
        <w:t>采购包1：</w:t>
      </w:r>
    </w:p>
    <w:p>
      <w:pPr>
        <w:pStyle w:val="15"/>
      </w:pPr>
      <w:r>
        <w:t>分期付款</w:t>
      </w:r>
    </w:p>
    <w:p>
      <w:pPr>
        <w:pStyle w:val="15"/>
        <w:outlineLvl w:val="3"/>
      </w:pPr>
      <w:r>
        <w:rPr>
          <w:b/>
          <w:sz w:val="24"/>
        </w:rPr>
        <w:t>3.3.5.支付约定</w:t>
      </w:r>
    </w:p>
    <w:p>
      <w:pPr>
        <w:pStyle w:val="15"/>
      </w:pPr>
    </w:p>
    <w:p>
      <w:pPr>
        <w:pStyle w:val="15"/>
      </w:pPr>
    </w:p>
    <w:p>
      <w:pPr>
        <w:pStyle w:val="15"/>
      </w:pPr>
    </w:p>
    <w:p>
      <w:pPr>
        <w:pStyle w:val="15"/>
      </w:pPr>
      <w:r>
        <w:t>采购包1： 付款条件说明： 合同签订生效后 ，达到付款条件起 7 日内，支付合同总金额的 40.00%。</w:t>
      </w:r>
    </w:p>
    <w:p>
      <w:pPr>
        <w:pStyle w:val="15"/>
      </w:pPr>
      <w:r>
        <w:t>采购包1： 付款条件说明： 完成实地调查并经采购人确认后 ，达到付款条件起 15 日内，支付合同总金额的 40.00%。</w:t>
      </w:r>
    </w:p>
    <w:p>
      <w:pPr>
        <w:pStyle w:val="15"/>
      </w:pPr>
      <w:r>
        <w:t>采购包1： 付款条件说明： 项目通过验收后 ，达到付款条件起 15 日内，支付合同总金额的 20.00%。</w:t>
      </w:r>
    </w:p>
    <w:p>
      <w:pPr>
        <w:pStyle w:val="15"/>
        <w:outlineLvl w:val="3"/>
      </w:pPr>
      <w:r>
        <w:rPr>
          <w:b/>
          <w:sz w:val="24"/>
        </w:rPr>
        <w:t>3.3.6违约责任与解决争议的方法</w:t>
      </w:r>
    </w:p>
    <w:p>
      <w:pPr>
        <w:pStyle w:val="15"/>
      </w:pPr>
    </w:p>
    <w:p>
      <w:pPr>
        <w:pStyle w:val="15"/>
      </w:pPr>
    </w:p>
    <w:p>
      <w:pPr>
        <w:pStyle w:val="15"/>
      </w:pPr>
    </w:p>
    <w:p>
      <w:pPr>
        <w:pStyle w:val="15"/>
      </w:pPr>
      <w:r>
        <w:t>采购包1：</w:t>
      </w:r>
    </w:p>
    <w:p>
      <w:pPr>
        <w:pStyle w:val="15"/>
      </w:pPr>
      <w:r>
        <w:t>一、违约责任 （1）甲、乙双方必须遵守并执行本合同中的各项约定，保证本合同的正常履行。否则，因违约导致对方损失的，违约方应当就此承担全部赔偿责任。 （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（3）乙方服务工作质量不符合本合同要求的，甲方有权要求乙方限期整改，若乙方拒绝整改、逾期整改或者经两次整改后仍不符合要求的，则甲方有权解除合同，并追究乙方违约责任。 二、解决争议的办法 （1）在执行本合同中发生的或与本合同有关的任何争端，双方应通过友好协商解决，协商不成时，应向甲方所在地人民法院提起诉讼。 （2）因乙方违反合同约定或者未按照约定履行合同等导致诉讼的，甲方因此支出的诉讼费、律师费、差旅费等一切费用均由乙方承担。 （3）诉讼期间，除正在诉讼的部分外，合同其他部分继续执行。</w:t>
      </w:r>
    </w:p>
    <w:p>
      <w:pPr>
        <w:pStyle w:val="15"/>
        <w:jc w:val="left"/>
        <w:outlineLvl w:val="2"/>
      </w:pPr>
      <w:r>
        <w:rPr>
          <w:b/>
          <w:sz w:val="28"/>
        </w:rPr>
        <w:t>3.4其他要求</w:t>
      </w:r>
    </w:p>
    <w:p>
      <w:pPr>
        <w:pStyle w:val="15"/>
      </w:pPr>
    </w:p>
    <w:p>
      <w:pPr>
        <w:pStyle w:val="15"/>
      </w:pPr>
    </w:p>
    <w:p>
      <w:pPr>
        <w:pStyle w:val="15"/>
      </w:pPr>
      <w:r>
        <w:t>★（1）报价包含：投标人因履行本项目服务义务所需的人工、文字撰写、素材收集、编制、设备、保险、利润、税金、售后等完成本项目的所有费用。若因投标人原因造成的漏报、错报而导致重复工作成本，由投标人负责，采购人不会承担任何费用。★（2）本项目所有工作成果知识产权归属：①投标人应保证在本项目中使用的任何产品和服务（包括部分使用），不会产生因第三方提出侵犯其专利权、商标权或其它知识产权而引起的法律和经济纠纷，如因专利权、商标权或其它知识产权而引起法律和经济纠纷，由投标人承担所有相关责任。投标人应落实本项目涉及保密内容相关要求。②采购人享有本项目实施过程中产生的全部知识成果及知识产权。</w:t>
      </w:r>
    </w:p>
    <w:p>
      <w:pPr>
        <w:pStyle w:val="15"/>
      </w:pPr>
    </w:p>
    <w:p>
      <w:pPr>
        <w:jc w:val="cente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8E96D0"/>
    <w:multiLevelType w:val="multilevel"/>
    <w:tmpl w:val="658E96D0"/>
    <w:lvl w:ilvl="0" w:tentative="0">
      <w:start w:val="1"/>
      <w:numFmt w:val="chineseCounting"/>
      <w:pStyle w:val="2"/>
      <w:suff w:val="nothing"/>
      <w:lvlText w:val="第%1章 "/>
      <w:lvlJc w:val="left"/>
      <w:pPr>
        <w:ind w:left="432" w:hanging="432"/>
      </w:pPr>
      <w:rPr>
        <w:rFonts w:hint="eastAsia"/>
      </w:rPr>
    </w:lvl>
    <w:lvl w:ilvl="1" w:tentative="0">
      <w:start w:val="1"/>
      <w:numFmt w:val="decimal"/>
      <w:pStyle w:val="3"/>
      <w:isLgl/>
      <w:lvlText w:val="%1.%2."/>
      <w:lvlJc w:val="left"/>
      <w:pPr>
        <w:ind w:left="575" w:hanging="575"/>
      </w:pPr>
      <w:rPr>
        <w:rFonts w:hint="eastAsia"/>
      </w:rPr>
    </w:lvl>
    <w:lvl w:ilvl="2" w:tentative="0">
      <w:start w:val="1"/>
      <w:numFmt w:val="decimal"/>
      <w:pStyle w:val="4"/>
      <w:isLgl/>
      <w:lvlText w:val="%1.%2.%3."/>
      <w:lvlJc w:val="left"/>
      <w:pPr>
        <w:ind w:left="120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xMzY1NWJmYzMzZjMzNWYxNzUzOGIwMzFhOWYzM2UifQ=="/>
  </w:docVars>
  <w:rsids>
    <w:rsidRoot w:val="6B6017F3"/>
    <w:rsid w:val="101071C4"/>
    <w:rsid w:val="3B711359"/>
    <w:rsid w:val="430B1A01"/>
    <w:rsid w:val="54B42D2A"/>
    <w:rsid w:val="5C567DFB"/>
    <w:rsid w:val="64A348B5"/>
    <w:rsid w:val="67F618CF"/>
    <w:rsid w:val="6B601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numPr>
        <w:ilvl w:val="0"/>
        <w:numId w:val="1"/>
      </w:numPr>
      <w:tabs>
        <w:tab w:val="left" w:pos="0"/>
      </w:tabs>
      <w:spacing w:before="0" w:beforeAutospacing="1" w:after="-2147483648" w:afterAutospacing="1"/>
      <w:ind w:left="0" w:firstLine="0"/>
      <w:jc w:val="center"/>
      <w:outlineLvl w:val="0"/>
    </w:pPr>
    <w:rPr>
      <w:rFonts w:hint="eastAsia" w:ascii="宋体" w:hAnsi="宋体" w:eastAsia="宋体" w:cs="宋体"/>
      <w:b/>
      <w:bCs/>
      <w:kern w:val="44"/>
      <w:sz w:val="24"/>
      <w:szCs w:val="48"/>
      <w:lang w:bidi="ar"/>
    </w:rPr>
  </w:style>
  <w:style w:type="paragraph" w:styleId="3">
    <w:name w:val="heading 2"/>
    <w:basedOn w:val="1"/>
    <w:next w:val="1"/>
    <w:link w:val="13"/>
    <w:autoRedefine/>
    <w:semiHidden/>
    <w:unhideWhenUsed/>
    <w:qFormat/>
    <w:uiPriority w:val="0"/>
    <w:pPr>
      <w:keepNext/>
      <w:keepLines/>
      <w:numPr>
        <w:ilvl w:val="1"/>
        <w:numId w:val="1"/>
      </w:numPr>
      <w:tabs>
        <w:tab w:val="left" w:pos="420"/>
      </w:tabs>
      <w:spacing w:line="360" w:lineRule="auto"/>
      <w:ind w:left="575" w:hanging="575"/>
      <w:jc w:val="center"/>
      <w:outlineLvl w:val="1"/>
    </w:pPr>
    <w:rPr>
      <w:rFonts w:ascii="Arial" w:hAnsi="Arial" w:eastAsia="宋体" w:cs="Times New Roman"/>
      <w:b/>
      <w:sz w:val="32"/>
    </w:rPr>
  </w:style>
  <w:style w:type="paragraph" w:styleId="4">
    <w:name w:val="heading 3"/>
    <w:basedOn w:val="1"/>
    <w:next w:val="1"/>
    <w:autoRedefine/>
    <w:semiHidden/>
    <w:unhideWhenUsed/>
    <w:qFormat/>
    <w:uiPriority w:val="0"/>
    <w:pPr>
      <w:keepNext/>
      <w:keepLines/>
      <w:numPr>
        <w:ilvl w:val="2"/>
        <w:numId w:val="1"/>
      </w:numPr>
      <w:spacing w:beforeLines="0" w:beforeAutospacing="0" w:afterLines="0" w:afterAutospacing="0" w:line="413" w:lineRule="auto"/>
      <w:ind w:left="1200" w:hanging="720"/>
      <w:jc w:val="center"/>
      <w:outlineLvl w:val="2"/>
    </w:pPr>
    <w:rPr>
      <w:rFonts w:ascii="Times New Roman" w:hAnsi="Times New Roman" w:eastAsia="宋体" w:cs="Times New Roman"/>
      <w:b/>
      <w:sz w:val="30"/>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2">
    <w:name w:val="Default Paragraph Font"/>
    <w:autoRedefine/>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character" w:customStyle="1" w:styleId="13">
    <w:name w:val="标题 2 Char"/>
    <w:link w:val="3"/>
    <w:autoRedefine/>
    <w:qFormat/>
    <w:uiPriority w:val="0"/>
    <w:rPr>
      <w:rFonts w:ascii="Arial" w:hAnsi="Arial" w:eastAsia="宋体" w:cs="Times New Roman"/>
      <w:b/>
      <w:sz w:val="32"/>
    </w:rPr>
  </w:style>
  <w:style w:type="character" w:customStyle="1" w:styleId="14">
    <w:name w:val="标题 1 Char"/>
    <w:link w:val="2"/>
    <w:autoRedefine/>
    <w:qFormat/>
    <w:uiPriority w:val="0"/>
    <w:rPr>
      <w:rFonts w:hint="eastAsia" w:ascii="宋体" w:hAnsi="宋体" w:eastAsia="宋体" w:cs="宋体"/>
      <w:b/>
      <w:bCs/>
      <w:kern w:val="44"/>
      <w:sz w:val="24"/>
      <w:szCs w:val="48"/>
      <w:lang w:val="en-US" w:eastAsia="zh-CN" w:bidi="ar"/>
    </w:rPr>
  </w:style>
  <w:style w:type="paragraph" w:customStyle="1" w:styleId="15">
    <w:name w:val="null3"/>
    <w:autoRedefine/>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2024-04-17T08:11:00Z</dcterms:created>
  <dc:creator>鹿</dc:creator>
  <cp:lastModifiedBy>鹿</cp:lastModifiedBy>
  <dcterms:modified xsi:type="dcterms:W3CDTF">2024-04-17T08:12:41Z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6A378A94D30C4C229BF3B93246BA3A83_11</vt:lpwstr>
  </property>
</Properties>
</file>