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采购2800户户厕及安装。</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14,739,200.00</w:t>
      </w:r>
    </w:p>
    <w:p>
      <w:pPr>
        <w:pStyle w:val="4"/>
      </w:pPr>
      <w:r>
        <w:t>采购包最高限价（元）: 14,739,200.00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80"/>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双坑交替式卫生户厕</w:t>
            </w:r>
          </w:p>
        </w:tc>
        <w:tc>
          <w:tcPr>
            <w:tcW w:w="848" w:type="dxa"/>
          </w:tcPr>
          <w:p>
            <w:pPr>
              <w:pStyle w:val="4"/>
              <w:jc w:val="right"/>
            </w:pPr>
            <w:r>
              <w:t>2,800.00</w:t>
            </w:r>
          </w:p>
        </w:tc>
        <w:tc>
          <w:tcPr>
            <w:tcW w:w="1356" w:type="dxa"/>
          </w:tcPr>
          <w:p>
            <w:pPr>
              <w:pStyle w:val="4"/>
              <w:jc w:val="right"/>
            </w:pPr>
            <w:r>
              <w:t>14,739,200.00</w:t>
            </w:r>
          </w:p>
        </w:tc>
        <w:tc>
          <w:tcPr>
            <w:tcW w:w="678" w:type="dxa"/>
          </w:tcPr>
          <w:p>
            <w:pPr>
              <w:pStyle w:val="4"/>
            </w:pPr>
            <w:r>
              <w:t>个</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标的名称：双坑交替式卫生户厕</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宋体" w:hAnsi="宋体" w:eastAsia="宋体" w:cs="宋体"/>
                <w:sz w:val="24"/>
              </w:rPr>
              <w:t>主体</w:t>
            </w:r>
          </w:p>
          <w:p>
            <w:pPr>
              <w:pStyle w:val="4"/>
              <w:jc w:val="both"/>
            </w:pPr>
            <w:r>
              <w:rPr>
                <w:rFonts w:ascii="宋体" w:hAnsi="宋体" w:eastAsia="宋体" w:cs="宋体"/>
                <w:sz w:val="24"/>
              </w:rPr>
              <w:t>1.冲厕方式：生态旱厕免冲洗；</w:t>
            </w:r>
          </w:p>
          <w:p>
            <w:pPr>
              <w:pStyle w:val="4"/>
            </w:pPr>
            <w:r>
              <w:rPr>
                <w:rFonts w:ascii="宋体" w:hAnsi="宋体" w:eastAsia="宋体" w:cs="宋体"/>
                <w:sz w:val="24"/>
              </w:rPr>
              <w:t>2.处理方式：加入牛粪、枯草等作为自然填料，经过发酵后形成有机堆肥；</w:t>
            </w:r>
          </w:p>
          <w:p>
            <w:pPr>
              <w:pStyle w:val="4"/>
            </w:pPr>
            <w:r>
              <w:rPr>
                <w:rFonts w:ascii="宋体" w:hAnsi="宋体" w:eastAsia="宋体" w:cs="宋体"/>
                <w:sz w:val="24"/>
              </w:rPr>
              <w:t xml:space="preserve">3.厕所外观：设计结合当地建筑环境风格和自然气候特征；  </w:t>
            </w:r>
          </w:p>
          <w:p>
            <w:pPr>
              <w:pStyle w:val="4"/>
            </w:pPr>
            <w:r>
              <w:rPr>
                <w:rFonts w:ascii="宋体" w:hAnsi="宋体" w:eastAsia="宋体" w:cs="宋体"/>
                <w:sz w:val="24"/>
              </w:rPr>
              <w:t>4.占地面积：2.8㎡</w:t>
            </w:r>
          </w:p>
          <w:p>
            <w:pPr>
              <w:pStyle w:val="4"/>
            </w:pPr>
            <w:r>
              <w:rPr>
                <w:rFonts w:ascii="宋体" w:hAnsi="宋体" w:eastAsia="宋体" w:cs="宋体"/>
                <w:sz w:val="24"/>
              </w:rPr>
              <w:t>5.尺寸：2050*1430*2350mm</w:t>
            </w:r>
          </w:p>
          <w:p>
            <w:pPr>
              <w:pStyle w:val="4"/>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rPr>
                <w:rFonts w:ascii="宋体" w:hAnsi="宋体" w:eastAsia="宋体" w:cs="宋体"/>
                <w:sz w:val="24"/>
              </w:rPr>
              <w:t>房体配置</w:t>
            </w:r>
          </w:p>
          <w:p>
            <w:pPr>
              <w:pStyle w:val="4"/>
              <w:jc w:val="both"/>
            </w:pPr>
          </w:p>
          <w:p>
            <w:pPr>
              <w:pStyle w:val="4"/>
              <w:jc w:val="both"/>
            </w:pPr>
            <w:r>
              <w:rPr>
                <w:rFonts w:ascii="宋体" w:hAnsi="宋体" w:eastAsia="宋体" w:cs="宋体"/>
                <w:sz w:val="24"/>
              </w:rPr>
              <w:t>1.整个厕所符合GB4706.1-2005、GB/T10001.1-2012，厕所整体不会有任何变形、颤动现象；</w:t>
            </w:r>
          </w:p>
          <w:p>
            <w:pPr>
              <w:pStyle w:val="4"/>
            </w:pPr>
            <w:r>
              <w:rPr>
                <w:rFonts w:ascii="宋体" w:hAnsi="宋体" w:eastAsia="宋体" w:cs="宋体"/>
                <w:sz w:val="24"/>
              </w:rPr>
              <w:t>2.厕所主框架采用钢结构龙骨；</w:t>
            </w:r>
          </w:p>
          <w:p>
            <w:pPr>
              <w:pStyle w:val="4"/>
            </w:pPr>
            <w:r>
              <w:rPr>
                <w:rFonts w:ascii="宋体" w:hAnsi="宋体" w:eastAsia="宋体" w:cs="宋体"/>
                <w:sz w:val="24"/>
              </w:rPr>
              <w:t>3.墙体采用EPS保温板；</w:t>
            </w:r>
          </w:p>
          <w:p>
            <w:pPr>
              <w:pStyle w:val="4"/>
            </w:pPr>
            <w:r>
              <w:rPr>
                <w:rFonts w:ascii="宋体" w:hAnsi="宋体" w:eastAsia="宋体" w:cs="宋体"/>
                <w:sz w:val="24"/>
              </w:rPr>
              <w:t>4.门窗：房体门采用墙体采用EPS保温板制作，门锁采用50不锈钢球形锁；厕间两侧安装塑钢百叶窗，厚度50mm，自然通风型良好；</w:t>
            </w:r>
          </w:p>
          <w:p>
            <w:pPr>
              <w:pStyle w:val="4"/>
            </w:pPr>
            <w:r>
              <w:rPr>
                <w:rFonts w:ascii="宋体" w:hAnsi="宋体" w:eastAsia="宋体" w:cs="宋体"/>
                <w:sz w:val="24"/>
              </w:rPr>
              <w:t>5.屋顶：屋面采用EPS保温板制作；具备厕所隐私型功能，屋顶造型与厕所整体相协调，符合当地文化特色。</w:t>
            </w:r>
          </w:p>
          <w:p>
            <w:pPr>
              <w:pStyle w:val="4"/>
            </w:pPr>
            <w:r>
              <w:rPr>
                <w:rFonts w:ascii="宋体" w:hAnsi="宋体" w:eastAsia="宋体" w:cs="宋体"/>
                <w:sz w:val="24"/>
              </w:rPr>
              <w:t>6.330*40*2.0mm镀锌扁铁90°居中弯折埋入地下，并与房体墙面螺栓固定，C25混凝土覆盖扁铁进行底座加固。</w:t>
            </w:r>
          </w:p>
          <w:p>
            <w:pPr>
              <w:pStyle w:val="4"/>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rFonts w:ascii="宋体" w:hAnsi="宋体" w:eastAsia="宋体" w:cs="宋体"/>
                <w:sz w:val="24"/>
              </w:rPr>
              <w:t>厕间配置</w:t>
            </w:r>
          </w:p>
          <w:p>
            <w:pPr>
              <w:pStyle w:val="4"/>
              <w:jc w:val="both"/>
            </w:pPr>
          </w:p>
          <w:p>
            <w:pPr>
              <w:pStyle w:val="4"/>
              <w:jc w:val="both"/>
            </w:pPr>
            <w:r>
              <w:rPr>
                <w:rFonts w:ascii="宋体" w:hAnsi="宋体" w:eastAsia="宋体" w:cs="宋体"/>
                <w:sz w:val="24"/>
              </w:rPr>
              <w:t>1.厕间LED灯:≥25W ，用于如厕人员照明。</w:t>
            </w:r>
          </w:p>
          <w:p>
            <w:pPr>
              <w:pStyle w:val="4"/>
            </w:pPr>
            <w:r>
              <w:rPr>
                <w:rFonts w:ascii="宋体" w:hAnsi="宋体" w:eastAsia="宋体" w:cs="宋体"/>
                <w:sz w:val="24"/>
              </w:rPr>
              <w:t>2.标识系统:厕所门上部安装厕门标识，材质使用亚克力，字体及颜色与公厕相协调，标识应符合相关标准要求。</w:t>
            </w:r>
          </w:p>
          <w:p>
            <w:pPr>
              <w:pStyle w:val="4"/>
            </w:pPr>
            <w:r>
              <w:rPr>
                <w:rFonts w:ascii="宋体" w:hAnsi="宋体" w:eastAsia="宋体" w:cs="宋体"/>
                <w:sz w:val="24"/>
              </w:rPr>
              <w:t>3.顶部采用藏式装饰格。</w:t>
            </w:r>
          </w:p>
          <w:p>
            <w:pPr>
              <w:pStyle w:val="4"/>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pPr>
            <w:r>
              <w:rPr>
                <w:rFonts w:ascii="宋体" w:hAnsi="宋体" w:eastAsia="宋体" w:cs="宋体"/>
                <w:sz w:val="24"/>
              </w:rPr>
              <w:t>双坑旱厕化粪池</w:t>
            </w:r>
          </w:p>
          <w:p>
            <w:pPr>
              <w:pStyle w:val="4"/>
              <w:jc w:val="left"/>
            </w:pPr>
          </w:p>
          <w:p>
            <w:pPr>
              <w:pStyle w:val="4"/>
              <w:jc w:val="left"/>
            </w:pPr>
            <w:r>
              <w:rPr>
                <w:rFonts w:ascii="宋体" w:hAnsi="宋体" w:eastAsia="宋体" w:cs="宋体"/>
                <w:sz w:val="24"/>
              </w:rPr>
              <w:t>▲1.外观：外观:内、外表面应色泽均匀、光滑平整，无可见裂纹、裂痕无明显划痕，无鼓包、分层无玻璃纤维裸露，无穿透性砂眼，100mmx100mm 面积内直径大于1mm 的砂眼不超过3个;加强筋应完整无缺损（需提供具有检测资质的第三方检测机构出具的检验检测报告复印件。）</w:t>
            </w:r>
          </w:p>
          <w:p>
            <w:pPr>
              <w:pStyle w:val="4"/>
            </w:pPr>
            <w:r>
              <w:rPr>
                <w:rFonts w:ascii="宋体" w:hAnsi="宋体" w:eastAsia="宋体" w:cs="宋体"/>
                <w:sz w:val="24"/>
              </w:rPr>
              <w:t>▲2.尺寸(厚度):平均厚度≥3.5mm，最小厚度≥3.15mm。（需提供具有检测资质的第三方检测机构出具的检验检测报告复印件。）</w:t>
            </w:r>
          </w:p>
          <w:p>
            <w:pPr>
              <w:pStyle w:val="4"/>
            </w:pPr>
            <w:r>
              <w:rPr>
                <w:rFonts w:ascii="宋体" w:hAnsi="宋体" w:eastAsia="宋体" w:cs="宋体"/>
                <w:sz w:val="24"/>
              </w:rPr>
              <w:t>▲3.渗漏性：无渗透现象且无明显变形。（需提供具有检测资质的第三方检测机构出具的检验检测报告复印件。）</w:t>
            </w:r>
          </w:p>
          <w:p>
            <w:pPr>
              <w:pStyle w:val="4"/>
            </w:pPr>
            <w:r>
              <w:rPr>
                <w:rFonts w:ascii="宋体" w:hAnsi="宋体" w:eastAsia="宋体" w:cs="宋体"/>
                <w:sz w:val="24"/>
              </w:rPr>
              <w:t>▲4.吸水率≤0.5%。（需提供具有检测资质的第三方检测机构出具的检验检测报告复印件。）</w:t>
            </w:r>
          </w:p>
          <w:p>
            <w:pPr>
              <w:pStyle w:val="4"/>
            </w:pPr>
            <w:r>
              <w:rPr>
                <w:rFonts w:ascii="宋体" w:hAnsi="宋体" w:eastAsia="宋体" w:cs="宋体"/>
                <w:sz w:val="24"/>
              </w:rPr>
              <w:t>▲5.弯曲强度≥135MPa。（需提供具有检测资质的第三方检测机构出具的检验检测报告复印件。）</w:t>
            </w:r>
          </w:p>
          <w:p>
            <w:pPr>
              <w:pStyle w:val="4"/>
            </w:pPr>
            <w:r>
              <w:rPr>
                <w:rFonts w:ascii="宋体" w:hAnsi="宋体" w:eastAsia="宋体" w:cs="宋体"/>
                <w:sz w:val="24"/>
              </w:rPr>
              <w:t>▲6.弯曲弹性模量≥8.0GPa。（需提供具有检测资质的第三方检测机构出具的检验检测报告复印件。）</w:t>
            </w:r>
          </w:p>
          <w:p>
            <w:pPr>
              <w:pStyle w:val="4"/>
            </w:pPr>
            <w:r>
              <w:rPr>
                <w:rFonts w:ascii="宋体" w:hAnsi="宋体" w:eastAsia="宋体" w:cs="宋体"/>
                <w:sz w:val="24"/>
              </w:rPr>
              <w:t>▲7.纤维含量≥25%。（需提供具有检测资质的第三方检测机构出具的检验检测报告复印件。）</w:t>
            </w:r>
          </w:p>
          <w:p>
            <w:pPr>
              <w:pStyle w:val="4"/>
            </w:pPr>
            <w:r>
              <w:rPr>
                <w:rFonts w:ascii="宋体" w:hAnsi="宋体" w:eastAsia="宋体" w:cs="宋体"/>
                <w:sz w:val="24"/>
              </w:rPr>
              <w:t>▲8.冲击性能：池体表面无断裂性裂纹、穿透性破坏。（需提供具有检测资质的第三方检测机构出具的检验检测报告复印件）</w:t>
            </w:r>
          </w:p>
          <w:p>
            <w:pPr>
              <w:pStyle w:val="4"/>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pPr>
            <w:r>
              <w:rPr>
                <w:rFonts w:ascii="宋体" w:hAnsi="宋体" w:eastAsia="宋体" w:cs="宋体"/>
                <w:sz w:val="24"/>
              </w:rPr>
              <w:t>厕所基础</w:t>
            </w:r>
          </w:p>
          <w:p>
            <w:pPr>
              <w:pStyle w:val="4"/>
              <w:jc w:val="both"/>
            </w:pPr>
          </w:p>
          <w:p>
            <w:pPr>
              <w:pStyle w:val="4"/>
            </w:pPr>
            <w:r>
              <w:rPr>
                <w:rFonts w:ascii="宋体" w:hAnsi="宋体" w:eastAsia="宋体" w:cs="宋体"/>
                <w:sz w:val="24"/>
              </w:rPr>
              <w:t>1.地面混凝土固定基坑安装，150mmX200mmX6960mm。</w:t>
            </w:r>
          </w:p>
          <w:p>
            <w:pPr>
              <w:pStyle w:val="4"/>
            </w:pPr>
            <w:r>
              <w:rPr>
                <w:rFonts w:ascii="宋体" w:hAnsi="宋体" w:eastAsia="宋体" w:cs="宋体"/>
                <w:sz w:val="24"/>
              </w:rPr>
              <w:t>2.混凝土标号C25。</w:t>
            </w:r>
          </w:p>
          <w:p>
            <w:pPr>
              <w:pStyle w:val="4"/>
              <w:jc w:val="both"/>
            </w:pP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合同签订后，采购人在收到投标人开具的有效发票 ，达到付款条件起 10 日内，支付合同总金额的 30.00%。</w:t>
      </w:r>
    </w:p>
    <w:p>
      <w:pPr>
        <w:pStyle w:val="4"/>
      </w:pPr>
      <w:r>
        <w:t>采购包1： 付款条件说明： 安装完成且验收合格后，采购人在收到投标人开具的有效发票 ，达到付款条件起 10 日内，支付合同总金额的 67.00%。</w:t>
      </w:r>
    </w:p>
    <w:p>
      <w:pPr>
        <w:pStyle w:val="4"/>
      </w:pPr>
      <w:r>
        <w:t>采购包1： 付款条件说明： 质保期1年内无质量问题后，采购人在收到投标人开具的有效发票 ，达到付款条件起 10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详见第二章投标人须知中2.6.5履约验收方案</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质保期：1年</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2、甲方逾期支付服务费的，除应及时付足服务外，应向乙方偿付欠款总额万分之三/天的违约金；逾期付款超过60天的，乙方有权终止合同； 3、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
        <w:jc w:val="left"/>
        <w:outlineLvl w:val="2"/>
      </w:pPr>
      <w:r>
        <w:rPr>
          <w:b/>
          <w:sz w:val="28"/>
        </w:rPr>
        <w:t>3.5其他要求</w:t>
      </w:r>
    </w:p>
    <w:p>
      <w:pPr>
        <w:pStyle w:val="4"/>
      </w:pPr>
    </w:p>
    <w:p>
      <w:pPr>
        <w:pStyle w:val="4"/>
      </w:pPr>
    </w:p>
    <w:p>
      <w:pPr>
        <w:pStyle w:val="4"/>
      </w:pPr>
      <w:r>
        <w:t>3.5.1投标人应针对本项目提供项目实施方案，包括①时间保障措施、②质量保证措施、③实施人员配置、 ④安全控制措施、 ⑤环境保护管理及措施、⑥应急措施。 3.5.2投标人应针对本项目提供项目售后服务方案，包括①售后部门设置、②售后服务流程及售后人员结构图、③货物配备及服务应急措施。 3.5.3本项目所引用的规范/标准/文件，如有最新版本，依照其最新规定执行。 3.5.4政府采购合同签订时间及要求：成交供应商应在成交通知书发出之日起三十日内与采购人签订采购合同。由于成交供应商的原因逾期未与采购人签订采购合同的，将视为放弃成交，取消其成交资格并将按相关规定进行处理。 3.5.5报价要求：投标人的报价包含：人工、货物、运输到场、上下车费、安装、税金、利润及其他不可预见费、代理费等一切费用。采购人在项目结算时不再向中标人支付其他任何费用。如出现在投标报价估算错误等引起的损失由投标人自行承担。 3.5.6质量要求： 1．投标人不得以次充好；产品来源渠道必须合法。（投标人在投标文件中提供承诺函并加盖投标人公章）。 2．投标人所提供的货物是经检验合格的全新正品。（投标人在投标文件中提供承诺函并加盖投标人公章） 3．提供的货物各项技术标准必须符合最新国家标准。 3.5.7安装调试要求： 1.中标人负责产品安装、调试，直至采购人能正常使用，所需的一切材料、备件、专业工具、专业人员均由中标人负责提供。中标人应向采购人提供产品安装、维修所需的专用工具和仪器，所涉及的价格包括在报价总价格中。 3.5.8售后服务要求： 1.质保期内出现质量问题，中标人在接到通知后2小时内响应，24 小时内到场完成维修或更换，并承担修理调换的一切费用；如货物经中标人3次维修仍不能达到本合同约定的质量标准，视作中标人未能按时交货，采购人有权退货终止合同。 2.备件送达维修期限：在设备的使用寿命期内，投标人应保证配件的送达维修不超过 2 天。【注：本章3.4商务要求、3.5其他要求中3.5.5-3.5.8 的内容均为实质性要求，不允许有负偏离。】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ZTYzNTZiMjBlYWNiMzk2N2IwNzExYTIyN2YxN2UifQ=="/>
  </w:docVars>
  <w:rsids>
    <w:rsidRoot w:val="2EAA5830"/>
    <w:rsid w:val="1F0E3028"/>
    <w:rsid w:val="2EAA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2024-04-15T10:45:00Z</dcterms:created>
  <dc:creator>Administrator</dc:creator>
  <cp:lastModifiedBy>Administrator</cp:lastModifiedBy>
  <dcterms:modified xsi:type="dcterms:W3CDTF">2024-04-17T07:33:08Z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73A435275053422DBED741DB0DC101A1_11</vt:lpwstr>
  </property>
</Properties>
</file>