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color w:val="auto"/>
          <w:sz w:val="48"/>
          <w:szCs w:val="32"/>
        </w:rPr>
      </w:pPr>
      <w:bookmarkStart w:id="1" w:name="_GoBack"/>
      <w:bookmarkEnd w:id="1"/>
    </w:p>
    <w:p>
      <w:pPr>
        <w:jc w:val="center"/>
        <w:rPr>
          <w:rFonts w:hint="eastAsia" w:ascii="仿宋" w:hAnsi="仿宋" w:eastAsia="仿宋" w:cs="仿宋"/>
          <w:b/>
          <w:color w:val="auto"/>
          <w:sz w:val="48"/>
          <w:szCs w:val="32"/>
          <w:lang w:eastAsia="zh-CN"/>
        </w:rPr>
      </w:pPr>
      <w:r>
        <w:rPr>
          <w:rFonts w:hint="eastAsia" w:ascii="仿宋" w:hAnsi="仿宋" w:eastAsia="仿宋" w:cs="仿宋"/>
          <w:b/>
          <w:color w:val="auto"/>
          <w:sz w:val="48"/>
          <w:szCs w:val="32"/>
          <w:lang w:eastAsia="zh-CN"/>
        </w:rPr>
        <w:t>金阳县财政局会议室音频设备、LED显示屏等设备采购项目</w:t>
      </w:r>
    </w:p>
    <w:p>
      <w:pPr>
        <w:pStyle w:val="2"/>
        <w:rPr>
          <w:rFonts w:hint="eastAsia" w:ascii="仿宋" w:hAnsi="仿宋" w:eastAsia="仿宋" w:cs="仿宋"/>
          <w:b/>
          <w:color w:val="auto"/>
          <w:sz w:val="48"/>
          <w:szCs w:val="32"/>
        </w:rPr>
      </w:pPr>
    </w:p>
    <w:p>
      <w:pPr>
        <w:pStyle w:val="5"/>
        <w:rPr>
          <w:color w:val="auto"/>
        </w:rPr>
      </w:pPr>
    </w:p>
    <w:p>
      <w:pPr>
        <w:jc w:val="center"/>
        <w:rPr>
          <w:color w:val="auto"/>
        </w:rPr>
      </w:pPr>
      <w:r>
        <w:rPr>
          <w:rFonts w:hint="eastAsia" w:ascii="仿宋" w:hAnsi="仿宋" w:eastAsia="仿宋" w:cs="仿宋"/>
          <w:b/>
          <w:color w:val="auto"/>
          <w:sz w:val="52"/>
          <w:szCs w:val="48"/>
        </w:rPr>
        <w:t>需</w:t>
      </w:r>
    </w:p>
    <w:p>
      <w:pPr>
        <w:jc w:val="center"/>
        <w:rPr>
          <w:color w:val="auto"/>
        </w:rPr>
      </w:pPr>
      <w:r>
        <w:rPr>
          <w:rFonts w:hint="eastAsia" w:ascii="仿宋" w:hAnsi="仿宋" w:eastAsia="仿宋" w:cs="仿宋"/>
          <w:b/>
          <w:color w:val="auto"/>
          <w:sz w:val="52"/>
          <w:szCs w:val="48"/>
        </w:rPr>
        <w:t>求</w:t>
      </w:r>
    </w:p>
    <w:p>
      <w:pPr>
        <w:jc w:val="center"/>
        <w:rPr>
          <w:color w:val="auto"/>
        </w:rPr>
      </w:pPr>
      <w:r>
        <w:rPr>
          <w:rFonts w:hint="eastAsia" w:ascii="仿宋" w:hAnsi="仿宋" w:eastAsia="仿宋" w:cs="仿宋"/>
          <w:b/>
          <w:color w:val="auto"/>
          <w:sz w:val="52"/>
          <w:szCs w:val="48"/>
        </w:rPr>
        <w:t>论</w:t>
      </w:r>
    </w:p>
    <w:p>
      <w:pPr>
        <w:jc w:val="center"/>
        <w:rPr>
          <w:color w:val="auto"/>
        </w:rPr>
      </w:pPr>
      <w:r>
        <w:rPr>
          <w:rFonts w:hint="eastAsia" w:ascii="仿宋" w:hAnsi="仿宋" w:eastAsia="仿宋" w:cs="仿宋"/>
          <w:b/>
          <w:color w:val="auto"/>
          <w:sz w:val="52"/>
          <w:szCs w:val="48"/>
        </w:rPr>
        <w:t>证</w:t>
      </w:r>
    </w:p>
    <w:p>
      <w:pPr>
        <w:jc w:val="center"/>
        <w:rPr>
          <w:color w:val="auto"/>
        </w:rPr>
      </w:pPr>
      <w:r>
        <w:rPr>
          <w:rFonts w:hint="eastAsia" w:ascii="仿宋" w:hAnsi="仿宋" w:eastAsia="仿宋" w:cs="仿宋"/>
          <w:b/>
          <w:color w:val="auto"/>
          <w:sz w:val="52"/>
          <w:szCs w:val="48"/>
        </w:rPr>
        <w:t>报</w:t>
      </w:r>
    </w:p>
    <w:p>
      <w:pPr>
        <w:jc w:val="center"/>
        <w:rPr>
          <w:color w:val="auto"/>
        </w:rPr>
      </w:pPr>
      <w:r>
        <w:rPr>
          <w:rFonts w:hint="eastAsia" w:ascii="仿宋" w:hAnsi="仿宋" w:eastAsia="仿宋" w:cs="仿宋"/>
          <w:b/>
          <w:color w:val="auto"/>
          <w:sz w:val="52"/>
          <w:szCs w:val="48"/>
        </w:rPr>
        <w:t>告</w:t>
      </w:r>
    </w:p>
    <w:p>
      <w:pPr>
        <w:ind w:firstLine="1606" w:firstLineChars="500"/>
        <w:rPr>
          <w:rFonts w:hint="eastAsia" w:ascii="仿宋" w:hAnsi="仿宋" w:eastAsia="仿宋" w:cs="仿宋"/>
          <w:b/>
          <w:color w:val="auto"/>
          <w:sz w:val="32"/>
          <w:szCs w:val="52"/>
        </w:rPr>
      </w:pPr>
    </w:p>
    <w:p>
      <w:pPr>
        <w:jc w:val="center"/>
        <w:rPr>
          <w:rFonts w:hint="eastAsia" w:ascii="仿宋" w:hAnsi="仿宋" w:eastAsia="仿宋" w:cs="仿宋"/>
          <w:b/>
          <w:color w:val="auto"/>
          <w:sz w:val="32"/>
          <w:szCs w:val="52"/>
          <w:lang w:eastAsia="zh-CN"/>
        </w:rPr>
      </w:pPr>
      <w:r>
        <w:rPr>
          <w:rFonts w:hint="eastAsia" w:ascii="仿宋" w:hAnsi="仿宋" w:eastAsia="仿宋" w:cs="仿宋"/>
          <w:b/>
          <w:color w:val="auto"/>
          <w:sz w:val="32"/>
          <w:szCs w:val="52"/>
        </w:rPr>
        <w:t>采购单位：</w:t>
      </w:r>
      <w:r>
        <w:rPr>
          <w:rFonts w:hint="eastAsia" w:ascii="仿宋" w:hAnsi="仿宋" w:eastAsia="仿宋" w:cs="仿宋"/>
          <w:b/>
          <w:color w:val="auto"/>
          <w:sz w:val="32"/>
          <w:szCs w:val="52"/>
          <w:lang w:eastAsia="zh-CN"/>
        </w:rPr>
        <w:t>金阳县财政局</w:t>
      </w:r>
    </w:p>
    <w:p>
      <w:pPr>
        <w:pStyle w:val="2"/>
        <w:rPr>
          <w:rFonts w:hint="eastAsia"/>
          <w:color w:val="auto"/>
        </w:rPr>
      </w:pPr>
    </w:p>
    <w:p>
      <w:pPr>
        <w:jc w:val="center"/>
        <w:rPr>
          <w:rFonts w:hint="eastAsia" w:ascii="仿宋" w:hAnsi="仿宋" w:eastAsia="仿宋" w:cs="仿宋"/>
          <w:b/>
          <w:color w:val="auto"/>
          <w:sz w:val="32"/>
          <w:szCs w:val="52"/>
        </w:rPr>
      </w:pPr>
    </w:p>
    <w:p>
      <w:pPr>
        <w:jc w:val="center"/>
        <w:rPr>
          <w:color w:val="auto"/>
        </w:rPr>
      </w:pPr>
      <w:r>
        <w:rPr>
          <w:rFonts w:hint="eastAsia" w:ascii="仿宋" w:hAnsi="仿宋" w:eastAsia="仿宋" w:cs="仿宋"/>
          <w:b/>
          <w:color w:val="auto"/>
          <w:sz w:val="32"/>
          <w:szCs w:val="52"/>
        </w:rPr>
        <w:t>202</w:t>
      </w:r>
      <w:r>
        <w:rPr>
          <w:rFonts w:hint="eastAsia" w:ascii="仿宋" w:hAnsi="仿宋" w:eastAsia="仿宋" w:cs="仿宋"/>
          <w:b/>
          <w:color w:val="auto"/>
          <w:sz w:val="32"/>
          <w:szCs w:val="52"/>
          <w:lang w:val="en-US" w:eastAsia="zh-CN"/>
        </w:rPr>
        <w:t>2</w:t>
      </w:r>
      <w:r>
        <w:rPr>
          <w:rFonts w:hint="eastAsia" w:ascii="仿宋" w:hAnsi="仿宋" w:eastAsia="仿宋" w:cs="仿宋"/>
          <w:b/>
          <w:color w:val="auto"/>
          <w:sz w:val="32"/>
          <w:szCs w:val="52"/>
        </w:rPr>
        <w:t>年    月   日</w:t>
      </w:r>
    </w:p>
    <w:p>
      <w:pPr>
        <w:pStyle w:val="2"/>
        <w:jc w:val="center"/>
        <w:rPr>
          <w:rFonts w:hint="eastAsia" w:ascii="仿宋" w:hAnsi="仿宋" w:eastAsia="仿宋" w:cs="仿宋"/>
          <w:b/>
          <w:color w:val="auto"/>
          <w:sz w:val="32"/>
          <w:szCs w:val="52"/>
        </w:rPr>
      </w:pPr>
    </w:p>
    <w:p>
      <w:pPr>
        <w:jc w:val="center"/>
        <w:rPr>
          <w:rFonts w:hint="eastAsia" w:ascii="仿宋" w:hAnsi="仿宋" w:eastAsia="仿宋" w:cs="仿宋"/>
          <w:b/>
          <w:color w:val="auto"/>
          <w:sz w:val="36"/>
          <w:szCs w:val="28"/>
        </w:rPr>
      </w:pPr>
    </w:p>
    <w:p>
      <w:pPr>
        <w:jc w:val="center"/>
        <w:rPr>
          <w:color w:val="auto"/>
        </w:rPr>
      </w:pPr>
      <w:r>
        <w:rPr>
          <w:rFonts w:hint="eastAsia" w:ascii="仿宋" w:hAnsi="仿宋" w:eastAsia="仿宋" w:cs="仿宋"/>
          <w:b/>
          <w:color w:val="auto"/>
          <w:sz w:val="36"/>
          <w:szCs w:val="28"/>
        </w:rPr>
        <w:t>一、论证专家小组名单</w:t>
      </w:r>
    </w:p>
    <w:p>
      <w:pPr>
        <w:spacing w:line="520" w:lineRule="exact"/>
        <w:rPr>
          <w:rFonts w:hint="eastAsia" w:ascii="仿宋" w:hAnsi="仿宋" w:eastAsia="仿宋" w:cs="仿宋"/>
          <w:color w:val="auto"/>
          <w:kern w:val="0"/>
          <w:sz w:val="28"/>
        </w:rPr>
      </w:pPr>
      <w:r>
        <w:rPr>
          <w:rFonts w:hint="eastAsia" w:ascii="仿宋" w:hAnsi="仿宋" w:eastAsia="仿宋" w:cs="仿宋"/>
          <w:color w:val="auto"/>
          <w:kern w:val="0"/>
          <w:sz w:val="28"/>
        </w:rPr>
        <w:t>时    间：202</w:t>
      </w:r>
      <w:r>
        <w:rPr>
          <w:rFonts w:hint="eastAsia" w:ascii="仿宋" w:hAnsi="仿宋" w:eastAsia="仿宋" w:cs="仿宋"/>
          <w:color w:val="auto"/>
          <w:kern w:val="0"/>
          <w:sz w:val="28"/>
          <w:lang w:val="en-US" w:eastAsia="zh-CN"/>
        </w:rPr>
        <w:t>2</w:t>
      </w:r>
      <w:r>
        <w:rPr>
          <w:rFonts w:hint="eastAsia" w:ascii="仿宋" w:hAnsi="仿宋" w:eastAsia="仿宋" w:cs="仿宋"/>
          <w:color w:val="auto"/>
          <w:kern w:val="0"/>
          <w:sz w:val="28"/>
        </w:rPr>
        <w:t xml:space="preserve">年   月   日         </w:t>
      </w:r>
    </w:p>
    <w:p>
      <w:pPr>
        <w:spacing w:line="520" w:lineRule="exact"/>
        <w:ind w:left="280" w:hanging="280" w:hangingChars="100"/>
        <w:jc w:val="left"/>
        <w:rPr>
          <w:rFonts w:hint="eastAsia" w:ascii="仿宋" w:hAnsi="仿宋" w:eastAsia="仿宋" w:cs="仿宋"/>
          <w:color w:val="auto"/>
          <w:kern w:val="0"/>
          <w:sz w:val="28"/>
          <w:lang w:eastAsia="zh-CN"/>
        </w:rPr>
      </w:pPr>
      <w:r>
        <w:rPr>
          <w:rFonts w:hint="eastAsia" w:ascii="仿宋" w:hAnsi="仿宋" w:eastAsia="仿宋" w:cs="仿宋"/>
          <w:color w:val="auto"/>
          <w:kern w:val="0"/>
          <w:sz w:val="28"/>
        </w:rPr>
        <w:t>项目名称：</w:t>
      </w:r>
      <w:r>
        <w:rPr>
          <w:rFonts w:hint="eastAsia" w:ascii="仿宋" w:hAnsi="仿宋" w:eastAsia="仿宋" w:cs="仿宋"/>
          <w:color w:val="auto"/>
          <w:kern w:val="0"/>
          <w:sz w:val="28"/>
          <w:lang w:eastAsia="zh-CN"/>
        </w:rPr>
        <w:t>金阳县财政局会议室音频设备、LED显示屏等设</w:t>
      </w:r>
    </w:p>
    <w:p>
      <w:pPr>
        <w:spacing w:line="520" w:lineRule="exact"/>
        <w:ind w:left="279" w:leftChars="133" w:firstLine="1120" w:firstLineChars="400"/>
        <w:jc w:val="left"/>
        <w:rPr>
          <w:rFonts w:hint="eastAsia" w:eastAsia="仿宋"/>
          <w:color w:val="auto"/>
          <w:lang w:eastAsia="zh-CN"/>
        </w:rPr>
      </w:pPr>
      <w:r>
        <w:rPr>
          <w:rFonts w:hint="eastAsia" w:ascii="仿宋" w:hAnsi="仿宋" w:eastAsia="仿宋" w:cs="仿宋"/>
          <w:color w:val="auto"/>
          <w:kern w:val="0"/>
          <w:sz w:val="28"/>
          <w:lang w:eastAsia="zh-CN"/>
        </w:rPr>
        <w:t>备采购项目</w:t>
      </w:r>
    </w:p>
    <w:tbl>
      <w:tblPr>
        <w:tblStyle w:val="6"/>
        <w:tblW w:w="7827" w:type="dxa"/>
        <w:jc w:val="center"/>
        <w:tblLayout w:type="fixed"/>
        <w:tblCellMar>
          <w:top w:w="0" w:type="dxa"/>
          <w:left w:w="108" w:type="dxa"/>
          <w:bottom w:w="0" w:type="dxa"/>
          <w:right w:w="108" w:type="dxa"/>
        </w:tblCellMar>
      </w:tblPr>
      <w:tblGrid>
        <w:gridCol w:w="963"/>
        <w:gridCol w:w="1329"/>
        <w:gridCol w:w="1862"/>
        <w:gridCol w:w="1849"/>
        <w:gridCol w:w="1824"/>
      </w:tblGrid>
      <w:tr>
        <w:trPr>
          <w:trHeight w:val="964" w:hRule="atLeast"/>
          <w:jc w:val="center"/>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28"/>
              </w:rPr>
              <w:t>序号</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28"/>
              </w:rPr>
              <w:t>姓  名</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28"/>
              </w:rPr>
              <w:t>专业及职称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28"/>
              </w:rPr>
              <w:t>工作单位</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28"/>
              </w:rPr>
              <w:t>联系电话</w:t>
            </w:r>
          </w:p>
        </w:tc>
      </w:tr>
      <w:tr>
        <w:tblPrEx>
          <w:tblCellMar>
            <w:top w:w="0" w:type="dxa"/>
            <w:left w:w="108" w:type="dxa"/>
            <w:bottom w:w="0" w:type="dxa"/>
            <w:right w:w="108" w:type="dxa"/>
          </w:tblCellMar>
        </w:tblPrEx>
        <w:trPr>
          <w:trHeight w:val="834" w:hRule="atLeast"/>
          <w:jc w:val="center"/>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32"/>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r>
      <w:tr>
        <w:trPr>
          <w:trHeight w:val="761" w:hRule="atLeast"/>
          <w:jc w:val="center"/>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32"/>
              </w:rPr>
              <w:t>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r>
      <w:tr>
        <w:trPr>
          <w:trHeight w:val="747" w:hRule="atLeast"/>
          <w:jc w:val="center"/>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32"/>
              </w:rPr>
              <w:t>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r>
      <w:tr>
        <w:trPr>
          <w:trHeight w:val="747" w:hRule="atLeast"/>
          <w:jc w:val="center"/>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32"/>
              </w:rPr>
              <w:t>4</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r>
      <w:tr>
        <w:trPr>
          <w:trHeight w:val="923" w:hRule="atLeast"/>
          <w:jc w:val="center"/>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ascii="仿宋" w:hAnsi="仿宋" w:eastAsia="仿宋" w:cs="仿宋"/>
                <w:color w:val="auto"/>
                <w:kern w:val="0"/>
                <w:sz w:val="32"/>
              </w:rPr>
              <w:t>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
                <w:color w:val="auto"/>
                <w:kern w:val="0"/>
                <w:sz w:val="32"/>
              </w:rPr>
            </w:pPr>
          </w:p>
        </w:tc>
      </w:tr>
    </w:tbl>
    <w:p>
      <w:pPr>
        <w:rPr>
          <w:rFonts w:ascii="仿宋" w:hAnsi="仿宋" w:eastAsia="仿宋" w:cs="仿宋"/>
          <w:color w:val="auto"/>
          <w:kern w:val="0"/>
          <w:sz w:val="32"/>
        </w:rPr>
      </w:pPr>
    </w:p>
    <w:p>
      <w:pPr>
        <w:rPr>
          <w:color w:val="auto"/>
        </w:rPr>
      </w:pPr>
      <w:r>
        <w:rPr>
          <w:rFonts w:hint="eastAsia" w:ascii="仿宋" w:hAnsi="仿宋" w:eastAsia="仿宋" w:cs="仿宋"/>
          <w:color w:val="auto"/>
          <w:kern w:val="0"/>
          <w:sz w:val="32"/>
        </w:rPr>
        <w:t>（注：上表论证专家相关证照复印件附后）</w:t>
      </w:r>
    </w:p>
    <w:p>
      <w:pPr>
        <w:rPr>
          <w:rFonts w:ascii="仿宋" w:hAnsi="仿宋" w:eastAsia="仿宋" w:cs="仿宋"/>
          <w:color w:val="auto"/>
          <w:kern w:val="0"/>
          <w:sz w:val="32"/>
        </w:rPr>
      </w:pPr>
    </w:p>
    <w:p>
      <w:pPr>
        <w:rPr>
          <w:rFonts w:ascii="仿宋" w:hAnsi="仿宋" w:eastAsia="仿宋" w:cs="仿宋"/>
          <w:color w:val="auto"/>
          <w:kern w:val="0"/>
          <w:sz w:val="32"/>
        </w:rPr>
      </w:pPr>
    </w:p>
    <w:p>
      <w:pPr>
        <w:pageBreakBefore/>
        <w:ind w:firstLine="2168" w:firstLineChars="600"/>
        <w:rPr>
          <w:color w:val="auto"/>
        </w:rPr>
      </w:pPr>
      <w:r>
        <w:rPr>
          <w:rFonts w:hint="eastAsia" w:ascii="仿宋" w:hAnsi="仿宋" w:eastAsia="仿宋" w:cs="仿宋"/>
          <w:b/>
          <w:color w:val="auto"/>
          <w:sz w:val="36"/>
          <w:szCs w:val="28"/>
        </w:rPr>
        <w:t>二、采购需求论证表</w:t>
      </w:r>
    </w:p>
    <w:p>
      <w:pPr>
        <w:spacing w:line="520" w:lineRule="exact"/>
        <w:ind w:firstLine="480"/>
        <w:rPr>
          <w:color w:val="auto"/>
        </w:rPr>
      </w:pPr>
      <w:r>
        <w:rPr>
          <w:rFonts w:hint="eastAsia" w:ascii="仿宋" w:hAnsi="仿宋" w:eastAsia="仿宋" w:cs="仿宋"/>
          <w:color w:val="auto"/>
          <w:kern w:val="0"/>
          <w:sz w:val="24"/>
          <w:szCs w:val="28"/>
        </w:rPr>
        <w:t>为保证采购需求科学合理、符合实际，严禁豪华、重复、无用采购发生，根据《政府采购需求管理办法》的通知（财库[202</w:t>
      </w:r>
      <w:r>
        <w:rPr>
          <w:rFonts w:hint="eastAsia" w:ascii="仿宋" w:hAnsi="仿宋" w:eastAsia="仿宋" w:cs="仿宋"/>
          <w:color w:val="auto"/>
          <w:kern w:val="0"/>
          <w:sz w:val="24"/>
          <w:szCs w:val="28"/>
          <w:lang w:val="en-US" w:eastAsia="zh-CN"/>
        </w:rPr>
        <w:t>2</w:t>
      </w:r>
      <w:r>
        <w:rPr>
          <w:rFonts w:hint="eastAsia" w:ascii="仿宋" w:hAnsi="仿宋" w:eastAsia="仿宋" w:cs="仿宋"/>
          <w:color w:val="auto"/>
          <w:kern w:val="0"/>
          <w:sz w:val="24"/>
          <w:szCs w:val="28"/>
        </w:rPr>
        <w:t>]22号）文件的规定，我单位（</w:t>
      </w:r>
      <w:r>
        <w:rPr>
          <w:rFonts w:hint="eastAsia" w:ascii="仿宋" w:hAnsi="仿宋" w:eastAsia="仿宋" w:cs="仿宋"/>
          <w:color w:val="auto"/>
          <w:kern w:val="0"/>
          <w:sz w:val="24"/>
          <w:szCs w:val="28"/>
          <w:lang w:eastAsia="zh-CN"/>
        </w:rPr>
        <w:t>☑</w:t>
      </w:r>
      <w:r>
        <w:rPr>
          <w:rFonts w:hint="eastAsia" w:ascii="仿宋" w:hAnsi="仿宋" w:eastAsia="仿宋" w:cs="仿宋"/>
          <w:color w:val="auto"/>
          <w:kern w:val="0"/>
          <w:sz w:val="24"/>
          <w:szCs w:val="28"/>
        </w:rPr>
        <w:t>自行组织/□委托代理机构）组织相关专业专家对本次采购项目进行需求论证。</w:t>
      </w:r>
    </w:p>
    <w:tbl>
      <w:tblPr>
        <w:tblStyle w:val="6"/>
        <w:tblW w:w="10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643"/>
        <w:gridCol w:w="845"/>
        <w:gridCol w:w="1979"/>
        <w:gridCol w:w="786"/>
        <w:gridCol w:w="349"/>
        <w:gridCol w:w="1958"/>
        <w:gridCol w:w="1869"/>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2056" w:type="dxa"/>
            <w:gridSpan w:val="3"/>
            <w:noWrap w:val="0"/>
            <w:vAlign w:val="center"/>
          </w:tcPr>
          <w:p>
            <w:pPr>
              <w:ind w:firstLine="241" w:firstLineChars="100"/>
              <w:rPr>
                <w:color w:val="auto"/>
              </w:rPr>
            </w:pPr>
            <w:r>
              <w:rPr>
                <w:rFonts w:hint="eastAsia" w:ascii="仿宋" w:hAnsi="仿宋" w:eastAsia="仿宋" w:cs="仿宋"/>
                <w:b/>
                <w:color w:val="auto"/>
                <w:sz w:val="24"/>
                <w:szCs w:val="24"/>
              </w:rPr>
              <w:t>采购项目名称</w:t>
            </w:r>
          </w:p>
        </w:tc>
        <w:tc>
          <w:tcPr>
            <w:tcW w:w="8338" w:type="dxa"/>
            <w:gridSpan w:val="6"/>
            <w:noWrap w:val="0"/>
            <w:vAlign w:val="center"/>
          </w:tcPr>
          <w:p>
            <w:pP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金阳县财政局会议室音频设备、LED显示屏等设备采购项目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2056" w:type="dxa"/>
            <w:gridSpan w:val="3"/>
            <w:noWrap w:val="0"/>
            <w:vAlign w:val="center"/>
          </w:tcPr>
          <w:p>
            <w:pPr>
              <w:jc w:val="center"/>
              <w:rPr>
                <w:color w:val="auto"/>
              </w:rPr>
            </w:pPr>
            <w:r>
              <w:rPr>
                <w:rFonts w:hint="eastAsia" w:ascii="仿宋" w:hAnsi="仿宋" w:eastAsia="仿宋" w:cs="仿宋"/>
                <w:b/>
                <w:color w:val="auto"/>
                <w:sz w:val="24"/>
                <w:szCs w:val="24"/>
              </w:rPr>
              <w:t>项目类别</w:t>
            </w:r>
          </w:p>
        </w:tc>
        <w:tc>
          <w:tcPr>
            <w:tcW w:w="8338" w:type="dxa"/>
            <w:gridSpan w:val="6"/>
            <w:noWrap w:val="0"/>
            <w:vAlign w:val="center"/>
          </w:tcPr>
          <w:p>
            <w:pPr>
              <w:rPr>
                <w:color w:val="auto"/>
              </w:rPr>
            </w:pPr>
            <w:r>
              <w:rPr>
                <w:rFonts w:hint="eastAsia" w:ascii="仿宋" w:hAnsi="仿宋" w:eastAsia="仿宋" w:cs="仿宋"/>
                <w:b/>
                <w:color w:val="auto"/>
                <w:sz w:val="24"/>
                <w:szCs w:val="24"/>
              </w:rPr>
              <w:t xml:space="preserve">       </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货物      □服务       □工程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0394" w:type="dxa"/>
            <w:gridSpan w:val="9"/>
            <w:noWrap w:val="0"/>
            <w:vAlign w:val="center"/>
          </w:tcPr>
          <w:p>
            <w:pP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zh-CN"/>
              </w:rPr>
              <w:t>采购标的所属行业：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5170" w:type="dxa"/>
            <w:gridSpan w:val="6"/>
            <w:noWrap w:val="0"/>
            <w:vAlign w:val="center"/>
          </w:tcPr>
          <w:p>
            <w:pPr>
              <w:widowControl/>
              <w:rPr>
                <w:rFonts w:eastAsia="仿宋"/>
                <w:color w:val="auto"/>
              </w:rPr>
            </w:pPr>
            <w:r>
              <w:rPr>
                <w:rFonts w:hint="eastAsia" w:ascii="仿宋" w:hAnsi="仿宋" w:eastAsia="仿宋" w:cs="仿宋"/>
                <w:b/>
                <w:bCs/>
                <w:color w:val="auto"/>
                <w:kern w:val="0"/>
                <w:sz w:val="24"/>
                <w:szCs w:val="28"/>
              </w:rPr>
              <w:t>本项目预算金额：</w:t>
            </w:r>
            <w:r>
              <w:rPr>
                <w:rFonts w:hint="eastAsia" w:ascii="仿宋" w:hAnsi="仿宋" w:eastAsia="仿宋" w:cs="仿宋"/>
                <w:b/>
                <w:bCs/>
                <w:color w:val="auto"/>
                <w:sz w:val="24"/>
                <w:szCs w:val="24"/>
                <w:lang w:val="en-US" w:eastAsia="zh-CN"/>
              </w:rPr>
              <w:t>23万</w:t>
            </w:r>
            <w:r>
              <w:rPr>
                <w:rFonts w:hint="eastAsia" w:ascii="仿宋" w:hAnsi="仿宋" w:eastAsia="仿宋" w:cs="仿宋"/>
                <w:b/>
                <w:bCs/>
                <w:color w:val="auto"/>
                <w:sz w:val="24"/>
                <w:szCs w:val="24"/>
              </w:rPr>
              <w:t>元</w:t>
            </w:r>
          </w:p>
        </w:tc>
        <w:tc>
          <w:tcPr>
            <w:tcW w:w="5224" w:type="dxa"/>
            <w:gridSpan w:val="3"/>
            <w:noWrap w:val="0"/>
            <w:vAlign w:val="center"/>
          </w:tcPr>
          <w:p>
            <w:pPr>
              <w:widowControl/>
              <w:rPr>
                <w:rFonts w:hint="eastAsia" w:eastAsia="仿宋"/>
                <w:color w:val="auto"/>
                <w:lang w:eastAsia="zh-CN"/>
              </w:rPr>
            </w:pPr>
            <w:r>
              <w:rPr>
                <w:rFonts w:hint="eastAsia" w:ascii="仿宋" w:hAnsi="仿宋" w:eastAsia="仿宋" w:cs="仿宋"/>
                <w:b/>
                <w:bCs/>
                <w:color w:val="auto"/>
                <w:kern w:val="0"/>
                <w:sz w:val="24"/>
                <w:szCs w:val="28"/>
              </w:rPr>
              <w:t xml:space="preserve"> 资金来源：一般预算资金</w:t>
            </w:r>
            <w:r>
              <w:rPr>
                <w:rFonts w:hint="eastAsia" w:ascii="仿宋" w:hAnsi="仿宋" w:eastAsia="仿宋" w:cs="仿宋"/>
                <w:b/>
                <w:bCs/>
                <w:color w:val="auto"/>
                <w:kern w:val="0"/>
                <w:sz w:val="24"/>
                <w:szCs w:val="28"/>
                <w:lang w:eastAsia="zh-CN"/>
              </w:rPr>
              <w:t>（</w:t>
            </w:r>
            <w:r>
              <w:rPr>
                <w:rFonts w:hint="eastAsia" w:ascii="仿宋" w:hAnsi="仿宋" w:eastAsia="仿宋" w:cs="仿宋"/>
                <w:b/>
                <w:bCs/>
                <w:color w:val="auto"/>
                <w:kern w:val="0"/>
                <w:sz w:val="24"/>
                <w:szCs w:val="28"/>
                <w:lang w:val="en-US" w:eastAsia="zh-CN"/>
              </w:rPr>
              <w:t>咨询业主</w:t>
            </w:r>
            <w:r>
              <w:rPr>
                <w:rFonts w:hint="eastAsia" w:ascii="仿宋" w:hAnsi="仿宋" w:eastAsia="仿宋" w:cs="仿宋"/>
                <w:b/>
                <w:bCs/>
                <w:color w:val="auto"/>
                <w:kern w:val="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4" w:hRule="atLeast"/>
          <w:jc w:val="center"/>
        </w:trPr>
        <w:tc>
          <w:tcPr>
            <w:tcW w:w="10392" w:type="dxa"/>
            <w:gridSpan w:val="9"/>
            <w:noWrap w:val="0"/>
            <w:vAlign w:val="center"/>
          </w:tcPr>
          <w:p>
            <w:pPr>
              <w:widowControl/>
              <w:rPr>
                <w:color w:val="auto"/>
              </w:rPr>
            </w:pPr>
            <w:r>
              <w:rPr>
                <w:rFonts w:hint="eastAsia" w:ascii="仿宋" w:hAnsi="仿宋" w:eastAsia="仿宋" w:cs="仿宋"/>
                <w:b/>
                <w:bCs/>
                <w:color w:val="auto"/>
                <w:kern w:val="0"/>
                <w:sz w:val="24"/>
                <w:szCs w:val="28"/>
              </w:rPr>
              <w:t>本项目预算控制金额：</w:t>
            </w:r>
            <w:r>
              <w:rPr>
                <w:rFonts w:hint="eastAsia" w:ascii="仿宋" w:hAnsi="仿宋" w:eastAsia="仿宋" w:cs="仿宋"/>
                <w:b/>
                <w:bCs/>
                <w:color w:val="auto"/>
                <w:sz w:val="24"/>
                <w:szCs w:val="24"/>
                <w:lang w:val="en-US" w:eastAsia="zh-CN"/>
              </w:rPr>
              <w:t>23万</w:t>
            </w:r>
            <w:r>
              <w:rPr>
                <w:rFonts w:hint="eastAsia" w:ascii="仿宋" w:hAnsi="仿宋" w:eastAsia="仿宋" w:cs="仿宋"/>
                <w:b/>
                <w:bCs/>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jc w:val="center"/>
        </w:trPr>
        <w:tc>
          <w:tcPr>
            <w:tcW w:w="10392" w:type="dxa"/>
            <w:gridSpan w:val="9"/>
            <w:noWrap w:val="0"/>
            <w:vAlign w:val="center"/>
          </w:tcPr>
          <w:p>
            <w:pPr>
              <w:widowControl/>
              <w:rPr>
                <w:color w:val="auto"/>
              </w:rPr>
            </w:pPr>
            <w:r>
              <w:rPr>
                <w:rFonts w:hint="eastAsia" w:ascii="仿宋" w:hAnsi="仿宋" w:eastAsia="仿宋" w:cs="仿宋"/>
                <w:b/>
                <w:bCs/>
                <w:color w:val="auto"/>
                <w:kern w:val="0"/>
                <w:sz w:val="24"/>
                <w:szCs w:val="28"/>
              </w:rPr>
              <w:t>本项目行政级别属：</w:t>
            </w:r>
            <w:r>
              <w:rPr>
                <w:rFonts w:hint="eastAsia" w:ascii="仿宋" w:hAnsi="仿宋" w:eastAsia="仿宋" w:cs="仿宋"/>
                <w:b/>
                <w:color w:val="auto"/>
                <w:sz w:val="24"/>
                <w:szCs w:val="24"/>
              </w:rPr>
              <w:t>□</w:t>
            </w:r>
            <w:r>
              <w:rPr>
                <w:rFonts w:hint="eastAsia" w:ascii="仿宋" w:hAnsi="仿宋" w:eastAsia="仿宋" w:cs="仿宋"/>
                <w:b/>
                <w:bCs/>
                <w:color w:val="auto"/>
                <w:kern w:val="0"/>
                <w:sz w:val="24"/>
                <w:szCs w:val="28"/>
              </w:rPr>
              <w:t xml:space="preserve">省级     </w:t>
            </w:r>
            <w:r>
              <w:rPr>
                <w:rFonts w:hint="eastAsia" w:ascii="仿宋" w:hAnsi="仿宋" w:eastAsia="仿宋" w:cs="仿宋"/>
                <w:b/>
                <w:color w:val="auto"/>
                <w:sz w:val="24"/>
                <w:szCs w:val="24"/>
              </w:rPr>
              <w:t>□</w:t>
            </w:r>
            <w:r>
              <w:rPr>
                <w:rFonts w:hint="eastAsia" w:ascii="仿宋" w:hAnsi="仿宋" w:eastAsia="仿宋" w:cs="仿宋"/>
                <w:b/>
                <w:bCs/>
                <w:color w:val="auto"/>
                <w:kern w:val="0"/>
                <w:sz w:val="24"/>
                <w:szCs w:val="28"/>
              </w:rPr>
              <w:t xml:space="preserve">市（州）级     </w:t>
            </w:r>
            <w:r>
              <w:rPr>
                <w:rFonts w:hint="eastAsia" w:ascii="仿宋" w:hAnsi="仿宋" w:eastAsia="仿宋" w:cs="仿宋"/>
                <w:b/>
                <w:color w:val="auto"/>
                <w:sz w:val="24"/>
                <w:szCs w:val="24"/>
                <w:lang w:eastAsia="zh-CN"/>
              </w:rPr>
              <w:t>☑</w:t>
            </w:r>
            <w:r>
              <w:rPr>
                <w:rFonts w:hint="eastAsia" w:ascii="仿宋" w:hAnsi="仿宋" w:eastAsia="仿宋" w:cs="仿宋"/>
                <w:b/>
                <w:bCs/>
                <w:color w:val="auto"/>
                <w:kern w:val="0"/>
                <w:sz w:val="24"/>
                <w:szCs w:val="28"/>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69" w:hRule="atLeast"/>
          <w:jc w:val="center"/>
        </w:trPr>
        <w:tc>
          <w:tcPr>
            <w:tcW w:w="2056" w:type="dxa"/>
            <w:gridSpan w:val="3"/>
            <w:noWrap w:val="0"/>
            <w:tcMar>
              <w:top w:w="15" w:type="dxa"/>
              <w:left w:w="15" w:type="dxa"/>
              <w:bottom w:w="15" w:type="dxa"/>
              <w:right w:w="15" w:type="dxa"/>
            </w:tcMar>
            <w:vAlign w:val="center"/>
          </w:tcPr>
          <w:p>
            <w:pPr>
              <w:widowControl/>
              <w:jc w:val="center"/>
              <w:rPr>
                <w:color w:val="auto"/>
              </w:rPr>
            </w:pPr>
            <w:r>
              <w:rPr>
                <w:rFonts w:hint="eastAsia" w:ascii="仿宋" w:hAnsi="仿宋" w:eastAsia="仿宋" w:cs="仿宋"/>
                <w:b/>
                <w:bCs/>
                <w:color w:val="auto"/>
                <w:kern w:val="0"/>
                <w:sz w:val="24"/>
                <w:szCs w:val="28"/>
              </w:rPr>
              <w:t>采购联系人及联系电话</w:t>
            </w:r>
          </w:p>
        </w:tc>
        <w:tc>
          <w:tcPr>
            <w:tcW w:w="2765" w:type="dxa"/>
            <w:gridSpan w:val="2"/>
            <w:noWrap w:val="0"/>
            <w:vAlign w:val="center"/>
          </w:tcPr>
          <w:p>
            <w:pPr>
              <w:widowControl/>
              <w:snapToGrid w:val="0"/>
              <w:jc w:val="center"/>
              <w:rPr>
                <w:rFonts w:hint="default" w:ascii="仿宋" w:hAnsi="仿宋" w:eastAsia="仿宋" w:cs="仿宋"/>
                <w:b/>
                <w:bCs/>
                <w:color w:val="auto"/>
                <w:kern w:val="0"/>
                <w:sz w:val="24"/>
                <w:szCs w:val="28"/>
                <w:lang w:val="en-US" w:eastAsia="zh-CN"/>
              </w:rPr>
            </w:pPr>
            <w:r>
              <w:rPr>
                <w:rFonts w:hint="eastAsia" w:ascii="仿宋" w:hAnsi="仿宋" w:eastAsia="仿宋" w:cs="仿宋"/>
                <w:b/>
                <w:bCs/>
                <w:color w:val="auto"/>
                <w:kern w:val="0"/>
                <w:sz w:val="24"/>
                <w:szCs w:val="28"/>
                <w:lang w:val="en-US" w:eastAsia="zh-CN"/>
              </w:rPr>
              <w:t>赵老师13708216620</w:t>
            </w:r>
          </w:p>
        </w:tc>
        <w:tc>
          <w:tcPr>
            <w:tcW w:w="2307" w:type="dxa"/>
            <w:gridSpan w:val="2"/>
            <w:noWrap w:val="0"/>
            <w:tcMar>
              <w:top w:w="15" w:type="dxa"/>
              <w:left w:w="15" w:type="dxa"/>
              <w:bottom w:w="15" w:type="dxa"/>
              <w:right w:w="15" w:type="dxa"/>
            </w:tcMar>
            <w:vAlign w:val="center"/>
          </w:tcPr>
          <w:p>
            <w:pPr>
              <w:jc w:val="center"/>
              <w:rPr>
                <w:color w:val="auto"/>
              </w:rPr>
            </w:pPr>
            <w:r>
              <w:rPr>
                <w:rFonts w:hint="eastAsia" w:ascii="仿宋" w:hAnsi="仿宋" w:eastAsia="仿宋" w:cs="仿宋"/>
                <w:b/>
                <w:color w:val="auto"/>
                <w:sz w:val="24"/>
                <w:szCs w:val="24"/>
              </w:rPr>
              <w:t>代理机构联系</w:t>
            </w:r>
          </w:p>
          <w:p>
            <w:pPr>
              <w:jc w:val="center"/>
              <w:rPr>
                <w:color w:val="auto"/>
              </w:rPr>
            </w:pPr>
            <w:r>
              <w:rPr>
                <w:rFonts w:hint="eastAsia" w:ascii="仿宋" w:hAnsi="仿宋" w:eastAsia="仿宋" w:cs="仿宋"/>
                <w:b/>
                <w:color w:val="auto"/>
                <w:sz w:val="24"/>
                <w:szCs w:val="24"/>
              </w:rPr>
              <w:t>人及电话</w:t>
            </w:r>
          </w:p>
        </w:tc>
        <w:tc>
          <w:tcPr>
            <w:tcW w:w="3264" w:type="dxa"/>
            <w:gridSpan w:val="2"/>
            <w:noWrap w:val="0"/>
            <w:vAlign w:val="center"/>
          </w:tcPr>
          <w:p>
            <w:pPr>
              <w:widowControl/>
              <w:ind w:firstLine="472"/>
              <w:jc w:val="left"/>
              <w:rPr>
                <w:color w:val="auto"/>
              </w:rPr>
            </w:pPr>
            <w:r>
              <w:rPr>
                <w:rFonts w:hint="eastAsia" w:ascii="仿宋" w:hAnsi="仿宋" w:eastAsia="仿宋" w:cs="仿宋"/>
                <w:b/>
                <w:bCs/>
                <w:color w:val="auto"/>
                <w:kern w:val="0"/>
                <w:sz w:val="24"/>
                <w:szCs w:val="28"/>
              </w:rPr>
              <w:t xml:space="preserve">   </w:t>
            </w:r>
          </w:p>
          <w:p>
            <w:pPr>
              <w:widowControl/>
              <w:ind w:firstLine="472"/>
              <w:jc w:val="left"/>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9" w:hRule="atLeast"/>
          <w:jc w:val="center"/>
        </w:trPr>
        <w:tc>
          <w:tcPr>
            <w:tcW w:w="10392" w:type="dxa"/>
            <w:gridSpan w:val="9"/>
            <w:noWrap w:val="0"/>
            <w:vAlign w:val="center"/>
          </w:tcPr>
          <w:p>
            <w:pPr>
              <w:widowControl/>
              <w:jc w:val="center"/>
              <w:rPr>
                <w:color w:val="auto"/>
              </w:rPr>
            </w:pPr>
            <w:r>
              <w:rPr>
                <w:rFonts w:hint="eastAsia" w:ascii="仿宋" w:hAnsi="仿宋" w:eastAsia="仿宋" w:cs="仿宋"/>
                <w:b/>
                <w:bCs/>
                <w:color w:val="auto"/>
                <w:kern w:val="0"/>
                <w:sz w:val="24"/>
                <w:szCs w:val="28"/>
              </w:rPr>
              <w:t>本项目论证采购第</w:t>
            </w:r>
            <w:r>
              <w:rPr>
                <w:rFonts w:hint="eastAsia" w:ascii="仿宋" w:hAnsi="仿宋" w:eastAsia="仿宋" w:cs="仿宋"/>
                <w:b/>
                <w:bCs/>
                <w:color w:val="auto"/>
                <w:kern w:val="0"/>
                <w:sz w:val="24"/>
                <w:szCs w:val="28"/>
                <w:u w:val="single"/>
              </w:rPr>
              <w:t xml:space="preserve"> </w:t>
            </w:r>
            <w:r>
              <w:rPr>
                <w:rFonts w:hint="eastAsia" w:ascii="仿宋" w:hAnsi="仿宋" w:eastAsia="仿宋" w:cs="仿宋"/>
                <w:b/>
                <w:bCs/>
                <w:color w:val="auto"/>
                <w:kern w:val="0"/>
                <w:sz w:val="24"/>
                <w:szCs w:val="28"/>
                <w:u w:val="single"/>
                <w:lang w:val="en-US" w:eastAsia="zh-CN"/>
              </w:rPr>
              <w:t>1</w:t>
            </w:r>
            <w:r>
              <w:rPr>
                <w:rFonts w:hint="eastAsia" w:ascii="仿宋" w:hAnsi="仿宋" w:eastAsia="仿宋" w:cs="仿宋"/>
                <w:b/>
                <w:bCs/>
                <w:color w:val="auto"/>
                <w:kern w:val="0"/>
                <w:sz w:val="24"/>
                <w:szCs w:val="28"/>
                <w:u w:val="single"/>
              </w:rPr>
              <w:t xml:space="preserve"> </w:t>
            </w:r>
            <w:r>
              <w:rPr>
                <w:rFonts w:hint="eastAsia" w:ascii="仿宋" w:hAnsi="仿宋" w:eastAsia="仿宋" w:cs="仿宋"/>
                <w:b/>
                <w:bCs/>
                <w:color w:val="auto"/>
                <w:kern w:val="0"/>
                <w:sz w:val="24"/>
                <w:szCs w:val="28"/>
              </w:rPr>
              <w:t xml:space="preserve">种方式进行（在以下3种方式中选择）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jc w:val="center"/>
        </w:trPr>
        <w:tc>
          <w:tcPr>
            <w:tcW w:w="568" w:type="dxa"/>
            <w:vMerge w:val="restart"/>
            <w:noWrap w:val="0"/>
            <w:tcMar>
              <w:top w:w="15" w:type="dxa"/>
              <w:left w:w="15" w:type="dxa"/>
              <w:bottom w:w="15" w:type="dxa"/>
              <w:right w:w="15" w:type="dxa"/>
            </w:tcMar>
            <w:vAlign w:val="center"/>
          </w:tcPr>
          <w:p>
            <w:pPr>
              <w:widowControl/>
              <w:jc w:val="center"/>
              <w:rPr>
                <w:color w:val="auto"/>
              </w:rPr>
            </w:pPr>
            <w:r>
              <w:rPr>
                <w:rFonts w:hint="eastAsia" w:ascii="仿宋" w:hAnsi="仿宋" w:eastAsia="仿宋" w:cs="仿宋"/>
                <w:b/>
                <w:bCs/>
                <w:color w:val="auto"/>
                <w:kern w:val="0"/>
                <w:sz w:val="24"/>
                <w:szCs w:val="28"/>
              </w:rPr>
              <w:t>项</w:t>
            </w:r>
          </w:p>
          <w:p>
            <w:pPr>
              <w:widowControl/>
              <w:jc w:val="center"/>
              <w:rPr>
                <w:color w:val="auto"/>
              </w:rPr>
            </w:pPr>
            <w:r>
              <w:rPr>
                <w:rFonts w:hint="eastAsia" w:ascii="仿宋" w:hAnsi="仿宋" w:eastAsia="仿宋" w:cs="仿宋"/>
                <w:b/>
                <w:bCs/>
                <w:color w:val="auto"/>
                <w:kern w:val="0"/>
                <w:sz w:val="24"/>
                <w:szCs w:val="28"/>
              </w:rPr>
              <w:t>目</w:t>
            </w:r>
          </w:p>
          <w:p>
            <w:pPr>
              <w:widowControl/>
              <w:jc w:val="center"/>
              <w:rPr>
                <w:color w:val="auto"/>
              </w:rPr>
            </w:pPr>
            <w:r>
              <w:rPr>
                <w:rFonts w:hint="eastAsia" w:ascii="仿宋" w:hAnsi="仿宋" w:eastAsia="仿宋" w:cs="仿宋"/>
                <w:b/>
                <w:bCs/>
                <w:color w:val="auto"/>
                <w:kern w:val="0"/>
                <w:sz w:val="24"/>
                <w:szCs w:val="28"/>
              </w:rPr>
              <w:t>金</w:t>
            </w:r>
          </w:p>
          <w:p>
            <w:pPr>
              <w:widowControl/>
              <w:jc w:val="center"/>
              <w:rPr>
                <w:color w:val="auto"/>
              </w:rPr>
            </w:pPr>
            <w:r>
              <w:rPr>
                <w:rFonts w:hint="eastAsia" w:ascii="仿宋" w:hAnsi="仿宋" w:eastAsia="仿宋" w:cs="仿宋"/>
                <w:b/>
                <w:bCs/>
                <w:color w:val="auto"/>
                <w:kern w:val="0"/>
                <w:sz w:val="24"/>
                <w:szCs w:val="28"/>
              </w:rPr>
              <w:t>额</w:t>
            </w: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区域</w:t>
            </w:r>
          </w:p>
        </w:tc>
        <w:tc>
          <w:tcPr>
            <w:tcW w:w="2824" w:type="dxa"/>
            <w:gridSpan w:val="2"/>
            <w:noWrap w:val="0"/>
            <w:vAlign w:val="center"/>
          </w:tcPr>
          <w:p>
            <w:pPr>
              <w:widowControl/>
              <w:jc w:val="center"/>
              <w:rPr>
                <w:color w:val="auto"/>
              </w:rPr>
            </w:pPr>
            <w:r>
              <w:rPr>
                <w:rFonts w:hint="eastAsia" w:ascii="仿宋" w:hAnsi="仿宋" w:eastAsia="仿宋" w:cs="仿宋"/>
                <w:b/>
                <w:bCs/>
                <w:color w:val="auto"/>
                <w:kern w:val="0"/>
                <w:sz w:val="24"/>
                <w:szCs w:val="28"/>
              </w:rPr>
              <w:t>金额（万元）</w:t>
            </w:r>
          </w:p>
        </w:tc>
        <w:tc>
          <w:tcPr>
            <w:tcW w:w="4962" w:type="dxa"/>
            <w:gridSpan w:val="4"/>
            <w:noWrap w:val="0"/>
            <w:vAlign w:val="center"/>
          </w:tcPr>
          <w:p>
            <w:pPr>
              <w:widowControl/>
              <w:jc w:val="center"/>
              <w:rPr>
                <w:color w:val="auto"/>
              </w:rPr>
            </w:pPr>
            <w:r>
              <w:rPr>
                <w:rFonts w:hint="eastAsia" w:ascii="仿宋" w:hAnsi="仿宋" w:eastAsia="仿宋" w:cs="仿宋"/>
                <w:b/>
                <w:bCs/>
                <w:color w:val="auto"/>
                <w:kern w:val="0"/>
                <w:sz w:val="24"/>
                <w:szCs w:val="28"/>
              </w:rPr>
              <w:t>论证方式</w:t>
            </w:r>
          </w:p>
        </w:tc>
        <w:tc>
          <w:tcPr>
            <w:tcW w:w="1395" w:type="dxa"/>
            <w:noWrap w:val="0"/>
            <w:vAlign w:val="center"/>
          </w:tcPr>
          <w:p>
            <w:pPr>
              <w:widowControl/>
              <w:jc w:val="center"/>
              <w:rPr>
                <w:color w:val="auto"/>
              </w:rPr>
            </w:pPr>
            <w:r>
              <w:rPr>
                <w:rFonts w:hint="eastAsia" w:ascii="仿宋" w:hAnsi="仿宋" w:eastAsia="仿宋" w:cs="仿宋"/>
                <w:b/>
                <w:bCs/>
                <w:color w:val="auto"/>
                <w:kern w:val="0"/>
                <w:sz w:val="24"/>
                <w:szCs w:val="28"/>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省</w:t>
            </w:r>
          </w:p>
        </w:tc>
        <w:tc>
          <w:tcPr>
            <w:tcW w:w="2824" w:type="dxa"/>
            <w:gridSpan w:val="2"/>
            <w:noWrap w:val="0"/>
            <w:vAlign w:val="center"/>
          </w:tcPr>
          <w:p>
            <w:pPr>
              <w:widowControl/>
              <w:spacing w:line="480" w:lineRule="auto"/>
              <w:jc w:val="center"/>
              <w:rPr>
                <w:color w:val="auto"/>
              </w:rPr>
            </w:pPr>
            <w:r>
              <w:rPr>
                <w:rFonts w:hint="eastAsia" w:ascii="仿宋" w:hAnsi="仿宋" w:eastAsia="仿宋" w:cs="仿宋"/>
                <w:b/>
                <w:bCs/>
                <w:color w:val="auto"/>
                <w:kern w:val="0"/>
                <w:sz w:val="24"/>
                <w:szCs w:val="28"/>
              </w:rPr>
              <w:t>＜300</w:t>
            </w:r>
          </w:p>
        </w:tc>
        <w:tc>
          <w:tcPr>
            <w:tcW w:w="4962" w:type="dxa"/>
            <w:gridSpan w:val="4"/>
            <w:vMerge w:val="restart"/>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 xml:space="preserve">   组织相关专业人员进行需求论证</w:t>
            </w:r>
          </w:p>
        </w:tc>
        <w:tc>
          <w:tcPr>
            <w:tcW w:w="1395" w:type="dxa"/>
            <w:vMerge w:val="restart"/>
            <w:noWrap w:val="0"/>
            <w:vAlign w:val="center"/>
          </w:tcPr>
          <w:p>
            <w:pPr>
              <w:widowControl/>
              <w:jc w:val="center"/>
              <w:rPr>
                <w:color w:val="auto"/>
              </w:rPr>
            </w:pPr>
            <w:r>
              <w:rPr>
                <w:rFonts w:hint="eastAsia" w:ascii="仿宋" w:hAnsi="仿宋" w:eastAsia="仿宋" w:cs="仿宋"/>
                <w:b/>
                <w:bCs/>
                <w:color w:val="auto"/>
                <w:kern w:val="0"/>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市</w:t>
            </w:r>
          </w:p>
        </w:tc>
        <w:tc>
          <w:tcPr>
            <w:tcW w:w="2824" w:type="dxa"/>
            <w:gridSpan w:val="2"/>
            <w:noWrap w:val="0"/>
            <w:vAlign w:val="top"/>
          </w:tcPr>
          <w:p>
            <w:pPr>
              <w:spacing w:line="480" w:lineRule="auto"/>
              <w:jc w:val="center"/>
              <w:rPr>
                <w:color w:val="auto"/>
              </w:rPr>
            </w:pPr>
            <w:r>
              <w:rPr>
                <w:rFonts w:hint="eastAsia" w:ascii="仿宋" w:hAnsi="仿宋" w:eastAsia="仿宋" w:cs="仿宋"/>
                <w:b/>
                <w:bCs/>
                <w:color w:val="auto"/>
                <w:kern w:val="0"/>
                <w:sz w:val="24"/>
                <w:szCs w:val="28"/>
              </w:rPr>
              <w:t>＜100</w:t>
            </w:r>
          </w:p>
        </w:tc>
        <w:tc>
          <w:tcPr>
            <w:tcW w:w="4962" w:type="dxa"/>
            <w:gridSpan w:val="4"/>
            <w:vMerge w:val="continue"/>
            <w:noWrap w:val="0"/>
            <w:vAlign w:val="center"/>
          </w:tcPr>
          <w:p>
            <w:pPr>
              <w:widowControl/>
              <w:snapToGrid w:val="0"/>
              <w:spacing w:line="360" w:lineRule="auto"/>
              <w:jc w:val="center"/>
              <w:rPr>
                <w:rFonts w:ascii="仿宋" w:hAnsi="仿宋" w:eastAsia="仿宋" w:cs="仿宋"/>
                <w:b/>
                <w:bCs/>
                <w:color w:val="auto"/>
                <w:kern w:val="0"/>
                <w:sz w:val="24"/>
                <w:szCs w:val="28"/>
              </w:rPr>
            </w:pPr>
          </w:p>
        </w:tc>
        <w:tc>
          <w:tcPr>
            <w:tcW w:w="1395" w:type="dxa"/>
            <w:vMerge w:val="continue"/>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县</w:t>
            </w:r>
          </w:p>
        </w:tc>
        <w:tc>
          <w:tcPr>
            <w:tcW w:w="2824" w:type="dxa"/>
            <w:gridSpan w:val="2"/>
            <w:noWrap w:val="0"/>
            <w:vAlign w:val="top"/>
          </w:tcPr>
          <w:p>
            <w:pPr>
              <w:spacing w:line="480" w:lineRule="auto"/>
              <w:jc w:val="center"/>
              <w:rPr>
                <w:color w:val="auto"/>
              </w:rPr>
            </w:pPr>
            <w:r>
              <w:rPr>
                <w:rFonts w:hint="eastAsia" w:ascii="仿宋" w:hAnsi="仿宋" w:eastAsia="仿宋" w:cs="仿宋"/>
                <w:b/>
                <w:bCs/>
                <w:color w:val="auto"/>
                <w:kern w:val="0"/>
                <w:sz w:val="24"/>
                <w:szCs w:val="28"/>
              </w:rPr>
              <w:t>＜50</w:t>
            </w:r>
          </w:p>
        </w:tc>
        <w:tc>
          <w:tcPr>
            <w:tcW w:w="4962" w:type="dxa"/>
            <w:gridSpan w:val="4"/>
            <w:vMerge w:val="continue"/>
            <w:noWrap w:val="0"/>
            <w:vAlign w:val="center"/>
          </w:tcPr>
          <w:p>
            <w:pPr>
              <w:widowControl/>
              <w:snapToGrid w:val="0"/>
              <w:spacing w:line="360" w:lineRule="auto"/>
              <w:jc w:val="center"/>
              <w:rPr>
                <w:rFonts w:ascii="仿宋" w:hAnsi="仿宋" w:eastAsia="仿宋" w:cs="仿宋"/>
                <w:b/>
                <w:bCs/>
                <w:color w:val="auto"/>
                <w:kern w:val="0"/>
                <w:sz w:val="24"/>
                <w:szCs w:val="28"/>
              </w:rPr>
            </w:pPr>
          </w:p>
        </w:tc>
        <w:tc>
          <w:tcPr>
            <w:tcW w:w="1395" w:type="dxa"/>
            <w:vMerge w:val="continue"/>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省</w:t>
            </w:r>
          </w:p>
        </w:tc>
        <w:tc>
          <w:tcPr>
            <w:tcW w:w="2824" w:type="dxa"/>
            <w:gridSpan w:val="2"/>
            <w:noWrap w:val="0"/>
            <w:vAlign w:val="center"/>
          </w:tcPr>
          <w:p>
            <w:pPr>
              <w:widowControl/>
              <w:spacing w:line="480" w:lineRule="auto"/>
              <w:jc w:val="center"/>
              <w:rPr>
                <w:color w:val="auto"/>
              </w:rPr>
            </w:pPr>
            <w:r>
              <w:rPr>
                <w:rFonts w:hint="eastAsia" w:ascii="仿宋" w:hAnsi="仿宋" w:eastAsia="仿宋" w:cs="仿宋"/>
                <w:b/>
                <w:bCs/>
                <w:color w:val="auto"/>
                <w:kern w:val="0"/>
                <w:sz w:val="24"/>
                <w:szCs w:val="28"/>
              </w:rPr>
              <w:t>≥300且＜1000</w:t>
            </w:r>
          </w:p>
        </w:tc>
        <w:tc>
          <w:tcPr>
            <w:tcW w:w="4962" w:type="dxa"/>
            <w:gridSpan w:val="4"/>
            <w:vMerge w:val="restart"/>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 xml:space="preserve">      组织3人以上单数组成的专家组进行采购需求论证</w:t>
            </w:r>
          </w:p>
        </w:tc>
        <w:tc>
          <w:tcPr>
            <w:tcW w:w="1395" w:type="dxa"/>
            <w:vMerge w:val="restart"/>
            <w:noWrap w:val="0"/>
            <w:vAlign w:val="center"/>
          </w:tcPr>
          <w:p>
            <w:pPr>
              <w:widowControl/>
              <w:jc w:val="center"/>
              <w:rPr>
                <w:color w:val="auto"/>
              </w:rPr>
            </w:pPr>
            <w:r>
              <w:rPr>
                <w:rFonts w:hint="eastAsia" w:ascii="仿宋" w:hAnsi="仿宋" w:eastAsia="仿宋" w:cs="仿宋"/>
                <w:b/>
                <w:bCs/>
                <w:color w:val="auto"/>
                <w:kern w:val="0"/>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市</w:t>
            </w:r>
          </w:p>
        </w:tc>
        <w:tc>
          <w:tcPr>
            <w:tcW w:w="2824" w:type="dxa"/>
            <w:gridSpan w:val="2"/>
            <w:noWrap w:val="0"/>
            <w:vAlign w:val="top"/>
          </w:tcPr>
          <w:p>
            <w:pPr>
              <w:spacing w:line="480" w:lineRule="auto"/>
              <w:jc w:val="center"/>
              <w:rPr>
                <w:color w:val="auto"/>
              </w:rPr>
            </w:pPr>
            <w:r>
              <w:rPr>
                <w:rFonts w:hint="eastAsia" w:ascii="仿宋" w:hAnsi="仿宋" w:eastAsia="仿宋" w:cs="仿宋"/>
                <w:b/>
                <w:bCs/>
                <w:color w:val="auto"/>
                <w:kern w:val="0"/>
                <w:sz w:val="24"/>
                <w:szCs w:val="28"/>
              </w:rPr>
              <w:t>≥100且＜500</w:t>
            </w:r>
          </w:p>
        </w:tc>
        <w:tc>
          <w:tcPr>
            <w:tcW w:w="4962" w:type="dxa"/>
            <w:gridSpan w:val="4"/>
            <w:vMerge w:val="continue"/>
            <w:noWrap w:val="0"/>
            <w:vAlign w:val="center"/>
          </w:tcPr>
          <w:p>
            <w:pPr>
              <w:widowControl/>
              <w:snapToGrid w:val="0"/>
              <w:jc w:val="center"/>
              <w:rPr>
                <w:rFonts w:ascii="仿宋" w:hAnsi="仿宋" w:eastAsia="仿宋" w:cs="仿宋"/>
                <w:b/>
                <w:bCs/>
                <w:color w:val="auto"/>
                <w:kern w:val="0"/>
                <w:sz w:val="24"/>
                <w:szCs w:val="28"/>
              </w:rPr>
            </w:pPr>
          </w:p>
        </w:tc>
        <w:tc>
          <w:tcPr>
            <w:tcW w:w="1395" w:type="dxa"/>
            <w:vMerge w:val="continue"/>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县</w:t>
            </w:r>
          </w:p>
        </w:tc>
        <w:tc>
          <w:tcPr>
            <w:tcW w:w="2824" w:type="dxa"/>
            <w:gridSpan w:val="2"/>
            <w:noWrap w:val="0"/>
            <w:vAlign w:val="top"/>
          </w:tcPr>
          <w:p>
            <w:pPr>
              <w:spacing w:line="480" w:lineRule="auto"/>
              <w:jc w:val="center"/>
              <w:rPr>
                <w:color w:val="auto"/>
              </w:rPr>
            </w:pPr>
            <w:r>
              <w:rPr>
                <w:rFonts w:hint="eastAsia" w:ascii="仿宋" w:hAnsi="仿宋" w:eastAsia="仿宋" w:cs="仿宋"/>
                <w:b/>
                <w:bCs/>
                <w:color w:val="auto"/>
                <w:kern w:val="0"/>
                <w:sz w:val="24"/>
                <w:szCs w:val="28"/>
              </w:rPr>
              <w:t>≥50且＜300</w:t>
            </w:r>
          </w:p>
        </w:tc>
        <w:tc>
          <w:tcPr>
            <w:tcW w:w="4962" w:type="dxa"/>
            <w:gridSpan w:val="4"/>
            <w:vMerge w:val="continue"/>
            <w:noWrap w:val="0"/>
            <w:vAlign w:val="center"/>
          </w:tcPr>
          <w:p>
            <w:pPr>
              <w:widowControl/>
              <w:snapToGrid w:val="0"/>
              <w:jc w:val="center"/>
              <w:rPr>
                <w:rFonts w:ascii="仿宋" w:hAnsi="仿宋" w:eastAsia="仿宋" w:cs="仿宋"/>
                <w:b/>
                <w:bCs/>
                <w:color w:val="auto"/>
                <w:kern w:val="0"/>
                <w:sz w:val="24"/>
                <w:szCs w:val="28"/>
              </w:rPr>
            </w:pPr>
          </w:p>
        </w:tc>
        <w:tc>
          <w:tcPr>
            <w:tcW w:w="1395" w:type="dxa"/>
            <w:vMerge w:val="continue"/>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省</w:t>
            </w:r>
          </w:p>
        </w:tc>
        <w:tc>
          <w:tcPr>
            <w:tcW w:w="2824" w:type="dxa"/>
            <w:gridSpan w:val="2"/>
            <w:noWrap w:val="0"/>
            <w:vAlign w:val="top"/>
          </w:tcPr>
          <w:p>
            <w:pPr>
              <w:spacing w:line="480" w:lineRule="auto"/>
              <w:jc w:val="center"/>
              <w:rPr>
                <w:color w:val="auto"/>
              </w:rPr>
            </w:pPr>
            <w:r>
              <w:rPr>
                <w:rFonts w:hint="eastAsia" w:ascii="仿宋" w:hAnsi="仿宋" w:eastAsia="仿宋" w:cs="仿宋"/>
                <w:b/>
                <w:bCs/>
                <w:color w:val="auto"/>
                <w:kern w:val="0"/>
                <w:sz w:val="24"/>
                <w:szCs w:val="28"/>
              </w:rPr>
              <w:t>≥1000</w:t>
            </w:r>
          </w:p>
        </w:tc>
        <w:tc>
          <w:tcPr>
            <w:tcW w:w="4962" w:type="dxa"/>
            <w:gridSpan w:val="4"/>
            <w:vMerge w:val="restart"/>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 xml:space="preserve">      组织5人以上单数组成的专家组进行      采购需求论证，并在四川政府采购网公示3个工作日以上，征求潜在供应商和社会公众的意见。</w:t>
            </w:r>
          </w:p>
          <w:p>
            <w:pPr>
              <w:widowControl/>
              <w:jc w:val="center"/>
              <w:rPr>
                <w:rFonts w:ascii="仿宋" w:hAnsi="仿宋" w:eastAsia="仿宋" w:cs="仿宋"/>
                <w:b/>
                <w:bCs/>
                <w:color w:val="auto"/>
                <w:kern w:val="0"/>
                <w:sz w:val="24"/>
                <w:szCs w:val="28"/>
              </w:rPr>
            </w:pPr>
          </w:p>
        </w:tc>
        <w:tc>
          <w:tcPr>
            <w:tcW w:w="1395" w:type="dxa"/>
            <w:vMerge w:val="restart"/>
            <w:noWrap w:val="0"/>
            <w:vAlign w:val="center"/>
          </w:tcPr>
          <w:p>
            <w:pPr>
              <w:widowControl/>
              <w:jc w:val="center"/>
              <w:rPr>
                <w:color w:val="auto"/>
              </w:rPr>
            </w:pPr>
            <w:r>
              <w:rPr>
                <w:rFonts w:hint="eastAsia" w:ascii="仿宋" w:hAnsi="仿宋" w:eastAsia="仿宋" w:cs="仿宋"/>
                <w:b/>
                <w:bCs/>
                <w:color w:val="auto"/>
                <w:kern w:val="0"/>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市</w:t>
            </w:r>
          </w:p>
        </w:tc>
        <w:tc>
          <w:tcPr>
            <w:tcW w:w="2824" w:type="dxa"/>
            <w:gridSpan w:val="2"/>
            <w:noWrap w:val="0"/>
            <w:vAlign w:val="top"/>
          </w:tcPr>
          <w:p>
            <w:pPr>
              <w:spacing w:line="480" w:lineRule="auto"/>
              <w:jc w:val="center"/>
              <w:rPr>
                <w:color w:val="auto"/>
              </w:rPr>
            </w:pPr>
            <w:r>
              <w:rPr>
                <w:rFonts w:hint="eastAsia" w:ascii="仿宋" w:hAnsi="仿宋" w:eastAsia="仿宋" w:cs="仿宋"/>
                <w:b/>
                <w:bCs/>
                <w:color w:val="auto"/>
                <w:kern w:val="0"/>
                <w:sz w:val="24"/>
                <w:szCs w:val="28"/>
              </w:rPr>
              <w:t>≥500</w:t>
            </w:r>
          </w:p>
        </w:tc>
        <w:tc>
          <w:tcPr>
            <w:tcW w:w="4962" w:type="dxa"/>
            <w:gridSpan w:val="4"/>
            <w:vMerge w:val="continue"/>
            <w:noWrap w:val="0"/>
            <w:vAlign w:val="center"/>
          </w:tcPr>
          <w:p>
            <w:pPr>
              <w:widowControl/>
              <w:snapToGrid w:val="0"/>
              <w:jc w:val="center"/>
              <w:rPr>
                <w:rFonts w:ascii="仿宋" w:hAnsi="仿宋" w:eastAsia="仿宋" w:cs="仿宋"/>
                <w:b/>
                <w:bCs/>
                <w:color w:val="auto"/>
                <w:kern w:val="0"/>
                <w:sz w:val="24"/>
                <w:szCs w:val="28"/>
              </w:rPr>
            </w:pPr>
          </w:p>
        </w:tc>
        <w:tc>
          <w:tcPr>
            <w:tcW w:w="1395" w:type="dxa"/>
            <w:vMerge w:val="continue"/>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643" w:type="dxa"/>
            <w:noWrap w:val="0"/>
            <w:vAlign w:val="center"/>
          </w:tcPr>
          <w:p>
            <w:pPr>
              <w:widowControl/>
              <w:jc w:val="center"/>
              <w:rPr>
                <w:color w:val="auto"/>
              </w:rPr>
            </w:pPr>
            <w:r>
              <w:rPr>
                <w:rFonts w:hint="eastAsia" w:ascii="仿宋" w:hAnsi="仿宋" w:eastAsia="仿宋" w:cs="仿宋"/>
                <w:b/>
                <w:bCs/>
                <w:color w:val="auto"/>
                <w:kern w:val="0"/>
                <w:sz w:val="24"/>
                <w:szCs w:val="28"/>
              </w:rPr>
              <w:t>县</w:t>
            </w:r>
          </w:p>
        </w:tc>
        <w:tc>
          <w:tcPr>
            <w:tcW w:w="2824" w:type="dxa"/>
            <w:gridSpan w:val="2"/>
            <w:noWrap w:val="0"/>
            <w:vAlign w:val="center"/>
          </w:tcPr>
          <w:p>
            <w:pPr>
              <w:spacing w:line="480" w:lineRule="auto"/>
              <w:jc w:val="center"/>
              <w:rPr>
                <w:color w:val="auto"/>
              </w:rPr>
            </w:pPr>
            <w:r>
              <w:rPr>
                <w:rFonts w:hint="eastAsia" w:ascii="仿宋" w:hAnsi="仿宋" w:eastAsia="仿宋" w:cs="仿宋"/>
                <w:b/>
                <w:bCs/>
                <w:color w:val="auto"/>
                <w:kern w:val="0"/>
                <w:sz w:val="24"/>
                <w:szCs w:val="28"/>
              </w:rPr>
              <w:t>≥300</w:t>
            </w:r>
          </w:p>
        </w:tc>
        <w:tc>
          <w:tcPr>
            <w:tcW w:w="4962" w:type="dxa"/>
            <w:gridSpan w:val="4"/>
            <w:vMerge w:val="continue"/>
            <w:noWrap w:val="0"/>
            <w:vAlign w:val="center"/>
          </w:tcPr>
          <w:p>
            <w:pPr>
              <w:widowControl/>
              <w:snapToGrid w:val="0"/>
              <w:jc w:val="center"/>
              <w:rPr>
                <w:rFonts w:ascii="仿宋" w:hAnsi="仿宋" w:eastAsia="仿宋" w:cs="仿宋"/>
                <w:b/>
                <w:bCs/>
                <w:color w:val="auto"/>
                <w:kern w:val="0"/>
                <w:sz w:val="24"/>
                <w:szCs w:val="28"/>
              </w:rPr>
            </w:pPr>
          </w:p>
        </w:tc>
        <w:tc>
          <w:tcPr>
            <w:tcW w:w="1395" w:type="dxa"/>
            <w:vMerge w:val="continue"/>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jc w:val="center"/>
        </w:trPr>
        <w:tc>
          <w:tcPr>
            <w:tcW w:w="568" w:type="dxa"/>
            <w:vMerge w:val="restart"/>
            <w:noWrap w:val="0"/>
            <w:tcMar>
              <w:top w:w="15" w:type="dxa"/>
              <w:left w:w="15" w:type="dxa"/>
              <w:bottom w:w="15" w:type="dxa"/>
              <w:right w:w="15" w:type="dxa"/>
            </w:tcMar>
            <w:vAlign w:val="center"/>
          </w:tcPr>
          <w:p>
            <w:pPr>
              <w:widowControl/>
              <w:jc w:val="center"/>
              <w:rPr>
                <w:color w:val="auto"/>
              </w:rPr>
            </w:pPr>
            <w:r>
              <w:rPr>
                <w:rFonts w:hint="eastAsia" w:ascii="仿宋" w:hAnsi="仿宋" w:eastAsia="仿宋" w:cs="仿宋"/>
                <w:b/>
                <w:bCs/>
                <w:color w:val="auto"/>
                <w:kern w:val="0"/>
                <w:sz w:val="24"/>
                <w:szCs w:val="28"/>
              </w:rPr>
              <w:t>项目性质</w:t>
            </w:r>
          </w:p>
        </w:tc>
        <w:tc>
          <w:tcPr>
            <w:tcW w:w="3467" w:type="dxa"/>
            <w:gridSpan w:val="3"/>
            <w:noWrap w:val="0"/>
            <w:vAlign w:val="center"/>
          </w:tcPr>
          <w:p>
            <w:pPr>
              <w:jc w:val="center"/>
              <w:rPr>
                <w:color w:val="auto"/>
              </w:rPr>
            </w:pPr>
            <w:r>
              <w:rPr>
                <w:rFonts w:hint="eastAsia" w:ascii="仿宋" w:hAnsi="仿宋" w:eastAsia="仿宋" w:cs="仿宋"/>
                <w:b/>
                <w:bCs/>
                <w:color w:val="auto"/>
                <w:kern w:val="0"/>
                <w:sz w:val="24"/>
                <w:szCs w:val="24"/>
              </w:rPr>
              <w:t>政府向社会提供公共服务项目</w:t>
            </w:r>
          </w:p>
        </w:tc>
        <w:tc>
          <w:tcPr>
            <w:tcW w:w="6357" w:type="dxa"/>
            <w:gridSpan w:val="5"/>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atLeast"/>
          <w:jc w:val="center"/>
        </w:trPr>
        <w:tc>
          <w:tcPr>
            <w:tcW w:w="568" w:type="dxa"/>
            <w:vMerge w:val="continue"/>
            <w:noWrap w:val="0"/>
            <w:tcMar>
              <w:top w:w="15" w:type="dxa"/>
              <w:left w:w="15" w:type="dxa"/>
              <w:bottom w:w="15" w:type="dxa"/>
              <w:right w:w="15" w:type="dxa"/>
            </w:tcMar>
            <w:vAlign w:val="center"/>
          </w:tcPr>
          <w:p>
            <w:pPr>
              <w:widowControl/>
              <w:snapToGrid w:val="0"/>
              <w:jc w:val="center"/>
              <w:rPr>
                <w:rFonts w:ascii="仿宋" w:hAnsi="仿宋" w:eastAsia="仿宋" w:cs="仿宋"/>
                <w:b/>
                <w:bCs/>
                <w:color w:val="auto"/>
                <w:kern w:val="0"/>
                <w:sz w:val="24"/>
                <w:szCs w:val="28"/>
              </w:rPr>
            </w:pPr>
          </w:p>
        </w:tc>
        <w:tc>
          <w:tcPr>
            <w:tcW w:w="3467" w:type="dxa"/>
            <w:gridSpan w:val="3"/>
            <w:noWrap w:val="0"/>
            <w:vAlign w:val="center"/>
          </w:tcPr>
          <w:p>
            <w:pPr>
              <w:jc w:val="center"/>
              <w:rPr>
                <w:color w:val="auto"/>
              </w:rPr>
            </w:pPr>
            <w:r>
              <w:rPr>
                <w:rFonts w:hint="eastAsia" w:ascii="仿宋" w:hAnsi="仿宋" w:eastAsia="仿宋" w:cs="仿宋"/>
                <w:b/>
                <w:bCs/>
                <w:color w:val="auto"/>
                <w:kern w:val="0"/>
                <w:sz w:val="24"/>
                <w:szCs w:val="24"/>
              </w:rPr>
              <w:t>采购人和实际使用人或者受益人分离的项目</w:t>
            </w:r>
          </w:p>
        </w:tc>
        <w:tc>
          <w:tcPr>
            <w:tcW w:w="6357" w:type="dxa"/>
            <w:gridSpan w:val="5"/>
            <w:noWrap w:val="0"/>
            <w:vAlign w:val="center"/>
          </w:tcPr>
          <w:p>
            <w:pPr>
              <w:widowControl/>
              <w:snapToGrid w:val="0"/>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4" w:hRule="atLeast"/>
          <w:jc w:val="center"/>
        </w:trPr>
        <w:tc>
          <w:tcPr>
            <w:tcW w:w="10392" w:type="dxa"/>
            <w:gridSpan w:val="9"/>
            <w:noWrap w:val="0"/>
            <w:vAlign w:val="center"/>
          </w:tcPr>
          <w:p>
            <w:pPr>
              <w:widowControl/>
              <w:spacing w:line="360" w:lineRule="auto"/>
              <w:jc w:val="left"/>
              <w:rPr>
                <w:color w:val="auto"/>
              </w:rPr>
            </w:pPr>
            <w:r>
              <w:rPr>
                <w:rFonts w:hint="eastAsia" w:ascii="仿宋" w:hAnsi="仿宋" w:eastAsia="仿宋" w:cs="仿宋"/>
                <w:b/>
                <w:bCs/>
                <w:color w:val="auto"/>
                <w:sz w:val="24"/>
                <w:szCs w:val="24"/>
              </w:rPr>
              <w:t>本项目是否属于政府采购政策扶持范围：</w:t>
            </w:r>
          </w:p>
          <w:p>
            <w:pPr>
              <w:widowControl/>
              <w:spacing w:line="360" w:lineRule="auto"/>
              <w:jc w:val="left"/>
              <w:rPr>
                <w:color w:val="auto"/>
              </w:rPr>
            </w:pPr>
            <w:r>
              <w:rPr>
                <w:rFonts w:hint="eastAsia" w:ascii="仿宋" w:hAnsi="仿宋" w:eastAsia="仿宋" w:cs="仿宋"/>
                <w:b/>
                <w:bCs/>
                <w:color w:val="auto"/>
                <w:sz w:val="24"/>
                <w:szCs w:val="24"/>
              </w:rPr>
              <w:t xml:space="preserve">1.落实扶持中小企业、监狱企业、残疾人福利性单位政策         </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是□否</w:t>
            </w:r>
          </w:p>
          <w:p>
            <w:pPr>
              <w:widowControl/>
              <w:spacing w:line="360" w:lineRule="auto"/>
              <w:jc w:val="left"/>
              <w:rPr>
                <w:color w:val="auto"/>
              </w:rPr>
            </w:pPr>
            <w:r>
              <w:rPr>
                <w:rFonts w:hint="eastAsia" w:ascii="仿宋" w:hAnsi="仿宋" w:eastAsia="仿宋" w:cs="仿宋"/>
                <w:b/>
                <w:bCs/>
                <w:color w:val="auto"/>
                <w:sz w:val="24"/>
                <w:szCs w:val="24"/>
              </w:rPr>
              <w:t xml:space="preserve">2.落实扶持节能环保产品政策                                 </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是□否</w:t>
            </w:r>
          </w:p>
          <w:p>
            <w:pPr>
              <w:widowControl/>
              <w:spacing w:line="360" w:lineRule="auto"/>
              <w:jc w:val="left"/>
              <w:rPr>
                <w:color w:val="auto"/>
              </w:rPr>
            </w:pPr>
            <w:r>
              <w:rPr>
                <w:rFonts w:hint="eastAsia" w:ascii="仿宋" w:hAnsi="仿宋" w:eastAsia="仿宋" w:cs="仿宋"/>
                <w:b/>
                <w:bCs/>
                <w:color w:val="auto"/>
                <w:sz w:val="24"/>
                <w:szCs w:val="24"/>
              </w:rPr>
              <w:t xml:space="preserve">3.属于其他政府采购政策扶持范围                             </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是□否</w:t>
            </w:r>
          </w:p>
          <w:p>
            <w:pPr>
              <w:widowControl/>
              <w:spacing w:line="360" w:lineRule="auto"/>
              <w:jc w:val="left"/>
              <w:rPr>
                <w:color w:val="auto"/>
              </w:rPr>
            </w:pPr>
            <w:r>
              <w:rPr>
                <w:rFonts w:hint="eastAsia" w:ascii="仿宋" w:hAnsi="仿宋" w:eastAsia="仿宋" w:cs="仿宋"/>
                <w:b/>
                <w:bCs/>
                <w:color w:val="auto"/>
                <w:sz w:val="24"/>
                <w:szCs w:val="24"/>
              </w:rPr>
              <w:t>4.本项目是否专门面向中小企业                               □是</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2" w:hRule="atLeast"/>
          <w:jc w:val="center"/>
        </w:trPr>
        <w:tc>
          <w:tcPr>
            <w:tcW w:w="10392" w:type="dxa"/>
            <w:gridSpan w:val="9"/>
            <w:noWrap w:val="0"/>
            <w:vAlign w:val="top"/>
          </w:tcPr>
          <w:p>
            <w:pPr>
              <w:spacing w:line="480" w:lineRule="auto"/>
              <w:rPr>
                <w:color w:val="auto"/>
              </w:rPr>
            </w:pPr>
            <w:r>
              <w:rPr>
                <w:rFonts w:hint="eastAsia" w:ascii="仿宋" w:hAnsi="仿宋" w:eastAsia="仿宋" w:cs="仿宋"/>
                <w:b/>
                <w:bCs/>
                <w:color w:val="auto"/>
                <w:kern w:val="0"/>
                <w:sz w:val="24"/>
                <w:szCs w:val="28"/>
              </w:rPr>
              <w:t>专家组论证意见：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1" w:hRule="atLeast"/>
          <w:jc w:val="center"/>
        </w:trPr>
        <w:tc>
          <w:tcPr>
            <w:tcW w:w="2056" w:type="dxa"/>
            <w:gridSpan w:val="3"/>
            <w:noWrap w:val="0"/>
            <w:tcMar>
              <w:top w:w="15" w:type="dxa"/>
              <w:left w:w="15" w:type="dxa"/>
              <w:bottom w:w="15" w:type="dxa"/>
              <w:right w:w="15" w:type="dxa"/>
            </w:tcMar>
            <w:vAlign w:val="center"/>
          </w:tcPr>
          <w:p>
            <w:pPr>
              <w:jc w:val="center"/>
              <w:rPr>
                <w:color w:val="auto"/>
              </w:rPr>
            </w:pPr>
            <w:r>
              <w:rPr>
                <w:rFonts w:hint="eastAsia" w:ascii="仿宋" w:hAnsi="仿宋" w:eastAsia="仿宋" w:cs="仿宋"/>
                <w:b/>
                <w:bCs/>
                <w:color w:val="auto"/>
                <w:kern w:val="0"/>
                <w:sz w:val="24"/>
                <w:szCs w:val="28"/>
              </w:rPr>
              <w:t>本项目拟采用的采购方式</w:t>
            </w:r>
          </w:p>
        </w:tc>
        <w:tc>
          <w:tcPr>
            <w:tcW w:w="8336" w:type="dxa"/>
            <w:gridSpan w:val="6"/>
            <w:noWrap w:val="0"/>
            <w:vAlign w:val="center"/>
          </w:tcPr>
          <w:p>
            <w:pPr>
              <w:spacing w:line="480" w:lineRule="auto"/>
              <w:ind w:left="239"/>
              <w:rPr>
                <w:color w:val="auto"/>
              </w:rPr>
            </w:pPr>
            <w:r>
              <w:rPr>
                <w:rFonts w:hint="eastAsia" w:ascii="仿宋" w:hAnsi="仿宋" w:eastAsia="仿宋" w:cs="仿宋"/>
                <w:b/>
                <w:bCs/>
                <w:color w:val="auto"/>
                <w:kern w:val="0"/>
                <w:sz w:val="24"/>
                <w:szCs w:val="28"/>
                <w:lang w:val="zh-CN"/>
              </w:rPr>
              <w:t>□公开招标   □邀请招标   ☑询价    □竞争性谈判   □单一来源      □竞争性磋商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atLeast"/>
          <w:jc w:val="center"/>
        </w:trPr>
        <w:tc>
          <w:tcPr>
            <w:tcW w:w="2056" w:type="dxa"/>
            <w:gridSpan w:val="3"/>
            <w:noWrap w:val="0"/>
            <w:tcMar>
              <w:top w:w="15" w:type="dxa"/>
              <w:left w:w="15" w:type="dxa"/>
              <w:bottom w:w="15" w:type="dxa"/>
              <w:right w:w="15" w:type="dxa"/>
            </w:tcMar>
            <w:vAlign w:val="center"/>
          </w:tcPr>
          <w:p>
            <w:pPr>
              <w:jc w:val="center"/>
              <w:rPr>
                <w:color w:val="auto"/>
              </w:rPr>
            </w:pPr>
            <w:r>
              <w:rPr>
                <w:rFonts w:hint="eastAsia" w:ascii="仿宋" w:hAnsi="仿宋" w:eastAsia="仿宋" w:cs="仿宋"/>
                <w:b/>
                <w:bCs/>
                <w:color w:val="auto"/>
                <w:kern w:val="0"/>
                <w:sz w:val="24"/>
                <w:szCs w:val="28"/>
              </w:rPr>
              <w:t>本项目拟采用的评审方法</w:t>
            </w:r>
          </w:p>
        </w:tc>
        <w:tc>
          <w:tcPr>
            <w:tcW w:w="8336" w:type="dxa"/>
            <w:gridSpan w:val="6"/>
            <w:noWrap w:val="0"/>
            <w:vAlign w:val="center"/>
          </w:tcPr>
          <w:p>
            <w:pPr>
              <w:widowControl/>
              <w:snapToGrid w:val="0"/>
              <w:jc w:val="left"/>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1" w:hRule="atLeast"/>
          <w:jc w:val="center"/>
        </w:trPr>
        <w:tc>
          <w:tcPr>
            <w:tcW w:w="2056" w:type="dxa"/>
            <w:gridSpan w:val="3"/>
            <w:noWrap w:val="0"/>
            <w:tcMar>
              <w:top w:w="15" w:type="dxa"/>
              <w:left w:w="15" w:type="dxa"/>
              <w:bottom w:w="15" w:type="dxa"/>
              <w:right w:w="15" w:type="dxa"/>
            </w:tcMar>
            <w:vAlign w:val="center"/>
          </w:tcPr>
          <w:p>
            <w:pPr>
              <w:jc w:val="center"/>
              <w:rPr>
                <w:color w:val="auto"/>
              </w:rPr>
            </w:pPr>
            <w:r>
              <w:rPr>
                <w:rFonts w:hint="eastAsia" w:ascii="仿宋" w:hAnsi="仿宋" w:eastAsia="仿宋" w:cs="仿宋"/>
                <w:b/>
                <w:bCs/>
                <w:color w:val="auto"/>
                <w:kern w:val="0"/>
                <w:sz w:val="24"/>
                <w:szCs w:val="28"/>
              </w:rPr>
              <w:t>本项目拟采用的评审标准</w:t>
            </w:r>
          </w:p>
        </w:tc>
        <w:tc>
          <w:tcPr>
            <w:tcW w:w="8336" w:type="dxa"/>
            <w:gridSpan w:val="6"/>
            <w:noWrap w:val="0"/>
            <w:vAlign w:val="center"/>
          </w:tcPr>
          <w:p>
            <w:pPr>
              <w:widowControl/>
              <w:snapToGrid w:val="0"/>
              <w:jc w:val="left"/>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2056" w:type="dxa"/>
            <w:gridSpan w:val="3"/>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供应商参加采购活动的资格条件</w:t>
            </w:r>
          </w:p>
        </w:tc>
        <w:tc>
          <w:tcPr>
            <w:tcW w:w="8336" w:type="dxa"/>
            <w:gridSpan w:val="6"/>
            <w:noWrap w:val="0"/>
            <w:vAlign w:val="top"/>
          </w:tcPr>
          <w:p>
            <w:pPr>
              <w:widowControl/>
              <w:snapToGrid w:val="0"/>
              <w:spacing w:line="360" w:lineRule="auto"/>
              <w:jc w:val="left"/>
              <w:rPr>
                <w:rFonts w:ascii="仿宋" w:hAnsi="仿宋" w:eastAsia="仿宋" w:cs="仿宋"/>
                <w:b/>
                <w:bCs/>
                <w:color w:val="auto"/>
                <w:kern w:val="0"/>
                <w:sz w:val="24"/>
                <w:szCs w:val="28"/>
              </w:rPr>
            </w:pPr>
          </w:p>
          <w:p>
            <w:pPr>
              <w:widowControl/>
              <w:spacing w:line="360" w:lineRule="auto"/>
              <w:jc w:val="left"/>
              <w:rPr>
                <w:rFonts w:ascii="仿宋" w:hAnsi="仿宋" w:eastAsia="仿宋" w:cs="仿宋"/>
                <w:b/>
                <w:bCs/>
                <w:color w:val="auto"/>
                <w:kern w:val="0"/>
                <w:sz w:val="24"/>
                <w:szCs w:val="28"/>
              </w:rPr>
            </w:pPr>
          </w:p>
          <w:p>
            <w:pPr>
              <w:widowControl/>
              <w:spacing w:line="360" w:lineRule="auto"/>
              <w:jc w:val="left"/>
              <w:rPr>
                <w:color w:val="auto"/>
              </w:rPr>
            </w:pPr>
            <w:r>
              <w:rPr>
                <w:rFonts w:hint="eastAsia" w:ascii="仿宋" w:hAnsi="仿宋" w:eastAsia="仿宋" w:cs="仿宋"/>
                <w:b/>
                <w:bCs/>
                <w:color w:val="auto"/>
                <w:kern w:val="0"/>
                <w:sz w:val="24"/>
                <w:szCs w:val="28"/>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056" w:type="dxa"/>
            <w:gridSpan w:val="3"/>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政府采购项目履约时间和方式</w:t>
            </w:r>
          </w:p>
        </w:tc>
        <w:tc>
          <w:tcPr>
            <w:tcW w:w="8336" w:type="dxa"/>
            <w:gridSpan w:val="6"/>
            <w:noWrap w:val="0"/>
            <w:vAlign w:val="center"/>
          </w:tcPr>
          <w:p>
            <w:pPr>
              <w:widowControl/>
              <w:snapToGrid w:val="0"/>
              <w:spacing w:line="360" w:lineRule="auto"/>
              <w:jc w:val="left"/>
              <w:rPr>
                <w:rFonts w:ascii="仿宋" w:hAnsi="仿宋" w:eastAsia="仿宋" w:cs="仿宋"/>
                <w:b/>
                <w:bCs/>
                <w:color w:val="auto"/>
                <w:kern w:val="0"/>
                <w:sz w:val="24"/>
                <w:szCs w:val="28"/>
              </w:rPr>
            </w:pPr>
          </w:p>
          <w:p>
            <w:pPr>
              <w:widowControl/>
              <w:spacing w:line="360" w:lineRule="auto"/>
              <w:jc w:val="left"/>
              <w:rPr>
                <w:color w:val="auto"/>
              </w:rPr>
            </w:pPr>
            <w:r>
              <w:rPr>
                <w:rFonts w:hint="eastAsia" w:ascii="仿宋" w:hAnsi="仿宋" w:eastAsia="仿宋" w:cs="仿宋"/>
                <w:b/>
                <w:bCs/>
                <w:color w:val="auto"/>
                <w:kern w:val="0"/>
                <w:sz w:val="24"/>
                <w:szCs w:val="28"/>
              </w:rPr>
              <w:t>详见附件</w:t>
            </w:r>
          </w:p>
          <w:p>
            <w:pPr>
              <w:widowControl/>
              <w:spacing w:line="360" w:lineRule="auto"/>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2056" w:type="dxa"/>
            <w:gridSpan w:val="3"/>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验收方法和标准</w:t>
            </w:r>
          </w:p>
        </w:tc>
        <w:tc>
          <w:tcPr>
            <w:tcW w:w="8336" w:type="dxa"/>
            <w:gridSpan w:val="6"/>
            <w:noWrap w:val="0"/>
            <w:vAlign w:val="center"/>
          </w:tcPr>
          <w:p>
            <w:pPr>
              <w:widowControl/>
              <w:snapToGrid w:val="0"/>
              <w:spacing w:line="360" w:lineRule="auto"/>
              <w:jc w:val="left"/>
              <w:rPr>
                <w:rFonts w:ascii="仿宋" w:hAnsi="仿宋" w:eastAsia="仿宋" w:cs="仿宋"/>
                <w:b/>
                <w:bCs/>
                <w:color w:val="auto"/>
                <w:kern w:val="0"/>
                <w:sz w:val="24"/>
                <w:szCs w:val="28"/>
              </w:rPr>
            </w:pPr>
          </w:p>
          <w:p>
            <w:pPr>
              <w:widowControl/>
              <w:spacing w:line="360" w:lineRule="auto"/>
              <w:jc w:val="left"/>
              <w:rPr>
                <w:color w:val="auto"/>
              </w:rPr>
            </w:pPr>
            <w:r>
              <w:rPr>
                <w:rFonts w:hint="eastAsia" w:ascii="仿宋" w:hAnsi="仿宋" w:eastAsia="仿宋" w:cs="仿宋"/>
                <w:b/>
                <w:bCs/>
                <w:color w:val="auto"/>
                <w:kern w:val="0"/>
                <w:sz w:val="24"/>
                <w:szCs w:val="28"/>
              </w:rPr>
              <w:t>详见附件</w:t>
            </w:r>
          </w:p>
          <w:p>
            <w:pPr>
              <w:widowControl/>
              <w:spacing w:line="360" w:lineRule="auto"/>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2056" w:type="dxa"/>
            <w:gridSpan w:val="3"/>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合同实质性条款</w:t>
            </w:r>
          </w:p>
        </w:tc>
        <w:tc>
          <w:tcPr>
            <w:tcW w:w="8336" w:type="dxa"/>
            <w:gridSpan w:val="6"/>
            <w:noWrap w:val="0"/>
            <w:vAlign w:val="center"/>
          </w:tcPr>
          <w:p>
            <w:pPr>
              <w:widowControl/>
              <w:snapToGrid w:val="0"/>
              <w:spacing w:line="360" w:lineRule="auto"/>
              <w:rPr>
                <w:rFonts w:ascii="仿宋" w:hAnsi="仿宋" w:eastAsia="仿宋" w:cs="仿宋"/>
                <w:b/>
                <w:bCs/>
                <w:color w:val="auto"/>
                <w:kern w:val="0"/>
                <w:sz w:val="24"/>
                <w:szCs w:val="28"/>
              </w:rPr>
            </w:pPr>
          </w:p>
          <w:p>
            <w:pPr>
              <w:widowControl/>
              <w:spacing w:line="360" w:lineRule="auto"/>
              <w:jc w:val="left"/>
              <w:rPr>
                <w:color w:val="auto"/>
              </w:rPr>
            </w:pPr>
            <w:r>
              <w:rPr>
                <w:rFonts w:hint="eastAsia" w:ascii="仿宋" w:hAnsi="仿宋" w:eastAsia="仿宋" w:cs="仿宋"/>
                <w:b/>
                <w:bCs/>
                <w:color w:val="auto"/>
                <w:kern w:val="0"/>
                <w:sz w:val="24"/>
                <w:szCs w:val="28"/>
              </w:rPr>
              <w:t>详见附件</w:t>
            </w:r>
          </w:p>
          <w:p>
            <w:pPr>
              <w:widowControl/>
              <w:spacing w:line="360" w:lineRule="auto"/>
              <w:jc w:val="center"/>
              <w:rPr>
                <w:rFonts w:ascii="仿宋" w:hAnsi="仿宋" w:eastAsia="仿宋" w:cs="仿宋"/>
                <w:b/>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2056" w:type="dxa"/>
            <w:gridSpan w:val="3"/>
            <w:noWrap w:val="0"/>
            <w:vAlign w:val="center"/>
          </w:tcPr>
          <w:p>
            <w:pPr>
              <w:widowControl/>
              <w:spacing w:line="360" w:lineRule="auto"/>
              <w:jc w:val="center"/>
              <w:rPr>
                <w:color w:val="auto"/>
              </w:rPr>
            </w:pPr>
            <w:r>
              <w:rPr>
                <w:rFonts w:hint="eastAsia" w:ascii="仿宋" w:hAnsi="仿宋" w:eastAsia="仿宋" w:cs="仿宋"/>
                <w:b/>
                <w:bCs/>
                <w:color w:val="auto"/>
                <w:kern w:val="0"/>
                <w:sz w:val="24"/>
                <w:szCs w:val="28"/>
              </w:rPr>
              <w:t>其他需要论证的事项</w:t>
            </w:r>
          </w:p>
        </w:tc>
        <w:tc>
          <w:tcPr>
            <w:tcW w:w="8336" w:type="dxa"/>
            <w:gridSpan w:val="6"/>
            <w:noWrap w:val="0"/>
            <w:vAlign w:val="center"/>
          </w:tcPr>
          <w:p>
            <w:pPr>
              <w:widowControl/>
              <w:spacing w:line="360" w:lineRule="auto"/>
              <w:jc w:val="left"/>
              <w:rPr>
                <w:color w:val="auto"/>
              </w:rPr>
            </w:pPr>
            <w:r>
              <w:rPr>
                <w:rFonts w:hint="eastAsia" w:ascii="仿宋" w:hAnsi="仿宋" w:eastAsia="仿宋" w:cs="仿宋"/>
                <w:b/>
                <w:bCs/>
                <w:color w:val="auto"/>
                <w:kern w:val="0"/>
                <w:sz w:val="24"/>
                <w:szCs w:val="28"/>
              </w:rPr>
              <w:t>详见附件</w:t>
            </w:r>
          </w:p>
          <w:p>
            <w:pPr>
              <w:widowControl/>
              <w:spacing w:line="360" w:lineRule="auto"/>
              <w:jc w:val="center"/>
              <w:rPr>
                <w:rFonts w:ascii="仿宋" w:hAnsi="仿宋" w:eastAsia="仿宋" w:cs="仿宋"/>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2056" w:type="dxa"/>
            <w:gridSpan w:val="3"/>
            <w:noWrap w:val="0"/>
            <w:vAlign w:val="center"/>
          </w:tcPr>
          <w:p>
            <w:pPr>
              <w:snapToGrid w:val="0"/>
              <w:spacing w:line="360" w:lineRule="auto"/>
              <w:jc w:val="center"/>
              <w:rPr>
                <w:rFonts w:ascii="仿宋" w:hAnsi="仿宋" w:eastAsia="仿宋" w:cs="仿宋"/>
                <w:b/>
                <w:bCs/>
                <w:color w:val="auto"/>
                <w:kern w:val="0"/>
                <w:sz w:val="24"/>
                <w:szCs w:val="28"/>
              </w:rPr>
            </w:pPr>
          </w:p>
          <w:p>
            <w:pPr>
              <w:spacing w:line="360" w:lineRule="auto"/>
              <w:jc w:val="center"/>
              <w:rPr>
                <w:color w:val="auto"/>
              </w:rPr>
            </w:pPr>
            <w:r>
              <w:rPr>
                <w:rFonts w:hint="eastAsia" w:ascii="仿宋" w:hAnsi="仿宋" w:eastAsia="仿宋" w:cs="仿宋"/>
                <w:b/>
                <w:color w:val="auto"/>
                <w:sz w:val="24"/>
                <w:szCs w:val="28"/>
              </w:rPr>
              <w:t>论证小组成员</w:t>
            </w:r>
          </w:p>
          <w:p>
            <w:pPr>
              <w:spacing w:line="360" w:lineRule="auto"/>
              <w:jc w:val="center"/>
              <w:rPr>
                <w:color w:val="auto"/>
              </w:rPr>
            </w:pPr>
            <w:r>
              <w:rPr>
                <w:rFonts w:hint="eastAsia" w:ascii="仿宋" w:hAnsi="仿宋" w:eastAsia="仿宋" w:cs="仿宋"/>
                <w:b/>
                <w:color w:val="auto"/>
                <w:sz w:val="24"/>
                <w:szCs w:val="28"/>
              </w:rPr>
              <w:t>论证结论</w:t>
            </w:r>
          </w:p>
        </w:tc>
        <w:tc>
          <w:tcPr>
            <w:tcW w:w="8336" w:type="dxa"/>
            <w:gridSpan w:val="6"/>
            <w:noWrap w:val="0"/>
            <w:vAlign w:val="center"/>
          </w:tcPr>
          <w:p>
            <w:pPr>
              <w:widowControl/>
              <w:snapToGrid w:val="0"/>
              <w:spacing w:line="360" w:lineRule="auto"/>
              <w:jc w:val="left"/>
              <w:rPr>
                <w:rFonts w:ascii="仿宋" w:hAnsi="仿宋" w:eastAsia="仿宋" w:cs="仿宋"/>
                <w:b/>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2056" w:type="dxa"/>
            <w:gridSpan w:val="3"/>
            <w:noWrap w:val="0"/>
            <w:vAlign w:val="center"/>
          </w:tcPr>
          <w:p>
            <w:pPr>
              <w:spacing w:line="360" w:lineRule="auto"/>
              <w:jc w:val="center"/>
              <w:rPr>
                <w:color w:val="auto"/>
              </w:rPr>
            </w:pPr>
            <w:r>
              <w:rPr>
                <w:rFonts w:hint="eastAsia" w:ascii="仿宋" w:hAnsi="仿宋" w:eastAsia="仿宋" w:cs="仿宋"/>
                <w:b/>
                <w:color w:val="auto"/>
                <w:sz w:val="24"/>
                <w:szCs w:val="28"/>
              </w:rPr>
              <w:t>论证小组成员</w:t>
            </w:r>
          </w:p>
          <w:p>
            <w:pPr>
              <w:spacing w:line="360" w:lineRule="auto"/>
              <w:jc w:val="center"/>
              <w:rPr>
                <w:color w:val="auto"/>
              </w:rPr>
            </w:pPr>
            <w:r>
              <w:rPr>
                <w:rFonts w:hint="eastAsia" w:ascii="仿宋" w:hAnsi="仿宋" w:eastAsia="仿宋" w:cs="仿宋"/>
                <w:b/>
                <w:color w:val="auto"/>
                <w:sz w:val="24"/>
                <w:szCs w:val="28"/>
              </w:rPr>
              <w:t>签字</w:t>
            </w:r>
          </w:p>
        </w:tc>
        <w:tc>
          <w:tcPr>
            <w:tcW w:w="8336" w:type="dxa"/>
            <w:gridSpan w:val="6"/>
            <w:noWrap w:val="0"/>
            <w:vAlign w:val="center"/>
          </w:tcPr>
          <w:p>
            <w:pPr>
              <w:snapToGrid w:val="0"/>
              <w:spacing w:line="360" w:lineRule="auto"/>
              <w:jc w:val="center"/>
              <w:rPr>
                <w:rFonts w:ascii="仿宋" w:hAnsi="仿宋" w:eastAsia="仿宋" w:cs="仿宋"/>
                <w:b/>
                <w:color w:val="auto"/>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2056" w:type="dxa"/>
            <w:gridSpan w:val="3"/>
            <w:noWrap w:val="0"/>
            <w:vAlign w:val="center"/>
          </w:tcPr>
          <w:p>
            <w:pPr>
              <w:spacing w:line="360" w:lineRule="auto"/>
              <w:jc w:val="center"/>
              <w:rPr>
                <w:color w:val="auto"/>
              </w:rPr>
            </w:pPr>
            <w:r>
              <w:rPr>
                <w:rFonts w:hint="eastAsia" w:ascii="仿宋" w:hAnsi="仿宋" w:eastAsia="仿宋" w:cs="仿宋"/>
                <w:b/>
                <w:color w:val="auto"/>
                <w:sz w:val="24"/>
                <w:szCs w:val="28"/>
              </w:rPr>
              <w:t>采购人意见</w:t>
            </w:r>
          </w:p>
        </w:tc>
        <w:tc>
          <w:tcPr>
            <w:tcW w:w="8336" w:type="dxa"/>
            <w:gridSpan w:val="6"/>
            <w:noWrap w:val="0"/>
            <w:vAlign w:val="center"/>
          </w:tcPr>
          <w:p>
            <w:pPr>
              <w:snapToGrid w:val="0"/>
              <w:spacing w:line="360" w:lineRule="auto"/>
              <w:jc w:val="center"/>
              <w:rPr>
                <w:rFonts w:ascii="仿宋" w:hAnsi="仿宋" w:eastAsia="仿宋" w:cs="仿宋"/>
                <w:b/>
                <w:color w:val="auto"/>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2056" w:type="dxa"/>
            <w:gridSpan w:val="3"/>
            <w:noWrap w:val="0"/>
            <w:vAlign w:val="center"/>
          </w:tcPr>
          <w:p>
            <w:pPr>
              <w:spacing w:line="360" w:lineRule="auto"/>
              <w:jc w:val="center"/>
              <w:rPr>
                <w:color w:val="auto"/>
              </w:rPr>
            </w:pPr>
            <w:r>
              <w:rPr>
                <w:rFonts w:hint="eastAsia" w:ascii="仿宋" w:hAnsi="仿宋" w:eastAsia="仿宋" w:cs="仿宋"/>
                <w:b/>
                <w:color w:val="auto"/>
                <w:sz w:val="24"/>
                <w:szCs w:val="28"/>
              </w:rPr>
              <w:t>采购人签字</w:t>
            </w:r>
          </w:p>
        </w:tc>
        <w:tc>
          <w:tcPr>
            <w:tcW w:w="8336" w:type="dxa"/>
            <w:gridSpan w:val="6"/>
            <w:noWrap w:val="0"/>
            <w:vAlign w:val="center"/>
          </w:tcPr>
          <w:p>
            <w:pPr>
              <w:snapToGrid w:val="0"/>
              <w:spacing w:line="360" w:lineRule="auto"/>
              <w:jc w:val="center"/>
              <w:rPr>
                <w:rFonts w:ascii="仿宋" w:hAnsi="仿宋" w:eastAsia="仿宋" w:cs="仿宋"/>
                <w:b/>
                <w:color w:val="auto"/>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9" w:hRule="atLeast"/>
          <w:jc w:val="center"/>
        </w:trPr>
        <w:tc>
          <w:tcPr>
            <w:tcW w:w="2056" w:type="dxa"/>
            <w:gridSpan w:val="3"/>
            <w:noWrap w:val="0"/>
            <w:vAlign w:val="center"/>
          </w:tcPr>
          <w:p>
            <w:pPr>
              <w:jc w:val="center"/>
              <w:rPr>
                <w:color w:val="auto"/>
              </w:rPr>
            </w:pPr>
            <w:r>
              <w:rPr>
                <w:rFonts w:hint="eastAsia" w:ascii="仿宋" w:hAnsi="仿宋" w:eastAsia="仿宋" w:cs="仿宋"/>
                <w:b/>
                <w:color w:val="auto"/>
                <w:sz w:val="24"/>
                <w:szCs w:val="28"/>
              </w:rPr>
              <w:t>备注</w:t>
            </w:r>
          </w:p>
        </w:tc>
        <w:tc>
          <w:tcPr>
            <w:tcW w:w="8336" w:type="dxa"/>
            <w:gridSpan w:val="6"/>
            <w:noWrap w:val="0"/>
            <w:vAlign w:val="top"/>
          </w:tcPr>
          <w:p>
            <w:pPr>
              <w:pStyle w:val="15"/>
              <w:spacing w:line="360" w:lineRule="auto"/>
              <w:jc w:val="both"/>
              <w:rPr>
                <w:color w:val="auto"/>
              </w:rPr>
            </w:pPr>
            <w:r>
              <w:rPr>
                <w:rFonts w:hint="eastAsia" w:ascii="仿宋" w:hAnsi="仿宋" w:eastAsia="仿宋" w:cs="仿宋"/>
                <w:color w:val="auto"/>
                <w:szCs w:val="28"/>
              </w:rPr>
              <w:t>1、50万以下采购项目组织相关专业人员进行需求论证。</w:t>
            </w:r>
          </w:p>
          <w:p>
            <w:pPr>
              <w:pStyle w:val="15"/>
              <w:spacing w:line="360" w:lineRule="auto"/>
              <w:jc w:val="both"/>
              <w:rPr>
                <w:color w:val="auto"/>
              </w:rPr>
            </w:pPr>
            <w:r>
              <w:rPr>
                <w:rFonts w:hint="eastAsia" w:ascii="仿宋" w:hAnsi="仿宋" w:eastAsia="仿宋" w:cs="仿宋"/>
                <w:color w:val="auto"/>
                <w:szCs w:val="28"/>
              </w:rPr>
              <w:t>2、50万元以上300万元以下采购项目须组织3人以上单数组成专家组进行采购需求论证。</w:t>
            </w:r>
          </w:p>
          <w:p>
            <w:pPr>
              <w:pStyle w:val="15"/>
              <w:spacing w:line="360" w:lineRule="auto"/>
              <w:jc w:val="both"/>
              <w:rPr>
                <w:color w:val="auto"/>
              </w:rPr>
            </w:pPr>
            <w:r>
              <w:rPr>
                <w:rFonts w:hint="eastAsia" w:ascii="仿宋" w:hAnsi="仿宋" w:eastAsia="仿宋" w:cs="仿宋"/>
                <w:color w:val="auto"/>
                <w:szCs w:val="28"/>
              </w:rPr>
              <w:t>3、300万元以上采购项目，政府向社会公众提供的公共服务项目，采购人和实际使用人或者受益者分离的采购项目，应当在开展相关调研的基础上，组织5人以上单数组成的专家组进行采购需求论证。论证由采购人报项目所在地财政局采监科进行公示，公示时间3个工作日以上。</w:t>
            </w:r>
          </w:p>
          <w:p>
            <w:pPr>
              <w:widowControl/>
              <w:spacing w:line="360" w:lineRule="auto"/>
              <w:rPr>
                <w:color w:val="auto"/>
              </w:rPr>
            </w:pPr>
            <w:r>
              <w:rPr>
                <w:rFonts w:hint="eastAsia" w:ascii="仿宋" w:hAnsi="仿宋" w:eastAsia="仿宋" w:cs="仿宋"/>
                <w:color w:val="auto"/>
                <w:sz w:val="24"/>
                <w:szCs w:val="28"/>
              </w:rPr>
              <w:t>注：采购需求论证过程中，不得邀请一个供应商或者邀请不具有实质竞争性的供应商进行协商，严禁采购需求倾向特定的供应商。</w:t>
            </w:r>
          </w:p>
        </w:tc>
      </w:tr>
    </w:tbl>
    <w:p>
      <w:pPr>
        <w:jc w:val="center"/>
        <w:rPr>
          <w:color w:val="auto"/>
        </w:rPr>
      </w:pPr>
      <w:r>
        <w:rPr>
          <w:rFonts w:hint="eastAsia" w:ascii="仿宋" w:hAnsi="仿宋" w:eastAsia="仿宋" w:cs="仿宋"/>
          <w:b/>
          <w:color w:val="auto"/>
          <w:sz w:val="36"/>
          <w:szCs w:val="28"/>
        </w:rPr>
        <w:t>三、拟确定的供应商参加采购活动的资格条件</w:t>
      </w:r>
    </w:p>
    <w:p>
      <w:pPr>
        <w:spacing w:line="360" w:lineRule="auto"/>
        <w:ind w:firstLine="542"/>
        <w:rPr>
          <w:color w:val="auto"/>
        </w:rPr>
      </w:pPr>
      <w:r>
        <w:rPr>
          <w:rFonts w:hint="eastAsia" w:ascii="仿宋" w:hAnsi="仿宋" w:eastAsia="仿宋" w:cs="仿宋"/>
          <w:b/>
          <w:bCs/>
          <w:color w:val="auto"/>
          <w:sz w:val="24"/>
          <w:szCs w:val="24"/>
        </w:rPr>
        <w:t>（一）参加</w:t>
      </w:r>
      <w:r>
        <w:rPr>
          <w:rFonts w:hint="eastAsia" w:ascii="仿宋" w:hAnsi="仿宋" w:eastAsia="仿宋" w:cs="仿宋"/>
          <w:b/>
          <w:bCs/>
          <w:color w:val="auto"/>
          <w:sz w:val="24"/>
          <w:szCs w:val="24"/>
          <w:lang w:val="en-US" w:eastAsia="zh-CN"/>
        </w:rPr>
        <w:t>询价</w:t>
      </w:r>
      <w:r>
        <w:rPr>
          <w:rFonts w:hint="eastAsia" w:ascii="仿宋" w:hAnsi="仿宋" w:eastAsia="仿宋" w:cs="仿宋"/>
          <w:b/>
          <w:bCs/>
          <w:color w:val="auto"/>
          <w:sz w:val="24"/>
          <w:szCs w:val="24"/>
        </w:rPr>
        <w:t>的供应商应具备下列资格条件：</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5.参加本次政府采购活动前三年内，在经营活动中没有重大违法记录。</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6.法律、行政法规规定的其他条件。</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7.参加本次采购活动前，供应商及其现任法定代表人、主要负责人不得具有行贿犯罪记录。</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8.本项目不允许联合体参加。</w:t>
      </w:r>
    </w:p>
    <w:p>
      <w:pPr>
        <w:pStyle w:val="14"/>
        <w:ind w:firstLine="600"/>
        <w:rPr>
          <w:rFonts w:ascii="仿宋" w:hAnsi="仿宋" w:eastAsia="仿宋" w:cs="仿宋"/>
          <w:color w:val="auto"/>
          <w:sz w:val="24"/>
        </w:rPr>
      </w:pPr>
      <w:r>
        <w:rPr>
          <w:rFonts w:hint="eastAsia" w:ascii="仿宋" w:hAnsi="仿宋" w:eastAsia="仿宋" w:cs="仿宋"/>
          <w:color w:val="auto"/>
          <w:sz w:val="24"/>
        </w:rPr>
        <w:t>9.本项目不允许进口产品参加。</w:t>
      </w:r>
    </w:p>
    <w:p>
      <w:pPr>
        <w:pStyle w:val="14"/>
        <w:ind w:firstLine="600"/>
        <w:rPr>
          <w:rFonts w:hint="eastAsia" w:ascii="仿宋" w:hAnsi="仿宋" w:eastAsia="仿宋" w:cs="仿宋"/>
          <w:color w:val="auto"/>
          <w:sz w:val="24"/>
        </w:rPr>
      </w:pPr>
      <w:r>
        <w:rPr>
          <w:rFonts w:hint="eastAsia" w:ascii="仿宋" w:hAnsi="仿宋" w:eastAsia="仿宋" w:cs="仿宋"/>
          <w:color w:val="auto"/>
          <w:sz w:val="24"/>
        </w:rPr>
        <w:t>10.按照规定获取了</w:t>
      </w:r>
      <w:r>
        <w:rPr>
          <w:rFonts w:hint="eastAsia" w:ascii="仿宋" w:hAnsi="仿宋" w:eastAsia="仿宋" w:cs="仿宋"/>
          <w:color w:val="auto"/>
          <w:sz w:val="24"/>
          <w:lang w:val="en-US" w:eastAsia="zh-CN"/>
        </w:rPr>
        <w:t>询价</w:t>
      </w:r>
      <w:r>
        <w:rPr>
          <w:rFonts w:hint="eastAsia" w:ascii="仿宋" w:hAnsi="仿宋" w:eastAsia="仿宋" w:cs="仿宋"/>
          <w:color w:val="auto"/>
          <w:sz w:val="24"/>
        </w:rPr>
        <w:t>文件。</w:t>
      </w:r>
    </w:p>
    <w:p>
      <w:pPr>
        <w:spacing w:line="360" w:lineRule="auto"/>
        <w:ind w:firstLine="542"/>
        <w:rPr>
          <w:color w:val="auto"/>
        </w:rPr>
      </w:pPr>
      <w:r>
        <w:rPr>
          <w:rFonts w:hint="eastAsia" w:ascii="仿宋" w:hAnsi="仿宋" w:eastAsia="仿宋" w:cs="仿宋"/>
          <w:b/>
          <w:bCs/>
          <w:color w:val="auto"/>
          <w:sz w:val="24"/>
          <w:szCs w:val="24"/>
        </w:rPr>
        <w:t>（二）其他类似效力要求：</w:t>
      </w:r>
    </w:p>
    <w:p>
      <w:pPr>
        <w:spacing w:line="360" w:lineRule="auto"/>
        <w:ind w:firstLine="540"/>
        <w:rPr>
          <w:color w:val="auto"/>
        </w:rPr>
      </w:pPr>
      <w:r>
        <w:rPr>
          <w:rFonts w:hint="eastAsia" w:ascii="仿宋" w:hAnsi="仿宋" w:eastAsia="仿宋" w:cs="仿宋"/>
          <w:color w:val="auto"/>
          <w:sz w:val="24"/>
          <w:szCs w:val="24"/>
        </w:rPr>
        <w:t>授权参加本次采购活动的供应商代表证明材料。</w:t>
      </w:r>
    </w:p>
    <w:p>
      <w:pPr>
        <w:spacing w:line="360" w:lineRule="auto"/>
        <w:ind w:firstLine="542"/>
        <w:rPr>
          <w:color w:val="auto"/>
        </w:rPr>
      </w:pPr>
      <w:r>
        <w:rPr>
          <w:rFonts w:hint="eastAsia" w:ascii="仿宋" w:hAnsi="仿宋" w:eastAsia="仿宋" w:cs="仿宋"/>
          <w:b/>
          <w:bCs/>
          <w:color w:val="auto"/>
          <w:sz w:val="24"/>
          <w:szCs w:val="24"/>
        </w:rPr>
        <w:t>注：1</w:t>
      </w:r>
      <w:r>
        <w:rPr>
          <w:rFonts w:ascii="仿宋" w:hAnsi="仿宋" w:eastAsia="仿宋" w:cs="仿宋"/>
          <w:b/>
          <w:bCs/>
          <w:color w:val="auto"/>
          <w:sz w:val="24"/>
          <w:szCs w:val="24"/>
        </w:rPr>
        <w:t>.</w:t>
      </w:r>
      <w:r>
        <w:rPr>
          <w:rFonts w:hint="eastAsia" w:ascii="仿宋" w:hAnsi="仿宋" w:eastAsia="仿宋" w:cs="仿宋"/>
          <w:b/>
          <w:bCs/>
          <w:color w:val="auto"/>
          <w:sz w:val="24"/>
          <w:szCs w:val="24"/>
        </w:rPr>
        <w:t>资格要求中“</w:t>
      </w:r>
      <w:r>
        <w:rPr>
          <w:rFonts w:ascii="仿宋" w:hAnsi="仿宋" w:eastAsia="仿宋" w:cs="仿宋"/>
          <w:b/>
          <w:bCs/>
          <w:color w:val="auto"/>
          <w:sz w:val="24"/>
          <w:szCs w:val="24"/>
        </w:rPr>
        <w:t>5.</w:t>
      </w:r>
      <w:r>
        <w:rPr>
          <w:rFonts w:hint="eastAsia" w:ascii="仿宋" w:hAnsi="仿宋" w:eastAsia="仿宋" w:cs="仿宋"/>
          <w:b/>
          <w:bCs/>
          <w:color w:val="auto"/>
          <w:sz w:val="24"/>
          <w:szCs w:val="24"/>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tabs>
          <w:tab w:val="left" w:pos="312"/>
        </w:tabs>
        <w:spacing w:line="360" w:lineRule="auto"/>
        <w:ind w:firstLine="482" w:firstLineChars="200"/>
        <w:rPr>
          <w:color w:val="auto"/>
        </w:rPr>
      </w:pPr>
      <w:r>
        <w:rPr>
          <w:rFonts w:hint="eastAsia" w:ascii="仿宋" w:hAnsi="仿宋" w:eastAsia="仿宋" w:cs="仿宋"/>
          <w:b/>
          <w:bCs/>
          <w:color w:val="auto"/>
          <w:sz w:val="24"/>
          <w:szCs w:val="24"/>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pageBreakBefore/>
        <w:spacing w:line="360" w:lineRule="auto"/>
        <w:jc w:val="center"/>
        <w:rPr>
          <w:color w:val="auto"/>
        </w:rPr>
      </w:pPr>
      <w:r>
        <w:rPr>
          <w:rFonts w:hint="eastAsia" w:ascii="仿宋" w:hAnsi="仿宋" w:eastAsia="仿宋" w:cs="仿宋"/>
          <w:b/>
          <w:color w:val="auto"/>
          <w:sz w:val="36"/>
          <w:szCs w:val="28"/>
        </w:rPr>
        <w:t>四、投标应当提供的资格、资质性及其他类似效力要求的相关证明材料</w:t>
      </w:r>
    </w:p>
    <w:p>
      <w:pPr>
        <w:spacing w:line="360" w:lineRule="auto"/>
        <w:ind w:firstLine="472"/>
        <w:rPr>
          <w:color w:val="auto"/>
        </w:rPr>
      </w:pPr>
      <w:r>
        <w:rPr>
          <w:rFonts w:hint="eastAsia" w:ascii="仿宋" w:hAnsi="仿宋" w:eastAsia="仿宋" w:cs="仿宋"/>
          <w:b/>
          <w:bCs/>
          <w:color w:val="auto"/>
          <w:sz w:val="24"/>
          <w:szCs w:val="24"/>
        </w:rPr>
        <w:t>（一）资格要求相关证明材料：</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2、具备良好商业信誉的证明材料（提供承诺函，格式自拟）。</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FF0000"/>
          <w:sz w:val="24"/>
          <w:szCs w:val="24"/>
        </w:rPr>
        <w:t>①可提供20</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或202</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年度任</w:t>
      </w:r>
      <w:r>
        <w:rPr>
          <w:rFonts w:hint="eastAsia" w:ascii="仿宋" w:hAnsi="仿宋" w:eastAsia="仿宋" w:cs="仿宋"/>
          <w:color w:val="auto"/>
          <w:sz w:val="24"/>
          <w:szCs w:val="24"/>
        </w:rPr>
        <w:t>意一年经审计的财务报告复印件（包含审计报告和审计报告中所涉及的财务报表和报表附注）；②</w:t>
      </w:r>
      <w:r>
        <w:rPr>
          <w:rFonts w:hint="eastAsia" w:ascii="仿宋" w:hAnsi="仿宋" w:eastAsia="仿宋" w:cs="仿宋"/>
          <w:color w:val="FF0000"/>
          <w:sz w:val="24"/>
          <w:szCs w:val="24"/>
        </w:rPr>
        <w:t>可提供20</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或202</w:t>
      </w:r>
      <w:r>
        <w:rPr>
          <w:rFonts w:hint="eastAsia" w:ascii="仿宋" w:hAnsi="仿宋" w:eastAsia="仿宋" w:cs="仿宋"/>
          <w:color w:val="FF0000"/>
          <w:sz w:val="24"/>
          <w:szCs w:val="24"/>
          <w:lang w:val="en-US" w:eastAsia="zh-CN"/>
        </w:rPr>
        <w:t>1</w:t>
      </w:r>
      <w:r>
        <w:rPr>
          <w:rFonts w:hint="eastAsia" w:ascii="仿宋" w:hAnsi="仿宋" w:eastAsia="仿宋" w:cs="仿宋"/>
          <w:color w:val="auto"/>
          <w:sz w:val="24"/>
          <w:szCs w:val="24"/>
        </w:rPr>
        <w:t>年度任意一年供应商完整的全套财务报表复印件（即：资产负债表、利润表、现金流量表）；③可提供截至响应文件递交截止日一年内银行出具的资信证明（复印件）；④供应商注册时间截至响应文件递交截止日不足一年的，也可提供在工商备案的公司章程（复印件）。</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4、具有依法缴纳税收和社会保障资金的良好记录（提供承诺函，格式自拟）。</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5、具备履行合同所必需的设备和专业技术能力的证明材料（提供承诺函，格式自拟）。</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6、参加政府采购活动前3年内在经营活动中没有重大违法记录的承诺函（格式自拟）。</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7、参加本次采购活动前，供应商及其现任法定代表人、主要负责人不得具有行贿犯罪记录（提供承诺函，格式自拟）。</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8、具备法律、行政法规规定的其他条件的证明材料（提供承诺函，格式自拟）。</w:t>
      </w:r>
    </w:p>
    <w:p>
      <w:pPr>
        <w:spacing w:line="360" w:lineRule="auto"/>
        <w:ind w:firstLine="480"/>
        <w:rPr>
          <w:color w:val="auto"/>
        </w:rPr>
      </w:pPr>
      <w:r>
        <w:rPr>
          <w:rFonts w:hint="eastAsia" w:ascii="仿宋" w:hAnsi="仿宋" w:eastAsia="仿宋" w:cs="仿宋"/>
          <w:color w:val="auto"/>
          <w:sz w:val="24"/>
          <w:szCs w:val="24"/>
        </w:rPr>
        <w:t>9、本项目不允许联合体参加（提供承诺函，格式自拟）。</w:t>
      </w:r>
    </w:p>
    <w:p>
      <w:pPr>
        <w:pStyle w:val="2"/>
        <w:ind w:firstLine="480"/>
        <w:rPr>
          <w:rFonts w:hint="eastAsia" w:ascii="仿宋" w:hAnsi="仿宋" w:eastAsia="仿宋" w:cs="仿宋"/>
          <w:color w:val="auto"/>
          <w:sz w:val="24"/>
        </w:rPr>
      </w:pPr>
      <w:r>
        <w:rPr>
          <w:rFonts w:hint="eastAsia" w:ascii="仿宋" w:hAnsi="仿宋" w:eastAsia="仿宋" w:cs="仿宋"/>
          <w:color w:val="auto"/>
          <w:sz w:val="24"/>
        </w:rPr>
        <w:t>10、本项目不允许进口产品参加（提供承诺函，格式自拟）。</w:t>
      </w:r>
    </w:p>
    <w:p>
      <w:pPr>
        <w:spacing w:line="360" w:lineRule="auto"/>
        <w:ind w:firstLine="480"/>
        <w:rPr>
          <w:color w:val="auto"/>
        </w:rPr>
      </w:pPr>
      <w:r>
        <w:rPr>
          <w:rFonts w:hint="eastAsia" w:ascii="仿宋" w:hAnsi="仿宋" w:eastAsia="仿宋" w:cs="仿宋"/>
          <w:b/>
          <w:bCs/>
          <w:color w:val="auto"/>
          <w:sz w:val="24"/>
          <w:szCs w:val="24"/>
        </w:rPr>
        <w:t>（二）其他类似效力要求相关证明材料：</w:t>
      </w:r>
    </w:p>
    <w:p>
      <w:pPr>
        <w:spacing w:line="360" w:lineRule="auto"/>
        <w:ind w:firstLine="480"/>
        <w:rPr>
          <w:color w:val="auto"/>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单位负责人身份证明材料复印件。</w:t>
      </w:r>
    </w:p>
    <w:p>
      <w:pPr>
        <w:pStyle w:val="12"/>
        <w:spacing w:line="360" w:lineRule="auto"/>
        <w:ind w:firstLine="422"/>
        <w:rPr>
          <w:rFonts w:hint="eastAsia"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）法定代表人</w:t>
      </w:r>
      <w:r>
        <w:rPr>
          <w:rFonts w:ascii="仿宋" w:hAnsi="仿宋" w:eastAsia="仿宋" w:cs="仿宋"/>
          <w:color w:val="auto"/>
        </w:rPr>
        <w:t>/</w:t>
      </w:r>
      <w:r>
        <w:rPr>
          <w:rFonts w:hint="eastAsia" w:ascii="仿宋" w:hAnsi="仿宋" w:eastAsia="仿宋" w:cs="仿宋"/>
          <w:color w:val="auto"/>
        </w:rPr>
        <w:t>单位负责人授权代理书原件及代理人身份证明材料复印件（注：①法定代表人</w:t>
      </w:r>
      <w:r>
        <w:rPr>
          <w:rFonts w:ascii="仿宋" w:hAnsi="仿宋" w:eastAsia="仿宋" w:cs="仿宋"/>
          <w:color w:val="auto"/>
        </w:rPr>
        <w:t>/</w:t>
      </w:r>
      <w:r>
        <w:rPr>
          <w:rFonts w:hint="eastAsia" w:ascii="仿宋" w:hAnsi="仿宋" w:eastAsia="仿宋" w:cs="仿宋"/>
          <w:color w:val="auto"/>
        </w:rPr>
        <w:t>单位负责人授权代理书原件需加盖公章；②如响应文件均由供应商法定代表人</w:t>
      </w:r>
      <w:r>
        <w:rPr>
          <w:rFonts w:ascii="仿宋" w:hAnsi="仿宋" w:eastAsia="仿宋" w:cs="仿宋"/>
          <w:color w:val="auto"/>
        </w:rPr>
        <w:t>/</w:t>
      </w:r>
      <w:r>
        <w:rPr>
          <w:rFonts w:hint="eastAsia" w:ascii="仿宋" w:hAnsi="仿宋" w:eastAsia="仿宋" w:cs="仿宋"/>
          <w:color w:val="auto"/>
        </w:rPr>
        <w:t>单位负责人签字或加盖私人印章的且法定代表人</w:t>
      </w:r>
      <w:r>
        <w:rPr>
          <w:rFonts w:ascii="仿宋" w:hAnsi="仿宋" w:eastAsia="仿宋" w:cs="仿宋"/>
          <w:color w:val="auto"/>
        </w:rPr>
        <w:t>/</w:t>
      </w:r>
      <w:r>
        <w:rPr>
          <w:rFonts w:hint="eastAsia" w:ascii="仿宋" w:hAnsi="仿宋" w:eastAsia="仿宋" w:cs="仿宋"/>
          <w:color w:val="auto"/>
        </w:rPr>
        <w:t>单位负责人本人参与</w:t>
      </w:r>
      <w:r>
        <w:rPr>
          <w:rFonts w:hint="eastAsia" w:ascii="仿宋" w:hAnsi="仿宋" w:eastAsia="仿宋" w:cs="仿宋"/>
          <w:color w:val="auto"/>
          <w:lang w:val="en-US" w:eastAsia="zh-CN"/>
        </w:rPr>
        <w:t>询价</w:t>
      </w:r>
      <w:r>
        <w:rPr>
          <w:rFonts w:hint="eastAsia" w:ascii="仿宋" w:hAnsi="仿宋" w:eastAsia="仿宋" w:cs="仿宋"/>
          <w:color w:val="auto"/>
        </w:rPr>
        <w:t>的，则可不提供。）</w:t>
      </w:r>
    </w:p>
    <w:p>
      <w:pPr>
        <w:pStyle w:val="12"/>
        <w:spacing w:line="360" w:lineRule="auto"/>
        <w:ind w:firstLine="422"/>
        <w:rPr>
          <w:rFonts w:hint="eastAsia" w:ascii="仿宋" w:hAnsi="仿宋" w:eastAsia="仿宋" w:cs="仿宋"/>
          <w:b/>
          <w:bCs/>
          <w:color w:val="auto"/>
        </w:rPr>
      </w:pPr>
      <w:r>
        <w:rPr>
          <w:rFonts w:hint="eastAsia" w:ascii="仿宋" w:hAnsi="仿宋" w:eastAsia="仿宋" w:cs="仿宋"/>
          <w:b/>
          <w:bCs/>
          <w:color w:val="auto"/>
        </w:rPr>
        <w:t>（三）投标产品资格资质要求：</w:t>
      </w:r>
    </w:p>
    <w:p>
      <w:pPr>
        <w:spacing w:line="360" w:lineRule="auto"/>
        <w:ind w:firstLine="480" w:firstLineChars="200"/>
        <w:rPr>
          <w:rFonts w:hint="eastAsia" w:eastAsia="仿宋"/>
          <w:color w:val="FF0000"/>
        </w:rPr>
      </w:pPr>
      <w:r>
        <w:rPr>
          <w:rFonts w:hint="eastAsia" w:ascii="仿宋" w:hAnsi="仿宋" w:eastAsia="仿宋" w:cs="仿宋"/>
          <w:color w:val="FF0000"/>
          <w:sz w:val="24"/>
          <w:szCs w:val="28"/>
        </w:rPr>
        <w:t>投标产品中属于政府强制采购品目清单范围内的产品的，需提供国家确定的认定机构出具的处于有效期内的节能产品，对获得证书的产品实施政府优先采购或强制采购。</w:t>
      </w:r>
    </w:p>
    <w:p>
      <w:pPr>
        <w:pStyle w:val="12"/>
        <w:spacing w:line="450" w:lineRule="exact"/>
        <w:ind w:firstLine="482"/>
        <w:rPr>
          <w:color w:val="auto"/>
        </w:rPr>
      </w:pPr>
      <w:r>
        <w:rPr>
          <w:rFonts w:hint="eastAsia" w:ascii="仿宋" w:hAnsi="仿宋" w:eastAsia="仿宋" w:cs="仿宋"/>
          <w:b/>
          <w:bCs/>
          <w:color w:val="auto"/>
        </w:rPr>
        <w:t>注：以上要求的资料复印件（身份证明材料、采购文件购买情况证明材料除外）均须加盖供应商单位的公章（鲜章），证明材料是双面的，在单面加盖公章，不影响响应文件的实质有效性。特别说明：①以上要求投标人提供的资格证明文件复印件必须加盖投标人印章（鲜章）。</w:t>
      </w:r>
    </w:p>
    <w:p>
      <w:pPr>
        <w:pStyle w:val="12"/>
        <w:spacing w:line="450" w:lineRule="exact"/>
        <w:ind w:firstLine="482"/>
        <w:rPr>
          <w:color w:val="auto"/>
        </w:rPr>
      </w:pPr>
      <w:r>
        <w:rPr>
          <w:rFonts w:hint="eastAsia" w:ascii="仿宋" w:hAnsi="仿宋" w:eastAsia="仿宋" w:cs="仿宋"/>
          <w:b/>
          <w:bCs/>
          <w:color w:val="auto"/>
        </w:rPr>
        <w:t>②新成立企业不满足招标人年度要求的，投标人只提供成立后相应年度的资料。</w:t>
      </w:r>
    </w:p>
    <w:p>
      <w:pPr>
        <w:pStyle w:val="12"/>
        <w:spacing w:line="450" w:lineRule="exact"/>
        <w:ind w:firstLine="482"/>
        <w:rPr>
          <w:color w:val="auto"/>
        </w:rPr>
      </w:pPr>
      <w:r>
        <w:rPr>
          <w:rFonts w:hint="eastAsia" w:ascii="仿宋" w:hAnsi="仿宋" w:eastAsia="仿宋" w:cs="仿宋"/>
          <w:b/>
          <w:bCs/>
          <w:color w:val="auto"/>
        </w:rPr>
        <w:t>③以上证明材料一项不符合要求的，作为无效投标处理。</w:t>
      </w:r>
    </w:p>
    <w:p>
      <w:pPr>
        <w:pStyle w:val="12"/>
        <w:spacing w:line="450" w:lineRule="exact"/>
        <w:ind w:firstLine="482"/>
        <w:rPr>
          <w:color w:val="auto"/>
        </w:rPr>
      </w:pPr>
      <w:r>
        <w:rPr>
          <w:rFonts w:hint="eastAsia" w:ascii="仿宋" w:hAnsi="仿宋" w:eastAsia="仿宋" w:cs="仿宋"/>
          <w:b/>
          <w:bCs/>
          <w:color w:val="auto"/>
        </w:rPr>
        <w:t>④以上的资格、资质性及其他类似效力要求的相关证明材料有格式的从其要求，无格式的格式自拟。</w:t>
      </w:r>
    </w:p>
    <w:p>
      <w:pPr>
        <w:spacing w:line="360" w:lineRule="auto"/>
        <w:ind w:firstLine="480"/>
        <w:rPr>
          <w:color w:val="auto"/>
        </w:rPr>
      </w:pPr>
      <w:r>
        <w:rPr>
          <w:rFonts w:hint="eastAsia" w:ascii="仿宋" w:hAnsi="仿宋" w:eastAsia="仿宋" w:cs="仿宋"/>
          <w:b/>
          <w:bCs/>
          <w:color w:val="auto"/>
          <w:kern w:val="0"/>
          <w:sz w:val="24"/>
          <w:szCs w:val="24"/>
        </w:rPr>
        <w:t>⑤投标人应当为诚信企事业单位、无违法失信行为。【注：采购人或采购代理机构将于本项目投标截止时在‘国家企业信息公示系（www.gsxt.gov.cn ）’、‘信用中国（www.creditchina.gov.cn）’、‘中国政府采购网（www.ccgp.gov.cn）’等渠道对供应商进行信用记录查询，凡被列入严重违法失信企业名单、失信被执行人、重大税收违法案件当事人名单、政府采购严重违法失信行为记录名单等失信名单的，视为存在不良信用记录，参与本项目将被拒绝。】</w:t>
      </w:r>
    </w:p>
    <w:p>
      <w:pPr>
        <w:pStyle w:val="12"/>
        <w:spacing w:line="360" w:lineRule="auto"/>
        <w:rPr>
          <w:rFonts w:ascii="宋体" w:hAnsi="宋体" w:eastAsia="宋体" w:cs="宋体"/>
          <w:color w:val="auto"/>
        </w:rPr>
      </w:pPr>
    </w:p>
    <w:p>
      <w:pPr>
        <w:pStyle w:val="12"/>
        <w:spacing w:line="360" w:lineRule="auto"/>
        <w:rPr>
          <w:rFonts w:ascii="宋体" w:hAnsi="宋体" w:eastAsia="宋体" w:cs="宋体"/>
          <w:color w:val="auto"/>
        </w:rPr>
      </w:pPr>
    </w:p>
    <w:p>
      <w:pPr>
        <w:pStyle w:val="12"/>
        <w:rPr>
          <w:rFonts w:ascii="宋体" w:hAnsi="宋体" w:eastAsia="宋体" w:cs="宋体"/>
          <w:color w:val="auto"/>
        </w:rPr>
      </w:pPr>
    </w:p>
    <w:p>
      <w:pPr>
        <w:pStyle w:val="12"/>
        <w:rPr>
          <w:rFonts w:ascii="宋体" w:hAnsi="宋体" w:eastAsia="宋体" w:cs="宋体"/>
          <w:color w:val="auto"/>
        </w:rPr>
      </w:pPr>
    </w:p>
    <w:p>
      <w:pPr>
        <w:pStyle w:val="12"/>
        <w:rPr>
          <w:rFonts w:ascii="宋体" w:hAnsi="宋体" w:eastAsia="宋体" w:cs="宋体"/>
          <w:color w:val="auto"/>
        </w:rPr>
      </w:pPr>
    </w:p>
    <w:p>
      <w:pPr>
        <w:pageBreakBefore/>
        <w:jc w:val="center"/>
        <w:rPr>
          <w:rFonts w:hint="eastAsia" w:ascii="仿宋" w:hAnsi="仿宋" w:eastAsia="仿宋" w:cs="仿宋"/>
          <w:color w:val="auto"/>
        </w:rPr>
      </w:pPr>
      <w:r>
        <w:rPr>
          <w:rFonts w:hint="eastAsia" w:ascii="仿宋" w:hAnsi="仿宋" w:eastAsia="仿宋" w:cs="仿宋"/>
          <w:b/>
          <w:color w:val="auto"/>
          <w:sz w:val="36"/>
          <w:szCs w:val="28"/>
        </w:rPr>
        <w:t>第五章  采购项目技术、服务、政府采购合同内容条款及其他商务要求</w:t>
      </w:r>
    </w:p>
    <w:p>
      <w:pPr>
        <w:spacing w:line="360" w:lineRule="auto"/>
        <w:jc w:val="left"/>
        <w:rPr>
          <w:rFonts w:hint="eastAsia" w:ascii="仿宋" w:hAnsi="仿宋" w:eastAsia="仿宋" w:cs="仿宋"/>
          <w:color w:val="auto"/>
        </w:rPr>
      </w:pPr>
      <w:bookmarkStart w:id="0" w:name="_Hlk5091606"/>
      <w:r>
        <w:rPr>
          <w:rFonts w:hint="eastAsia" w:ascii="仿宋" w:hAnsi="仿宋" w:eastAsia="仿宋" w:cs="仿宋"/>
          <w:b/>
          <w:bCs/>
          <w:color w:val="auto"/>
          <w:sz w:val="24"/>
          <w:szCs w:val="24"/>
        </w:rPr>
        <w:t xml:space="preserve">（一）项目概述 </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金阳县财政局会议室音频设备、LED显示屏等设备采购项目</w:t>
      </w:r>
    </w:p>
    <w:p>
      <w:pPr>
        <w:spacing w:line="360" w:lineRule="auto"/>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rPr>
        <w:t>1、采购项目及参数要求</w:t>
      </w:r>
      <w:r>
        <w:rPr>
          <w:rFonts w:hint="eastAsia" w:ascii="仿宋" w:hAnsi="仿宋" w:eastAsia="仿宋" w:cs="仿宋"/>
          <w:b/>
          <w:color w:val="FF0000"/>
          <w:sz w:val="24"/>
          <w:szCs w:val="24"/>
          <w:lang w:eastAsia="zh-CN"/>
        </w:rPr>
        <w:t>（</w:t>
      </w:r>
      <w:r>
        <w:rPr>
          <w:rFonts w:hint="eastAsia" w:ascii="仿宋" w:hAnsi="仿宋" w:eastAsia="仿宋" w:cs="仿宋"/>
          <w:b/>
          <w:color w:val="FF0000"/>
          <w:sz w:val="24"/>
          <w:szCs w:val="24"/>
          <w:lang w:val="en-US" w:eastAsia="zh-CN"/>
        </w:rPr>
        <w:t>本项目所属行业为工业，不专门面对中小企业采购）</w:t>
      </w:r>
    </w:p>
    <w:tbl>
      <w:tblPr>
        <w:tblStyle w:val="6"/>
        <w:tblW w:w="5349" w:type="pct"/>
        <w:tblInd w:w="0" w:type="dxa"/>
        <w:tblLayout w:type="autofit"/>
        <w:tblCellMar>
          <w:top w:w="0" w:type="dxa"/>
          <w:left w:w="108" w:type="dxa"/>
          <w:bottom w:w="0" w:type="dxa"/>
          <w:right w:w="108" w:type="dxa"/>
        </w:tblCellMar>
      </w:tblPr>
      <w:tblGrid>
        <w:gridCol w:w="618"/>
        <w:gridCol w:w="1656"/>
        <w:gridCol w:w="5607"/>
        <w:gridCol w:w="618"/>
        <w:gridCol w:w="618"/>
      </w:tblGrid>
      <w:tr>
        <w:tblPrEx>
          <w:tblCellMar>
            <w:top w:w="0" w:type="dxa"/>
            <w:left w:w="108" w:type="dxa"/>
            <w:bottom w:w="0" w:type="dxa"/>
            <w:right w:w="108" w:type="dxa"/>
          </w:tblCellMar>
        </w:tblPrEx>
        <w:trPr>
          <w:trHeight w:val="458"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音频系统</w:t>
            </w:r>
          </w:p>
        </w:tc>
      </w:tr>
      <w:tr>
        <w:tblPrEx>
          <w:tblCellMar>
            <w:top w:w="0" w:type="dxa"/>
            <w:left w:w="108" w:type="dxa"/>
            <w:bottom w:w="0" w:type="dxa"/>
            <w:right w:w="108" w:type="dxa"/>
          </w:tblCellMar>
        </w:tblPrEx>
        <w:trPr>
          <w:trHeight w:val="54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描述（详细参数请双击展开）</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CellMar>
            <w:top w:w="0" w:type="dxa"/>
            <w:left w:w="108" w:type="dxa"/>
            <w:bottom w:w="0" w:type="dxa"/>
            <w:right w:w="108" w:type="dxa"/>
          </w:tblCellMar>
        </w:tblPrEx>
        <w:trPr>
          <w:trHeight w:val="156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会议音箱</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▲1、≥4×3.5"全频单元；</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▲2、额定功率≥150W/8Ω（峰值功率600W/8Ω）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3、特性灵敏度≥93dB/W/m（有效频率带通平均）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4、输出声压级≥115dB/W/m(Continues)；121dB/W/m(Peak)</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5、低频截止频率不高于：110Hz；高频截止频率不低于：18KHz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6、单只水平覆盖范围：120°；单只垂直覆盖范围：60°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▲注：提供产品省级或以上第三方检验机构出具检验报告，需包含上述第1-6项参数检测数据。</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r>
      <w:tr>
        <w:tblPrEx>
          <w:tblCellMar>
            <w:top w:w="0" w:type="dxa"/>
            <w:left w:w="108" w:type="dxa"/>
            <w:bottom w:w="0" w:type="dxa"/>
            <w:right w:w="108" w:type="dxa"/>
          </w:tblCellMar>
        </w:tblPrEx>
        <w:trPr>
          <w:trHeight w:val="6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音箱挂架</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1、水平方向可调≥45°</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2、垂直方向可调≥30°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3、最大载重不小于20KG</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CellMar>
            <w:top w:w="0" w:type="dxa"/>
            <w:left w:w="108" w:type="dxa"/>
            <w:bottom w:w="0" w:type="dxa"/>
            <w:right w:w="108" w:type="dxa"/>
          </w:tblCellMar>
        </w:tblPrEx>
        <w:trPr>
          <w:trHeight w:val="6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功率放大器</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b/>
                <w:bCs/>
                <w:lang w:val="en-US" w:eastAsia="zh-CN"/>
              </w:rPr>
              <w:t>（核心）</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1、开机软启动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2、输出功率（RMS）：≥2×200W/8Ω   2×300W/4Ω  600W/8Ω桥接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3、具有独立电子分频系统，支持高低通选择</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4、RMS输出电压(THD=0.5%,1kHz)≥40V</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5、总谐波失真小于0.5%；</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6、频率响应：20Hz-20kHz（±1dB）；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7、信噪比≥90dB；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▲8、具备短路保护装置，提供技术证明文件；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▲9、具备过载保护装置，提供技术证明文件；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▲10、具备限幅保护装置，提供技术证明文件；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▲11、具备风机智能温控装置，提供技术证明文件。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▲12、具备功率放大器音色补偿电路，提供技术证明文件。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13、提供投标型号的强制性产品3C认证证书复印件。</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音频处理器</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▲1、2输入6输出，多种分频模式；</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2、采样频率：48KHz；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3、输入输出延时：1S，步进21uS；</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4、输入输出参量均衡数目：每通道7段；</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5、每个输入/输出通道均有压缩器，可调节各压缩器的门限值；每个输出通道带相位反转功能；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6、输入/输出参数均衡频率：7Hz-21.9KHz；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7、输入/输出参数均衡带宽:0.17-4.5OCT；</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8、132×32点阵LCD液晶屏显示。；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9、动态范围：117dB；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10、频率响应：20Hz-20KHz；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▲11、最大用户程式数：≥28个；</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12、提供中国国家强制性产品3C认证证书复印件。</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反馈抑制器</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▲1、≥双12段参量均衡，支持高低通分频。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2、24-bit高性能DPS处理器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3、频率响应≥30Hz-18KHz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4、陷波点数：18x2静动态可设（自动参量陷波器）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5、检测速度支持高中低调节</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▲6、支持密码锁定/解锁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7、语言选择：中英文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8、保护：开关机防冲击设计</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9、支持手动控制+全自动数字操作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▲10、≥18段双通道滤波器，支持同时自动移相移频功能。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11、配备12个场景保存调用功能，开关机自动记忆功能。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12、电源：AC 110V-AC 220V 50-60Hz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▲13.提供投标产品“数字音频矩阵处理器软件”著作权证书。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14、提供中国国家强制性产品3C认证证书复印件。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▲注：提供产品省级或以上第三方检验机构出具的检验报告，需包含上述第1-9项参数检测数据。</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34"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调音台</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▲1、≥16路输入，MIC通道不少于10路，支持独立48V幻象供电</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2、≥两组立体声输出，四路编组输出，一路效果输出，三路AUX输出。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3、2组监听输出（监听+耳机），一组录音输出。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4、每路单通道带压缩功能，并支持侧链压缩，用于匹配人声及音乐平衡度。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▲5、支持反馈抑制功能。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▲6、支持视频输出。（CVBS）支持多格式视屏文件（H.264， MKV WMV MP4/M4V  MOV VOB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7、支持蓝牙接收功能，支持USB播放。</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8、支持（APE ，FLAC，MP3 ）多解码播放功能。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9、内置99种DSP效果器。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10、支持三段均衡，中频带参量EQ。</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11、100mm衰减推子。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12、输入灵敏度大于等于MIC：-70dB；LINE：-55dB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13、输出电平≥+16dBu</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14、信噪比≥93dBu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15、失真度(THD)≤0.2%(@1kHz)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16、频率响应：20Hz-20kHz（-3/+1）</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17、均衡参数：HF:12KHz±15db;MF:(150-3.5KHz)±15db;LF:80Hz±15db</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0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电源时序器</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1、具备2吋全彩LED，实时显示当前电压、日期时间，通道开关状态；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▲2、定时开关机功能，内置时钟芯片，可执行日期时间设定；</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3、8路通道输出，可自由设定每路延时开启和关闭时间；</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4、支持不少于8组设备开关场景数据；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5、欠压、超压检测及报警功能；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6、单路额定输出电≥13A，总输出≥30A，总功率≥6000W，单路最大功率≥2000W；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7、支持多台设备级联控制，可自动检测及设置；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8、支持外部中央控制设备控制；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▲9、支持远程集中控制通过ID检测和设置；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▲10、支持面板Lock锁定功能，防止人为误操作。</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HDMI矩阵</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1.高清HDMI矩阵，标准机架设计，高度为1U；</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▲2.支持8路HDMI输入，8路HDMI输出，输入输出均支持HDMI1.4a协议，分辨率可达4K@30HZ、1080@120HZ；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▲3.每路输入接口均支持HDCP解析、支持EDID透传和学习；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4.采用水晶可视化按键，两键式操作；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5.支持可视化按键、RS-232、TCP/IP以及遥控多种控制方式；</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 前面板LCD显示屏能够实时显示矩阵信号切换状态及系统配置；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▲7.采用航空式螺旋电源接口（提供第三方检测报告），为电源的稳定性保驾护航。</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设备机柜</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网络设备机柜（金属网门），含PDU，满足使用需求，600*1200*2000 网络机柜 42U 黑色。</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音箱线缆</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1.导体材料选用优质无氧铜（OFC），其中一芯为裸铜丝束合，另一芯为镀锡铜丝束合，单丝直径为0.08mm，束合后导体柔软，传输音质出色。20℃时每公里导体电阻，裸铜≤7.98Ω，镀锡铜≤8.21Ω。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2.绝缘采用优质聚氯乙烯塑料，透明、柔软，质感好。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3.用于室内各种音响设备连接。</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270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屏蔽音频信号线</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音频安装线缆，采用优质高纯度（OFC）无氧铜丝绞合，特别配方聚乙烯绝缘；灰色聚氯乙烯护套，护套为绞形，较细，硬线，适合机柜后面使用；外径：4.5mm；2芯加铝箔屏蔽，导体截面积：0.37mm2，导体：7/0.26mm镀锡铜丝；导体直流电阻：4.8Ω/100m，芯与芯之间的电容：70pF/m，芯与屏蔽之间的电容：120pF/m。</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U型钢走线架</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600mm宽（含连接件）。</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辅材</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包含卡侬头（公）、卡侬头（母）、大二芯、小三芯、莲花头等系统所需接插件。</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批</w:t>
            </w:r>
          </w:p>
        </w:tc>
      </w:tr>
      <w:tr>
        <w:tblPrEx>
          <w:tblCellMar>
            <w:top w:w="0" w:type="dxa"/>
            <w:left w:w="108" w:type="dxa"/>
            <w:bottom w:w="0" w:type="dxa"/>
            <w:right w:w="108" w:type="dxa"/>
          </w:tblCellMar>
        </w:tblPrEx>
        <w:trPr>
          <w:trHeight w:val="420"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系统集成服务</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安装调试、技术支持服务及其他辅材。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w:t>
            </w:r>
          </w:p>
        </w:tc>
      </w:tr>
      <w:tr>
        <w:tblPrEx>
          <w:tblCellMar>
            <w:top w:w="0" w:type="dxa"/>
            <w:left w:w="108" w:type="dxa"/>
            <w:bottom w:w="0" w:type="dxa"/>
            <w:right w:w="108" w:type="dxa"/>
          </w:tblCellMar>
        </w:tblPrEx>
        <w:trPr>
          <w:trHeight w:val="405"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9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数字会议系统主机</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b/>
                <w:bCs/>
                <w:lang w:val="en-US" w:eastAsia="zh-CN"/>
              </w:rPr>
              <w:t>（核心）</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▲1、支持多种会议模式: 自由讨论、轮替发言、限制发言、主席优先等；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2、四组8P-DIN输出线，与单元手拉手连接；</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3、面板具有数码显示和多种工作模式调节及指示灯；</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4、具有有高、中、低音均衡调节电路，独立调整系统音质；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▲5、具有平衡线路输出接口及不平衡输出接口以适应各种设备连接方式；</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▲6、主席提示音可选有或无；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▲7、具备自动关机功能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8、具备电话输入接口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9、支持多种结构的会议单元混合使用；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10、频率响应：100Hz—13KHz；功率消耗:115W；总谐波失真：≤0.15%；工作电压：AC 220V-240V/50Hz-60Hz；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▲注：提供产品省级或以上第三方检验机构出具检验报告，需包含上述第1-8项参数检测数据。</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405"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主席单元（方管）</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1.单元采用方管设计，金属底座、抗手机、电磁、高频干扰，独创麦克风阵列技术，出色的拾音距离满足各种使用需求；</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2.单元由系统主机供电， 采用8芯“T”型连接线连接；</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3.咪管及单元底座均有麦克风发言指示灯，可控制及显示麦克风开启/关闭；</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4.具有防气爆音、内建防风防护罩功能；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▲5.系统中主席单元不受限制，并可置回路中位置，具有强制切断代表单元麦克风发言的优先功能和主席优先；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6.方管管体可以自由调整角度，方便灵活；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▲7.ECM阵列式，短杆方管设计具备2颗16φmm咪芯（提供第三方检测报告）；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▲8.最大承受声压级≥120dB，超心型指向（提供第三方检测报告）；</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r>
      <w:tr>
        <w:tblPrEx>
          <w:tblCellMar>
            <w:top w:w="0" w:type="dxa"/>
            <w:left w:w="108" w:type="dxa"/>
            <w:bottom w:w="0" w:type="dxa"/>
            <w:right w:w="108" w:type="dxa"/>
          </w:tblCellMar>
        </w:tblPrEx>
        <w:trPr>
          <w:trHeight w:val="405"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代表单元（方管）</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1.单元采用方管设计，金属底座、抗手机、电磁、高频干扰，独创麦克风阵列技术，出色的拾音距离满足各种使用需求；</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2.单元由系统主机供电， 采用8芯“T”型连接线连接；</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3.咪管及单元底座均有麦克风发言指示灯，可控制及显示麦克风开启/关闭；</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4.具有防气爆音、内建防风防护罩功能；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6.方管管体可以自由调整角度，方便灵活；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▲7.ECM阵列式，短杆方管设计具备2颗16φmm咪芯（提供第三方检测报告）；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▲8.最大承受声压级≥120dB，超心型指向（提供第三方检测报告）；</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r>
      <w:tr>
        <w:tblPrEx>
          <w:tblCellMar>
            <w:top w:w="0" w:type="dxa"/>
            <w:left w:w="108" w:type="dxa"/>
            <w:bottom w:w="0" w:type="dxa"/>
            <w:right w:w="108" w:type="dxa"/>
          </w:tblCellMar>
        </w:tblPrEx>
        <w:trPr>
          <w:trHeight w:val="405"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一拖二无线麦克风</w:t>
            </w:r>
            <w:r>
              <w:rPr>
                <w:rFonts w:hint="eastAsia"/>
                <w:b/>
                <w:bCs/>
                <w:lang w:val="en-US" w:eastAsia="zh-CN"/>
              </w:rPr>
              <w:t>（核心）</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1、采用金属机箱，具有坚固的结构、散热及隔离谐波干扰极佳的专业质量。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2、RF高动态范围及第三代中频电路，大幅提升互不干扰的频道数及抗干扰特性。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3、预设群组，第1-4组预设16个互不干扰频率，第5－8预设24个互不干扰频率，第U组为用户自定义组，最多可提供2000频率供客户自定义选择使用。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4、采用天线分集式接收及数字导音，杂音锁定双重静音控制，接收距离远，消除接收断音及不稳的缺失。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▲5、黑色金属面板，LED段码显示器，可同时显示群组、频率、电池电量、静音位准、电子音量等相关信息；LED灯柱显示RF/AF强度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▲6、采用飞梭旋钮取代传统复杂的按键，操作快速方便。</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▲7、天线接口采用50Ω/TNC，保持天线可靠连接的同时。并支持天线环路输出，支持8套同型产品射频级联。</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▲8、各频道可单独或混合输出，可切换两段输出的音量，具有MIC/LINE输出开关：LINE比MIC输出约大10dBu。</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9、天线座提供强波器偏压，可以连接天线系统，增加接收距离及稳定的接收效果。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▲10、100-240V,内置AC电源板。保持系统稳定，且支持AC电源环路输出。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11、会议发射器具有自动关机功能，会议结束长时间无输入自动关闭。</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技术参数：</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1、载波频段: UHF530-690.000MHZ（常规：640.000MHZ-690.000MHZ）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2、单机频带宽度 :50 MHz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3、单机频道数量：2000个</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4、频率间隔：25KHz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5、音频灵敏度: -48±3dB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6、综合S/N比 : &gt;100dB(A)</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7、指向性频响曲线：300-2000Hz≤-8dB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8、综合T.H.D. :&lt;0.5%@1kHz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9、频率响应 : 65Hz-15kHz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10、天线：50Ω/TNC，支持天线环路输出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11、发射器拾音头：电容式</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12、发射器供电方式：两节AA电池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13、电池寿命：约8小时（发射器功率为高功率）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▲14、提供第三方国家级检验中心出具的声性能“频率响应曲线图”和“指向性频率响应曲线图”检验报告复印件。</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CellMar>
            <w:top w:w="0" w:type="dxa"/>
            <w:left w:w="108" w:type="dxa"/>
            <w:bottom w:w="0" w:type="dxa"/>
            <w:right w:w="108" w:type="dxa"/>
          </w:tblCellMar>
        </w:tblPrEx>
        <w:trPr>
          <w:trHeight w:val="405" w:hRule="atLeast"/>
        </w:trPr>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19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有源对数周期天线</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▲1、采用对数周期偶极振子阵列，能够在面向所需的覆盖区域时提供最佳接收效果。集成式放大器具有28档位增益设置，用于补偿同轴缆线的插入损失。</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2、配有内螺纹用于安装，可将该天线固定在话筒支架上，也可将其悬挂在天花板上，或者使用集成式可旋转适配器固定在墙壁上。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▲3、可与无线接收机和天线分配器搭配使用，该天线为有源对数周期天线，需要接收机能够提供 8–12 伏直流偏压。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4、天线为单指向性天线，对需要特定方位使用的环境有非常好的效果。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技术参数：</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1、适用频宽范围： 500MHz  ─ 850MHz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2、步进增益 总增益量：0 ─ 18dB ±2dB 步进量：±1dB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3、步进衰减 总衰减量：0 ─ 9dB  ±2dB 步进量：±1dB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4、天线阻抗 :50Ω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5、天线增益：3-5dB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6、驻波比：≤2.5:1</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7、接收模式(3 dB 波束宽度)：65°（垂直角）,120°(水平面）</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8、连接插座 :TNC母座×1</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9、电流消耗 :约60mA/DC 8V</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10、电源 :TNC母座须提供偏压电源DC 6—10V</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r>
      <w:tr>
        <w:tblPrEx>
          <w:tblCellMar>
            <w:top w:w="0" w:type="dxa"/>
            <w:left w:w="108" w:type="dxa"/>
            <w:bottom w:w="0" w:type="dxa"/>
            <w:right w:w="108" w:type="dxa"/>
          </w:tblCellMar>
        </w:tblPrEx>
        <w:trPr>
          <w:trHeight w:val="405"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显示系统</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b/>
                <w:bCs/>
                <w:lang w:val="en-US" w:eastAsia="zh-CN"/>
              </w:rPr>
            </w:pPr>
            <w:r>
              <w:rPr>
                <w:rFonts w:hint="eastAsia" w:ascii="宋体" w:hAnsi="宋体" w:eastAsia="宋体" w:cs="宋体"/>
                <w:b/>
                <w:bCs/>
                <w:i w:val="0"/>
                <w:iCs w:val="0"/>
                <w:color w:val="000000"/>
                <w:kern w:val="0"/>
                <w:sz w:val="20"/>
                <w:szCs w:val="20"/>
                <w:u w:val="none"/>
                <w:lang w:val="en-US" w:eastAsia="zh-CN" w:bidi="ar"/>
              </w:rPr>
              <w:t>设备名称</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描述（详细参数请双击展开）</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数量</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r>
      <w:tr>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lang w:val="en-US"/>
              </w:rPr>
            </w:pPr>
            <w:r>
              <w:rPr>
                <w:rFonts w:hint="eastAsia"/>
                <w:b/>
                <w:bCs/>
                <w:lang w:val="en-US" w:eastAsia="zh-CN"/>
              </w:rPr>
              <w:t>室内全彩显示屏（核心）</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▲1.像素间距≤1.86mm；</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2.每平方分辨率：≥288900；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3.功耗：功耗（W/㎡）峰值≤450，平均≤150；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▲4.单元板套件材质：iCool 立体散热，铝制底壳＋导热双面胶，极大提升物理散热强度；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5.盐雾性能：通过盐雾实验等级10级评级；</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6.模组平整度：≤0.15mm，对比度5500:1；</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7.LED寿命≥100,000小时；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8.白平衡亮度亮度≥450cd/㎡；色温可调范围：3000k~10000k，并可自定义色温值；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9.视角：水平视角≥160°，垂直视角≥140°，发光点中心距偏差（校正后）&lt;3%；</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10.通过 OE 信号驱动红色LED、绿色LED和蓝色LED的驱动芯片，可形成≥43980亿种颜色变换；</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▲11.刷新频率≥3840HZ；</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12.低亮高灰：100%亮度时16bit灰度；20%亮度时12bit灰度；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13.智能节电：带有智能（黑屏）节电功能；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14.观看舒适度：人眼视觉舒适度（VICO）指数低于2.0；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15.工作噪声声压级（处理距离r=1.0米）：前方≤6.8dB；后方≤7.8dB；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16.显示屏具有防潮、防尘、防腐蚀、防电磁干扰、防静电等功能，并具有过流、短路、过压、欠压保护功能；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17.光生物安全：符合GB/T20145-2006的标准要求：皮肤和眼睛的光化学紫外危害暴辐射值、眼睛的近紫外危害暴辐射值、宽波段的光源对视网膜的危害、蓝光对皮肤表面及角膜和视网膜的暴辐射值、眼睛的红外辐射危害暴辐射值、皮肤热危害暴辐射值检测均符合要求（具有CNAS检测报告提供复印件加盖投标人鲜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18.抗紫外UV辐射：在辐射强度：0.76 W/㎡、nm@340nm，温度：60度，冷凝温度:50、24循环、288h条件下，试验后，外观无异常，符合5级，（具有CNAS检测报告复印件加盖投标人鲜章）；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19.抗震动试验：模拟九级烈度地震2行2列单元组成拼接显示屏,垂直、水平振动10-55-10HZ，峰值加速度0.25g，1倍频程，每一组向循环扫频50次，每次时间5min，检测后无异常；（具有CNAS检测报告复印件加盖投标人鲜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▲20. LED具有符合《软件产品评估标准》(T/SIA003 2017)的单模块校正系统控制软件产品证书。提供证书复印件并加盖投标人鲜章；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▲21、为提高LED单元板视觉舒适度，投标产品符合TIRT-GK-JS-55-2020《显示设备显示性能肯视觉健康认证技术规范第5部分：室内LED显示屏》技术标准提供LED单元板证书复印件并加盖投标人鲜章；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▲22. 为避免知识产权纠纷及盗用，LED显示屏的数据传输的控制系统、芯片阵列及显示器为LED厂家自主研发，（提供证书复印件并加盖投标人鲜章）；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▲23.投标产品符合CESI产品认证实施规则CESI-PC-OD74中HDR2.0的要求（提供证书复印件并加盖投标人鲜章）；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▲24.备品备件≥0.20平米。</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8.60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电源</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1.输入电压：AC110V、AC220V（V）；输出电流：40A；输出电压：DC5V（V）；输出功率：≥200（W）；输出纹波噪音：150mVp-p；类型：LED电源；工作效率：74%（%）</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图像处理器</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1.支持常见的视频接口，包括 1 路 3G-SDI，   2 路 HDMI，1 路 DVI，1 路 USB 播放（选配）。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2.支持 3 个窗口和 1 路 OSD。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3.支持快捷配屏和高级配屏功能。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4.支持 HDMI、DVI 输入分辨率自定义调节。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5.支持设备间备份设置。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6.视频输出最大带载高达 390 万像素。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7.支持一键将优先级最低的窗口全屏自动缩放，增强产品实用性能。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8.支持创建 10 个用户场景作为模板保存，方便使用。</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控制软件</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 与LED屏及大屏图象拼接处理器同一品牌，保证兼容性；</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 软件权属清楚（提供软件著作权证明文件）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3.支持在线、离线场景编辑，支持软件匹配音视频硬件设备进行二次开发和系统升级；</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4.支持多权限、多用户同时操作、分区操作，数据库实时数据更新，增强了数据的稳定性及安全性；</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5.软件支持集总管理，集总控制，集总信息发布；</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6.在同一屏幕上可显示多种信息，如文字、图像、动画等；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7.LED显示屏装置系统具有边缘亮暗线调节功能；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8.C/S架构，操作平台和服务分离；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9.支持自动的场景、节目播放、开关控制，适应各时段、多类型显示需求；</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10.LED显示大屏幕系统能够实现同步异步一体化控制及LED显示具有良好的散热装置；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11.支持单屏，多屏同时操控、数据集中管理，适应简单系统到复杂系统不同的操控模式，满足各种岗位集中管理、协同工作的需要；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12.定义添加RGB/Video/DVI/IP视频等多种信号源，并可方便快捷地对信号源进行调用、切换、删除、场景保存等各种编辑管理，支持多窗口的情况下各信号任意取名，对信号源进行字符叠加；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▲13、LED显示屏需具备海量图像演示和多媒体控制功能，（提供LED软件著作权证书扫描件并加盖投标人鲜章）；</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接收系统</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1.板载≥8个HUB75的接口；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2.支持配置文件回读；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3.支持温度监控；</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4.支持网线通讯状态检测；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5.支持供电电压检测；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6.支持高灰度高刷新和低亮度模式高刷新；</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7.支持逐点亮度、色度校正；</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控制主机</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机架式,≮I5 处理器，内存≥8G，硬盘≥1T，独立显卡，带 HDMI/DVI 接口，含USB鼠标键盘, 21.5英寸屏。</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配电柜</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▲1.具备PLC智能远程控制，且控制器与LED显示屏属于同一平台自主研发生产（提供PLC软件著作权证书复印件）；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2.功率：≥10KW，三相五线制供电,</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3.通过软件控制电源系统的开关,远程开关大屏电源、给其它辅助设备供电；</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4.可设定任意时间开启和关闭电子显示屏电源；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5.可设定任意时间播放指定节目内容；</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▲6.所投智能配电箱通过GB/T-7251.12-2013标准和技术要求，符合CQC12-000001-2020认证规则的要求，提供智能配电箱证书复印件并加盖投标人鲜章；</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CellMar>
            <w:top w:w="0" w:type="dxa"/>
            <w:left w:w="108" w:type="dxa"/>
            <w:bottom w:w="0" w:type="dxa"/>
            <w:right w:w="108" w:type="dxa"/>
          </w:tblCellMar>
        </w:tblPrEx>
        <w:trPr>
          <w:trHeight w:val="36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LED支架</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壁挂式，依据现场安装需求，定制钢结构</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8.60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平米</w:t>
            </w:r>
          </w:p>
        </w:tc>
      </w:tr>
      <w:tr>
        <w:tblPrEx>
          <w:tblCellMar>
            <w:top w:w="0" w:type="dxa"/>
            <w:left w:w="108" w:type="dxa"/>
            <w:bottom w:w="0" w:type="dxa"/>
            <w:right w:w="108" w:type="dxa"/>
          </w:tblCellMar>
        </w:tblPrEx>
        <w:trPr>
          <w:trHeight w:val="443"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安装调试</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包括LED显示屏及配套设施设备的安装、联动调试、培训使用。</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8.60 </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平米</w:t>
            </w:r>
          </w:p>
        </w:tc>
      </w:tr>
      <w:tr>
        <w:tblPrEx>
          <w:tblCellMar>
            <w:top w:w="0" w:type="dxa"/>
            <w:left w:w="108" w:type="dxa"/>
            <w:bottom w:w="0" w:type="dxa"/>
            <w:right w:w="108" w:type="dxa"/>
          </w:tblCellMar>
        </w:tblPrEx>
        <w:trPr>
          <w:trHeight w:val="621"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综合布线</w:t>
            </w:r>
          </w:p>
        </w:tc>
        <w:tc>
          <w:tcPr>
            <w:tcW w:w="322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整屏需要5*4平方三相五线动力线缆，8根超五类网线，控制系统传输信号源。</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w:t>
            </w:r>
          </w:p>
        </w:tc>
      </w:tr>
      <w:tr>
        <w:tblPrEx>
          <w:tblCellMar>
            <w:top w:w="0" w:type="dxa"/>
            <w:left w:w="108" w:type="dxa"/>
            <w:bottom w:w="0" w:type="dxa"/>
            <w:right w:w="108" w:type="dxa"/>
          </w:tblCellMar>
        </w:tblPrEx>
        <w:trPr>
          <w:trHeight w:val="393" w:hRule="atLeast"/>
        </w:trPr>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包边装饰</w:t>
            </w:r>
          </w:p>
        </w:tc>
        <w:tc>
          <w:tcPr>
            <w:tcW w:w="32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周边配套装饰，与原装修搭配不突兀。</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w:t>
            </w:r>
          </w:p>
        </w:tc>
      </w:tr>
    </w:tbl>
    <w:p>
      <w:pPr>
        <w:pStyle w:val="2"/>
        <w:rPr>
          <w:rFonts w:hint="eastAsia"/>
          <w:color w:val="auto"/>
        </w:rPr>
      </w:pPr>
    </w:p>
    <w:p>
      <w:pPr>
        <w:spacing w:line="360" w:lineRule="auto"/>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（三）项目报价要求（实质性要求）：</w:t>
      </w:r>
    </w:p>
    <w:p>
      <w:pPr>
        <w:pStyle w:val="16"/>
        <w:spacing w:line="360" w:lineRule="auto"/>
        <w:ind w:left="420"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1、本项目投标报价是履行合同的最终价格，应包括货款、包装、运输配送、税费、货到就位安装以及培训等供应商完成本项目所需的一切费用，采购人不再支付任何费用；投标报价估算错误等引起的风险由投标人自行承担。</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2、预算控制价金额</w:t>
      </w:r>
      <w:r>
        <w:rPr>
          <w:rFonts w:hint="eastAsia" w:ascii="仿宋" w:hAnsi="仿宋" w:eastAsia="仿宋" w:cs="仿宋"/>
          <w:color w:val="auto"/>
          <w:sz w:val="24"/>
          <w:szCs w:val="24"/>
          <w:lang w:val="en-US" w:eastAsia="zh-CN"/>
        </w:rPr>
        <w:t>23万元</w:t>
      </w:r>
      <w:r>
        <w:rPr>
          <w:rFonts w:hint="eastAsia" w:ascii="仿宋" w:hAnsi="仿宋" w:eastAsia="仿宋" w:cs="仿宋"/>
          <w:color w:val="auto"/>
          <w:sz w:val="24"/>
          <w:szCs w:val="24"/>
        </w:rPr>
        <w:t xml:space="preserve"> 。投标人报价需符合预算控制价要求，超出预算控制价的报价为无效投标。</w:t>
      </w:r>
    </w:p>
    <w:p>
      <w:pPr>
        <w:spacing w:line="360" w:lineRule="auto"/>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（四）售后及其他要求（实质性要求）：</w:t>
      </w:r>
    </w:p>
    <w:p>
      <w:pPr>
        <w:spacing w:line="360" w:lineRule="auto"/>
        <w:ind w:firstLine="480" w:firstLineChars="200"/>
        <w:outlineLvl w:val="1"/>
        <w:rPr>
          <w:rFonts w:hint="eastAsia" w:ascii="仿宋" w:hAnsi="仿宋" w:eastAsia="仿宋" w:cs="仿宋"/>
          <w:bCs/>
          <w:color w:val="auto"/>
          <w:sz w:val="24"/>
          <w:szCs w:val="24"/>
        </w:rPr>
      </w:pPr>
      <w:r>
        <w:rPr>
          <w:rFonts w:hint="eastAsia" w:ascii="仿宋" w:hAnsi="仿宋" w:eastAsia="仿宋" w:cs="仿宋"/>
          <w:bCs/>
          <w:color w:val="auto"/>
          <w:sz w:val="24"/>
          <w:szCs w:val="24"/>
        </w:rPr>
        <w:t>为了保证本次投标产品的正品性与售后服务保障，投标人中标后合同签订前需提供厂家针对</w:t>
      </w:r>
      <w:r>
        <w:rPr>
          <w:rFonts w:hint="eastAsia" w:ascii="仿宋" w:hAnsi="仿宋" w:eastAsia="仿宋" w:cs="仿宋"/>
          <w:bCs/>
          <w:color w:val="FF0000"/>
          <w:sz w:val="24"/>
          <w:szCs w:val="24"/>
          <w:lang w:val="en-US" w:eastAsia="zh-CN"/>
        </w:rPr>
        <w:t>本项目</w:t>
      </w:r>
      <w:r>
        <w:rPr>
          <w:rFonts w:hint="eastAsia" w:ascii="仿宋" w:hAnsi="仿宋" w:eastAsia="仿宋" w:cs="仿宋"/>
          <w:bCs/>
          <w:color w:val="auto"/>
          <w:sz w:val="24"/>
          <w:szCs w:val="24"/>
        </w:rPr>
        <w:t>核心产品的售后服务承诺书原件，投标人须针对本条做出书面承诺格式自理；如虚假响应采购人不予签订合同并上报相关部门进行处理；</w:t>
      </w:r>
    </w:p>
    <w:p>
      <w:pPr>
        <w:spacing w:line="360" w:lineRule="auto"/>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1、安全要求</w:t>
      </w:r>
    </w:p>
    <w:p>
      <w:pPr>
        <w:spacing w:line="360" w:lineRule="auto"/>
        <w:ind w:firstLine="480" w:firstLineChars="200"/>
        <w:outlineLvl w:val="1"/>
        <w:rPr>
          <w:rFonts w:hint="eastAsia" w:ascii="仿宋" w:hAnsi="仿宋" w:eastAsia="仿宋" w:cs="仿宋"/>
          <w:b/>
          <w:color w:val="auto"/>
          <w:sz w:val="24"/>
          <w:szCs w:val="24"/>
        </w:rPr>
      </w:pPr>
      <w:r>
        <w:rPr>
          <w:rFonts w:hint="eastAsia" w:ascii="仿宋" w:hAnsi="仿宋" w:eastAsia="仿宋" w:cs="仿宋"/>
          <w:bCs/>
          <w:color w:val="auto"/>
          <w:sz w:val="24"/>
          <w:szCs w:val="24"/>
        </w:rPr>
        <w:t>针对本项目需要供应商将产品送至采购人指定地点并安装，由此产生的安全问题需供应商自行负责。</w:t>
      </w:r>
    </w:p>
    <w:p>
      <w:pPr>
        <w:spacing w:line="360" w:lineRule="auto"/>
        <w:outlineLvl w:val="1"/>
        <w:rPr>
          <w:rFonts w:hint="eastAsia" w:ascii="仿宋" w:hAnsi="仿宋" w:eastAsia="仿宋" w:cs="仿宋"/>
          <w:color w:val="auto"/>
        </w:rPr>
      </w:pPr>
      <w:r>
        <w:rPr>
          <w:rFonts w:hint="eastAsia" w:ascii="仿宋" w:hAnsi="仿宋" w:eastAsia="仿宋" w:cs="仿宋"/>
          <w:b/>
          <w:color w:val="auto"/>
          <w:sz w:val="24"/>
          <w:szCs w:val="24"/>
        </w:rPr>
        <w:t>2、售后服务要求：</w:t>
      </w:r>
    </w:p>
    <w:p>
      <w:pPr>
        <w:adjustRightInd w:val="0"/>
        <w:snapToGrid w:val="0"/>
        <w:spacing w:line="360" w:lineRule="auto"/>
        <w:ind w:firstLine="480" w:firstLineChars="20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投标人的服务承诺应按不低于招标文件中提出的所有服务要求的标准做出响应。其基本服务要求如下：</w:t>
      </w:r>
    </w:p>
    <w:p>
      <w:pPr>
        <w:adjustRightInd w:val="0"/>
        <w:snapToGrid w:val="0"/>
        <w:spacing w:line="360" w:lineRule="auto"/>
        <w:ind w:firstLine="480" w:firstLineChars="20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1.培训：成交供应商负责为采购方操作人员提供操作维护培训，简单故障诊断与排除。</w:t>
      </w:r>
    </w:p>
    <w:p>
      <w:pPr>
        <w:adjustRightInd w:val="0"/>
        <w:snapToGrid w:val="0"/>
        <w:spacing w:line="360" w:lineRule="auto"/>
        <w:ind w:firstLine="480" w:firstLineChars="20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2.质保期内，严格按国家三包法要求完成售后服务。</w:t>
      </w:r>
    </w:p>
    <w:p>
      <w:pPr>
        <w:pStyle w:val="16"/>
        <w:numPr>
          <w:ilvl w:val="0"/>
          <w:numId w:val="2"/>
        </w:numPr>
        <w:spacing w:line="360" w:lineRule="auto"/>
        <w:ind w:firstLineChars="0"/>
        <w:rPr>
          <w:rFonts w:hint="eastAsia" w:ascii="仿宋" w:hAnsi="仿宋" w:eastAsia="仿宋" w:cs="仿宋"/>
          <w:b/>
          <w:color w:val="auto"/>
          <w:sz w:val="24"/>
          <w:szCs w:val="24"/>
        </w:rPr>
      </w:pPr>
      <w:r>
        <w:rPr>
          <w:rFonts w:hint="eastAsia" w:ascii="仿宋" w:hAnsi="仿宋" w:eastAsia="仿宋" w:cs="仿宋"/>
          <w:b/>
          <w:color w:val="auto"/>
          <w:sz w:val="24"/>
          <w:szCs w:val="24"/>
        </w:rPr>
        <w:t>质量要求（实质性要求）：</w:t>
      </w:r>
    </w:p>
    <w:p>
      <w:pPr>
        <w:adjustRightInd w:val="0"/>
        <w:snapToGrid w:val="0"/>
        <w:spacing w:line="360" w:lineRule="auto"/>
        <w:ind w:firstLine="480" w:firstLineChars="20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投标文件及投标人承诺的质量、技术和其他要求，符合国家相关的质量标准和出厂标准。</w:t>
      </w:r>
    </w:p>
    <w:p>
      <w:pPr>
        <w:adjustRightInd w:val="0"/>
        <w:snapToGrid w:val="0"/>
        <w:spacing w:line="360" w:lineRule="auto"/>
        <w:ind w:firstLine="480" w:firstLineChars="20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质保期：投标人对提供的货物提供质保期为</w:t>
      </w: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年，质保期内出现质量问题，中标供应商在接到通知后30分钟内响应</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小时</w:t>
      </w:r>
      <w:r>
        <w:rPr>
          <w:rFonts w:hint="eastAsia" w:ascii="仿宋" w:hAnsi="仿宋" w:eastAsia="仿宋" w:cs="仿宋"/>
          <w:bCs/>
          <w:color w:val="auto"/>
          <w:sz w:val="24"/>
          <w:szCs w:val="24"/>
          <w:lang w:val="en-US" w:eastAsia="zh-CN"/>
        </w:rPr>
        <w:t>内</w:t>
      </w:r>
      <w:r>
        <w:rPr>
          <w:rFonts w:hint="eastAsia" w:ascii="仿宋" w:hAnsi="仿宋" w:eastAsia="仿宋" w:cs="仿宋"/>
          <w:bCs/>
          <w:color w:val="auto"/>
          <w:sz w:val="24"/>
          <w:szCs w:val="24"/>
        </w:rPr>
        <w:t>到场，</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天内完成维修或更换，并承担修理调换的费用；如货物经成交供应商对货物同一故障2次维修仍不能达到相关技术质量标准，采购人有权退换货并追究中标供应商的相关责任。</w:t>
      </w: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（六）交货时间及地点（实质性要求）：</w:t>
      </w:r>
    </w:p>
    <w:p>
      <w:pPr>
        <w:pStyle w:val="17"/>
        <w:tabs>
          <w:tab w:val="left" w:pos="851"/>
          <w:tab w:val="clear" w:pos="700"/>
        </w:tabs>
        <w:spacing w:line="360" w:lineRule="auto"/>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1.交货（验收）时间：</w:t>
      </w:r>
      <w:r>
        <w:rPr>
          <w:rFonts w:hint="eastAsia" w:ascii="仿宋" w:hAnsi="仿宋" w:eastAsia="仿宋" w:cs="仿宋"/>
          <w:bCs/>
          <w:color w:val="auto"/>
          <w:kern w:val="2"/>
          <w:sz w:val="24"/>
          <w:szCs w:val="22"/>
        </w:rPr>
        <w:t>合同签订后，</w:t>
      </w:r>
      <w:r>
        <w:rPr>
          <w:rFonts w:hint="eastAsia" w:ascii="仿宋" w:hAnsi="仿宋" w:eastAsia="仿宋" w:cs="仿宋"/>
          <w:bCs/>
          <w:color w:val="auto"/>
          <w:kern w:val="2"/>
          <w:sz w:val="24"/>
          <w:szCs w:val="22"/>
          <w:lang w:val="en-US" w:eastAsia="zh-CN"/>
        </w:rPr>
        <w:t>1</w:t>
      </w:r>
      <w:r>
        <w:rPr>
          <w:rFonts w:hint="eastAsia" w:ascii="仿宋" w:hAnsi="仿宋" w:eastAsia="仿宋" w:cs="仿宋"/>
          <w:bCs/>
          <w:color w:val="auto"/>
          <w:kern w:val="2"/>
          <w:sz w:val="24"/>
          <w:szCs w:val="22"/>
          <w:lang w:val="en-US" w:eastAsia="zh-CN"/>
        </w:rPr>
        <w:t>5</w:t>
      </w:r>
      <w:r>
        <w:rPr>
          <w:rFonts w:hint="eastAsia" w:ascii="仿宋" w:hAnsi="仿宋" w:eastAsia="仿宋" w:cs="仿宋"/>
          <w:bCs/>
          <w:color w:val="auto"/>
          <w:kern w:val="2"/>
          <w:sz w:val="24"/>
          <w:szCs w:val="22"/>
        </w:rPr>
        <w:t>个工作日完成所有工作。</w:t>
      </w:r>
    </w:p>
    <w:p>
      <w:pPr>
        <w:spacing w:line="360" w:lineRule="auto"/>
        <w:ind w:firstLine="240" w:firstLineChars="10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2.项目实施地点：</w:t>
      </w:r>
      <w:r>
        <w:rPr>
          <w:rFonts w:hint="eastAsia" w:ascii="仿宋" w:hAnsi="仿宋" w:eastAsia="仿宋" w:cs="仿宋"/>
          <w:bCs/>
          <w:color w:val="auto"/>
          <w:sz w:val="24"/>
        </w:rPr>
        <w:t>采购人指定地点</w:t>
      </w:r>
      <w:r>
        <w:rPr>
          <w:rFonts w:hint="eastAsia" w:ascii="仿宋" w:hAnsi="仿宋" w:eastAsia="仿宋" w:cs="仿宋"/>
          <w:bCs/>
          <w:color w:val="auto"/>
          <w:sz w:val="24"/>
          <w:szCs w:val="24"/>
        </w:rPr>
        <w:t>。</w:t>
      </w: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（七）资金结算（实质性要求）：</w:t>
      </w:r>
    </w:p>
    <w:p>
      <w:pPr>
        <w:spacing w:line="360" w:lineRule="auto"/>
        <w:rPr>
          <w:rFonts w:hint="eastAsia" w:ascii="仿宋" w:hAnsi="仿宋" w:eastAsia="仿宋" w:cs="仿宋"/>
          <w:b/>
          <w:color w:val="auto"/>
          <w:sz w:val="24"/>
          <w:szCs w:val="24"/>
        </w:rPr>
      </w:pPr>
      <w:r>
        <w:rPr>
          <w:rFonts w:hint="eastAsia" w:ascii="仿宋" w:hAnsi="仿宋" w:eastAsia="仿宋" w:cs="仿宋"/>
          <w:color w:val="auto"/>
          <w:sz w:val="24"/>
          <w:szCs w:val="24"/>
        </w:rPr>
        <w:t>合同签订且成交供应商交货验收合格后凭相关验收文件由采购单位一次性支付合同金额97%，剩余3%质保金验收合格满一年后中标供应商提出申请并提交相关手续由采购单位一次性无息付清</w:t>
      </w:r>
      <w:r>
        <w:rPr>
          <w:rFonts w:hint="eastAsia" w:ascii="仿宋" w:hAnsi="仿宋" w:eastAsia="仿宋" w:cs="仿宋"/>
          <w:color w:val="auto"/>
          <w:sz w:val="24"/>
        </w:rPr>
        <w:t>。</w:t>
      </w:r>
    </w:p>
    <w:bookmarkEnd w:id="0"/>
    <w:p>
      <w:pPr>
        <w:pStyle w:val="2"/>
        <w:rPr>
          <w:rFonts w:hint="eastAsia"/>
          <w:color w:val="auto"/>
          <w:lang w:eastAsia="zh-Hans"/>
        </w:rPr>
      </w:pPr>
    </w:p>
    <w:sectPr>
      <w:footerReference r:id="rId3" w:type="default"/>
      <w:footnotePr>
        <w:pos w:val="beneathText"/>
      </w:footnotePr>
      <w:pgSz w:w="11906" w:h="16838"/>
      <w:pgMar w:top="1440" w:right="1800" w:bottom="1440" w:left="1800" w:header="72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935" distR="114935" simplePos="0" relativeHeight="251659264" behindDoc="1" locked="0" layoutInCell="1" allowOverlap="1">
              <wp:simplePos x="0" y="0"/>
              <wp:positionH relativeFrom="column">
                <wp:posOffset>2579370</wp:posOffset>
              </wp:positionH>
              <wp:positionV relativeFrom="paragraph">
                <wp:posOffset>5080</wp:posOffset>
              </wp:positionV>
              <wp:extent cx="114935" cy="1212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21285"/>
                      </a:xfrm>
                      <a:prstGeom prst="rect">
                        <a:avLst/>
                      </a:prstGeom>
                      <a:solidFill>
                        <a:srgbClr val="FFFFFF">
                          <a:alpha val="0"/>
                        </a:srgbClr>
                      </a:solidFill>
                      <a:ln>
                        <a:noFill/>
                      </a:ln>
                    </wps:spPr>
                    <wps:txbx>
                      <w:txbxContent>
                        <w:p>
                          <w:pPr>
                            <w:pStyle w:val="3"/>
                          </w:pPr>
                          <w:r>
                            <w:rPr>
                              <w:rFonts w:hint="eastAsia"/>
                            </w:rPr>
                            <w:fldChar w:fldCharType="begin"/>
                          </w:r>
                          <w:r>
                            <w:rPr>
                              <w:rFonts w:hint="eastAsia"/>
                            </w:rPr>
                            <w:instrText xml:space="preserve"> PAGE </w:instrText>
                          </w:r>
                          <w:r>
                            <w:rPr>
                              <w:rFonts w:hint="eastAsia"/>
                            </w:rPr>
                            <w:fldChar w:fldCharType="separate"/>
                          </w:r>
                          <w:r>
                            <w:rPr>
                              <w:lang/>
                            </w:rPr>
                            <w:t>20</w:t>
                          </w:r>
                          <w:r>
                            <w:rPr>
                              <w:rFonts w:hint="eastAsia"/>
                            </w:rPr>
                            <w:fldChar w:fldCharType="end"/>
                          </w:r>
                        </w:p>
                      </w:txbxContent>
                    </wps:txbx>
                    <wps:bodyPr wrap="square" lIns="1270" tIns="1270" rIns="1270" bIns="1270" upright="1"/>
                  </wps:wsp>
                </a:graphicData>
              </a:graphic>
            </wp:anchor>
          </w:drawing>
        </mc:Choice>
        <mc:Fallback>
          <w:pict>
            <v:shape id="_x0000_s1026" o:spid="_x0000_s1026" o:spt="202" type="#_x0000_t202" style="position:absolute;left:0pt;margin-left:203.1pt;margin-top:0.4pt;height:9.55pt;width:9.05pt;z-index:-251657216;mso-width-relative:page;mso-height-relative:page;" fillcolor="#FFFFFF" filled="t" stroked="f" coordsize="21600,21600" o:gfxdata="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uUE+NYAAAAH&#10;AQAADwAAAAAAAAABACAAAAAiAAAAZHJzL2Rvd25yZXYueG1sUEsBAhQAFAAAAAgAh07iQIPIU+jl&#10;AQAA0QMAAA4AAAAAAAAAAQAgAAAAJQEAAGRycy9lMm9Eb2MueG1sUEsFBgAAAAAGAAYAWQEAAHwF&#10;AAAAAA==&#10;">
              <v:fill on="t" opacity="0f" focussize="0,0"/>
              <v:stroke on="f"/>
              <v:imagedata o:title=""/>
              <o:lock v:ext="edit" aspectratio="f"/>
              <v:textbox inset="0.1pt,0.1pt,0.1pt,0.1pt">
                <w:txbxContent>
                  <w:p>
                    <w:pPr>
                      <w:pStyle w:val="3"/>
                    </w:pPr>
                    <w:r>
                      <w:rPr>
                        <w:rFonts w:hint="eastAsia"/>
                      </w:rPr>
                      <w:fldChar w:fldCharType="begin"/>
                    </w:r>
                    <w:r>
                      <w:rPr>
                        <w:rFonts w:hint="eastAsia"/>
                      </w:rPr>
                      <w:instrText xml:space="preserve"> PAGE </w:instrText>
                    </w:r>
                    <w:r>
                      <w:rPr>
                        <w:rFonts w:hint="eastAsia"/>
                      </w:rPr>
                      <w:fldChar w:fldCharType="separate"/>
                    </w:r>
                    <w:r>
                      <w:rPr>
                        <w:lang/>
                      </w:rPr>
                      <w:t>20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pStyle w:val="5"/>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1D1322B7"/>
    <w:multiLevelType w:val="multilevel"/>
    <w:tmpl w:val="1D1322B7"/>
    <w:lvl w:ilvl="0" w:tentative="0">
      <w:start w:val="5"/>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autoHyphenation/>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7C"/>
    <w:rsid w:val="000C2D6E"/>
    <w:rsid w:val="000D7191"/>
    <w:rsid w:val="005A207C"/>
    <w:rsid w:val="005B736F"/>
    <w:rsid w:val="0065638B"/>
    <w:rsid w:val="0072486C"/>
    <w:rsid w:val="00752EB0"/>
    <w:rsid w:val="00BC5F29"/>
    <w:rsid w:val="00C34A5A"/>
    <w:rsid w:val="00C53290"/>
    <w:rsid w:val="00FB4627"/>
    <w:rsid w:val="01DF5F18"/>
    <w:rsid w:val="03015435"/>
    <w:rsid w:val="05EC718E"/>
    <w:rsid w:val="08A92C2D"/>
    <w:rsid w:val="08BE469D"/>
    <w:rsid w:val="0A11130C"/>
    <w:rsid w:val="0C440A31"/>
    <w:rsid w:val="0E2C24BA"/>
    <w:rsid w:val="111176DD"/>
    <w:rsid w:val="180E5C40"/>
    <w:rsid w:val="1B906EBD"/>
    <w:rsid w:val="1BB96FA6"/>
    <w:rsid w:val="1D582327"/>
    <w:rsid w:val="1E8F753A"/>
    <w:rsid w:val="205B101F"/>
    <w:rsid w:val="20D92F76"/>
    <w:rsid w:val="21600CBF"/>
    <w:rsid w:val="2B6C5658"/>
    <w:rsid w:val="2EC11AF8"/>
    <w:rsid w:val="311F3A5D"/>
    <w:rsid w:val="31F67EAC"/>
    <w:rsid w:val="33084E4A"/>
    <w:rsid w:val="347D15AF"/>
    <w:rsid w:val="34AB522F"/>
    <w:rsid w:val="34DE36D7"/>
    <w:rsid w:val="355C6BE7"/>
    <w:rsid w:val="368A1580"/>
    <w:rsid w:val="3DBB2C1D"/>
    <w:rsid w:val="445241F9"/>
    <w:rsid w:val="47730DEF"/>
    <w:rsid w:val="47887784"/>
    <w:rsid w:val="483B69E8"/>
    <w:rsid w:val="4E602CC8"/>
    <w:rsid w:val="514F42DF"/>
    <w:rsid w:val="592414D4"/>
    <w:rsid w:val="59690D02"/>
    <w:rsid w:val="5C107CF2"/>
    <w:rsid w:val="5D2D3D5E"/>
    <w:rsid w:val="5E1A7C3A"/>
    <w:rsid w:val="5E8309C8"/>
    <w:rsid w:val="5E952377"/>
    <w:rsid w:val="6031651C"/>
    <w:rsid w:val="60842F69"/>
    <w:rsid w:val="62EE41C6"/>
    <w:rsid w:val="672101E2"/>
    <w:rsid w:val="67E95BF5"/>
    <w:rsid w:val="692230B4"/>
    <w:rsid w:val="6BCFD98F"/>
    <w:rsid w:val="6C7B2DA5"/>
    <w:rsid w:val="6CFB0F28"/>
    <w:rsid w:val="6EF42DAA"/>
    <w:rsid w:val="70520C06"/>
    <w:rsid w:val="71F567A3"/>
    <w:rsid w:val="74005F22"/>
    <w:rsid w:val="7823170A"/>
    <w:rsid w:val="7B8120AD"/>
    <w:rsid w:val="7EF958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244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72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next w:val="1"/>
    <w:uiPriority w:val="1624"/>
    <w:pPr>
      <w:snapToGrid w:val="0"/>
      <w:spacing w:line="360" w:lineRule="auto"/>
      <w:textAlignment w:val="baseline"/>
    </w:pPr>
    <w:rPr>
      <w:rFonts w:ascii="Arial" w:hAnsi="Arial" w:eastAsia="仿宋_GB2312" w:cs="Arial"/>
      <w:color w:val="000000"/>
      <w:sz w:val="31"/>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2441"/>
    <w:pPr>
      <w:numPr>
        <w:ilvl w:val="0"/>
        <w:numId w:val="1"/>
      </w:numPr>
      <w:spacing w:before="240" w:after="60" w:line="312" w:lineRule="auto"/>
      <w:jc w:val="center"/>
    </w:pPr>
    <w:rPr>
      <w:rFonts w:ascii="Arial" w:hAnsi="Arial" w:cs="Arial"/>
      <w:b/>
      <w:bCs/>
      <w:kern w:val="2"/>
      <w:sz w:val="32"/>
      <w:szCs w:val="32"/>
    </w:rPr>
  </w:style>
  <w:style w:type="table" w:styleId="7">
    <w:name w:val="Table Grid"/>
    <w:basedOn w:val="6"/>
    <w:qFormat/>
    <w:uiPriority w:val="59"/>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字符"/>
    <w:link w:val="4"/>
    <w:uiPriority w:val="0"/>
    <w:rPr>
      <w:kern w:val="2"/>
      <w:sz w:val="18"/>
      <w:szCs w:val="18"/>
    </w:rPr>
  </w:style>
  <w:style w:type="paragraph" w:styleId="10">
    <w:name w:val="List Paragraph"/>
    <w:basedOn w:val="1"/>
    <w:qFormat/>
    <w:uiPriority w:val="1723"/>
    <w:pPr>
      <w:ind w:left="0" w:right="0" w:firstLine="420"/>
    </w:pPr>
  </w:style>
  <w:style w:type="paragraph" w:customStyle="1" w:styleId="11">
    <w:name w:val="Table Paragraph"/>
    <w:basedOn w:val="1"/>
    <w:qFormat/>
    <w:uiPriority w:val="1"/>
    <w:pPr>
      <w:ind w:left="107"/>
    </w:pPr>
    <w:rPr>
      <w:rFonts w:ascii="宋体" w:hAnsi="宋体" w:cs="宋体"/>
      <w:lang w:val="zh-CN" w:bidi="zh-CN"/>
    </w:rPr>
  </w:style>
  <w:style w:type="paragraph" w:customStyle="1" w:styleId="12">
    <w:name w:val="Default"/>
    <w:uiPriority w:val="6"/>
    <w:pPr>
      <w:autoSpaceDE w:val="0"/>
    </w:pPr>
    <w:rPr>
      <w:rFonts w:ascii="微软雅黑" w:hAnsi="微软雅黑" w:eastAsia="微软雅黑" w:cs="微软雅黑"/>
      <w:color w:val="000000"/>
      <w:sz w:val="24"/>
      <w:szCs w:val="24"/>
      <w:lang w:val="en-US" w:eastAsia="zh-CN" w:bidi="ar-SA"/>
    </w:rPr>
  </w:style>
  <w:style w:type="paragraph" w:customStyle="1" w:styleId="13">
    <w:name w:val="(符号)四标题1.1"/>
    <w:basedOn w:val="1"/>
    <w:uiPriority w:val="1343"/>
    <w:pPr>
      <w:tabs>
        <w:tab w:val="left" w:pos="2424"/>
      </w:tabs>
      <w:spacing w:line="500" w:lineRule="exact"/>
    </w:pPr>
    <w:rPr>
      <w:rFonts w:cs="宋体"/>
      <w:color w:val="000000"/>
      <w:sz w:val="24"/>
    </w:rPr>
  </w:style>
  <w:style w:type="paragraph" w:customStyle="1" w:styleId="14">
    <w:name w:val="正文首行缩进两字符"/>
    <w:basedOn w:val="1"/>
    <w:uiPriority w:val="2457"/>
    <w:pPr>
      <w:spacing w:line="360" w:lineRule="auto"/>
      <w:ind w:left="0" w:right="0" w:firstLine="200"/>
    </w:pPr>
    <w:rPr>
      <w:szCs w:val="24"/>
    </w:rPr>
  </w:style>
  <w:style w:type="paragraph" w:customStyle="1" w:styleId="15">
    <w:name w:val="普通(网站)1"/>
    <w:basedOn w:val="1"/>
    <w:uiPriority w:val="2"/>
    <w:pPr>
      <w:widowControl/>
      <w:jc w:val="left"/>
    </w:pPr>
    <w:rPr>
      <w:rFonts w:ascii="宋体" w:hAnsi="宋体" w:cs="宋体"/>
      <w:kern w:val="0"/>
      <w:sz w:val="24"/>
      <w:szCs w:val="24"/>
    </w:rPr>
  </w:style>
  <w:style w:type="paragraph" w:customStyle="1" w:styleId="16">
    <w:name w:val="List Paragraph"/>
    <w:basedOn w:val="1"/>
    <w:qFormat/>
    <w:uiPriority w:val="34"/>
    <w:pPr>
      <w:ind w:firstLine="420" w:firstLineChars="200"/>
    </w:pPr>
  </w:style>
  <w:style w:type="paragraph" w:customStyle="1" w:styleId="17">
    <w:name w:val="（符号）三标题1.1"/>
    <w:basedOn w:val="1"/>
    <w:qFormat/>
    <w:uiPriority w:val="0"/>
    <w:pPr>
      <w:tabs>
        <w:tab w:val="left" w:pos="700"/>
      </w:tabs>
      <w:spacing w:line="500" w:lineRule="exact"/>
    </w:pPr>
    <w:rPr>
      <w:rFonts w:ascii="宋体" w:hAnsi="宋体" w:eastAsia="Times New Roman"/>
      <w:kern w:val="0"/>
      <w:sz w:val="34"/>
      <w:szCs w:val="20"/>
    </w:rPr>
  </w:style>
  <w:style w:type="paragraph" w:customStyle="1" w:styleId="18">
    <w:name w:val="符号列表"/>
    <w:basedOn w:val="1"/>
    <w:next w:val="16"/>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10004</Words>
  <Characters>11465</Characters>
  <Lines>95</Lines>
  <Paragraphs>26</Paragraphs>
  <TotalTime>26</TotalTime>
  <ScaleCrop>false</ScaleCrop>
  <LinksUpToDate>false</LinksUpToDate>
  <CharactersWithSpaces>11871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2021-12-28T05:11:00Z</dcterms:created>
  <dc:creator>劉燕</dc:creator>
  <cp:lastModifiedBy>金阳县采购中心</cp:lastModifiedBy>
  <cp:lastPrinted>2022-03-25T00:15:53Z</cp:lastPrinted>
  <dcterms:modified xsi:type="dcterms:W3CDTF">2022-05-19T02:50:03Z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9181FA5714D64F3CA6532DA464AB4230</vt:lpwstr>
  </property>
  <property fmtid="{D5CDD505-2E9C-101B-9397-08002B2CF9AE}" pid="3" name="KSOProductBuildVer">
    <vt:lpwstr>2052-11.1.0.11691</vt:lpwstr>
  </property>
</Properties>
</file>