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rPr>
      </w:pPr>
      <w:bookmarkStart w:id="0" w:name="_Toc217446095"/>
      <w:r>
        <w:rPr>
          <w:rFonts w:hint="eastAsia" w:ascii="方正小标宋简体" w:hAnsi="方正小标宋简体" w:eastAsia="方正小标宋简体" w:cs="方正小标宋简体"/>
          <w:sz w:val="30"/>
          <w:szCs w:val="30"/>
        </w:rPr>
        <w:t>隆昌市人民政府办公室隆昌市电子政务外网终端安全管理系统</w:t>
      </w:r>
    </w:p>
    <w:p>
      <w:pPr>
        <w:jc w:val="center"/>
        <w:rPr>
          <w:rFonts w:hint="eastAsia" w:ascii="方正小标宋简体" w:hAnsi="方正小标宋简体" w:eastAsia="方正小标宋简体" w:cs="方正小标宋简体"/>
          <w:sz w:val="30"/>
          <w:szCs w:val="30"/>
        </w:rPr>
      </w:pPr>
      <w:bookmarkStart w:id="1" w:name="_GoBack"/>
      <w:bookmarkEnd w:id="1"/>
      <w:r>
        <w:rPr>
          <w:rFonts w:hint="eastAsia" w:ascii="方正小标宋简体" w:hAnsi="方正小标宋简体" w:eastAsia="方正小标宋简体" w:cs="方正小标宋简体"/>
          <w:sz w:val="30"/>
          <w:szCs w:val="30"/>
        </w:rPr>
        <w:t>主要标的信息</w:t>
      </w:r>
    </w:p>
    <w:p>
      <w:pPr>
        <w:pStyle w:val="2"/>
        <w:rPr>
          <w:rFonts w:hint="eastAsia"/>
        </w:rPr>
      </w:pPr>
    </w:p>
    <w:p>
      <w:pPr>
        <w:spacing w:line="500" w:lineRule="exact"/>
        <w:ind w:right="82" w:rightChars="24" w:firstLine="453" w:firstLineChars="188"/>
        <w:jc w:val="left"/>
        <w:rPr>
          <w:b/>
          <w:bCs/>
          <w:sz w:val="24"/>
          <w:szCs w:val="24"/>
        </w:rPr>
      </w:pPr>
      <w:r>
        <w:rPr>
          <w:rFonts w:hint="eastAsia" w:hAnsi="宋体" w:cs="宋体"/>
          <w:b/>
          <w:bCs/>
          <w:sz w:val="24"/>
          <w:szCs w:val="24"/>
        </w:rPr>
        <w:t>一、采购项目基本情况介绍</w:t>
      </w:r>
    </w:p>
    <w:p>
      <w:pPr>
        <w:pStyle w:val="4"/>
        <w:spacing w:line="360" w:lineRule="auto"/>
        <w:ind w:left="482" w:firstLine="420"/>
        <w:contextualSpacing/>
        <w:rPr>
          <w:rFonts w:hint="eastAsia" w:cs="宋体"/>
          <w:sz w:val="24"/>
          <w:szCs w:val="24"/>
        </w:rPr>
      </w:pPr>
      <w:r>
        <w:rPr>
          <w:rFonts w:hint="eastAsia" w:cs="宋体"/>
          <w:sz w:val="24"/>
          <w:szCs w:val="24"/>
        </w:rPr>
        <w:t>习近平主席提出“没有网络安全就没有国家安全，没有信息化就没有现代化”、“建设网络强国的战略部署要与‘两个一百年’奋斗目标同步推进”等重要论断，指出网络安全和信息化是一体之两翼、驱动之双轮，必须统一谋划、统一部署、统一推进、统一实施。</w:t>
      </w:r>
    </w:p>
    <w:p>
      <w:pPr>
        <w:pStyle w:val="4"/>
        <w:spacing w:line="360" w:lineRule="auto"/>
        <w:ind w:left="482" w:firstLine="420"/>
        <w:contextualSpacing/>
        <w:rPr>
          <w:rFonts w:hint="eastAsia" w:cs="宋体"/>
          <w:sz w:val="24"/>
          <w:szCs w:val="24"/>
        </w:rPr>
      </w:pPr>
      <w:r>
        <w:rPr>
          <w:rFonts w:hint="eastAsia" w:cs="宋体"/>
          <w:sz w:val="24"/>
          <w:szCs w:val="24"/>
        </w:rPr>
        <w:t>随着移动互联网技术的发展，政府单位办公已经不再局限于纸质文件，专机专用。政府日渐把许多业务转移到了办公终端进行，办公终端在政府扮演着越来越重要的角色。</w:t>
      </w:r>
    </w:p>
    <w:p>
      <w:pPr>
        <w:pStyle w:val="4"/>
        <w:spacing w:line="360" w:lineRule="auto"/>
        <w:ind w:left="482" w:firstLine="420"/>
        <w:contextualSpacing/>
        <w:rPr>
          <w:rFonts w:hint="eastAsia" w:cs="宋体"/>
          <w:sz w:val="24"/>
          <w:szCs w:val="24"/>
        </w:rPr>
      </w:pPr>
      <w:r>
        <w:rPr>
          <w:rFonts w:hint="eastAsia" w:cs="宋体"/>
          <w:sz w:val="24"/>
          <w:szCs w:val="24"/>
        </w:rPr>
        <w:t>隆昌市电子政务外网自建成以来，因终端位置分散、数量庞大；一直无法掌握全市接入终端的情况，缺少有效手段对终端的杀毒、补丁管理、主机防火墙、终端管控、移动存储管理、停服系统加固等进行管控，导致电子政务外网数据安全无法保障。为有效解决上诉问题，现需对全市1800点电子外网接入终端进行统一管理。采购清单如下：</w:t>
      </w:r>
    </w:p>
    <w:tbl>
      <w:tblPr>
        <w:tblStyle w:val="5"/>
        <w:tblW w:w="7528" w:type="dxa"/>
        <w:jc w:val="center"/>
        <w:tblLayout w:type="fixed"/>
        <w:tblCellMar>
          <w:top w:w="0" w:type="dxa"/>
          <w:left w:w="108" w:type="dxa"/>
          <w:bottom w:w="0" w:type="dxa"/>
          <w:right w:w="108" w:type="dxa"/>
        </w:tblCellMar>
      </w:tblPr>
      <w:tblGrid>
        <w:gridCol w:w="724"/>
        <w:gridCol w:w="4699"/>
        <w:gridCol w:w="2105"/>
      </w:tblGrid>
      <w:tr>
        <w:tblPrEx>
          <w:tblCellMar>
            <w:top w:w="0" w:type="dxa"/>
            <w:left w:w="108" w:type="dxa"/>
            <w:bottom w:w="0" w:type="dxa"/>
            <w:right w:w="108" w:type="dxa"/>
          </w:tblCellMar>
        </w:tblPrEx>
        <w:trPr>
          <w:trHeight w:val="27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序号</w:t>
            </w:r>
          </w:p>
        </w:tc>
        <w:tc>
          <w:tcPr>
            <w:tcW w:w="4699" w:type="dxa"/>
            <w:tcBorders>
              <w:top w:val="single" w:color="auto" w:sz="4" w:space="0"/>
              <w:left w:val="nil"/>
              <w:bottom w:val="single" w:color="auto" w:sz="4" w:space="0"/>
              <w:right w:val="single" w:color="auto" w:sz="4" w:space="0"/>
            </w:tcBorders>
            <w:noWrap w:val="0"/>
            <w:vAlign w:val="center"/>
          </w:tcPr>
          <w:p>
            <w:pPr>
              <w:widowControl/>
              <w:ind w:firstLine="600" w:firstLineChars="250"/>
              <w:jc w:val="left"/>
              <w:rPr>
                <w:rFonts w:hAnsi="宋体" w:cs="宋体"/>
                <w:sz w:val="24"/>
                <w:szCs w:val="24"/>
              </w:rPr>
            </w:pPr>
            <w:r>
              <w:rPr>
                <w:rFonts w:hint="eastAsia" w:hAnsi="宋体" w:cs="宋体"/>
                <w:sz w:val="24"/>
                <w:szCs w:val="24"/>
              </w:rPr>
              <w:t>信息系统名称</w:t>
            </w:r>
          </w:p>
        </w:tc>
        <w:tc>
          <w:tcPr>
            <w:tcW w:w="2105" w:type="dxa"/>
            <w:tcBorders>
              <w:top w:val="single" w:color="auto" w:sz="4" w:space="0"/>
              <w:left w:val="nil"/>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数量</w:t>
            </w:r>
          </w:p>
        </w:tc>
      </w:tr>
      <w:tr>
        <w:tblPrEx>
          <w:tblCellMar>
            <w:top w:w="0" w:type="dxa"/>
            <w:left w:w="108" w:type="dxa"/>
            <w:bottom w:w="0" w:type="dxa"/>
            <w:right w:w="108" w:type="dxa"/>
          </w:tblCellMar>
        </w:tblPrEx>
        <w:trPr>
          <w:trHeight w:val="9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1</w:t>
            </w:r>
          </w:p>
        </w:tc>
        <w:tc>
          <w:tcPr>
            <w:tcW w:w="46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宋体" w:cs="宋体"/>
                <w:sz w:val="24"/>
                <w:szCs w:val="24"/>
              </w:rPr>
            </w:pPr>
            <w:r>
              <w:rPr>
                <w:rFonts w:hint="eastAsia" w:hAnsi="宋体" w:cs="宋体"/>
                <w:color w:val="333333"/>
                <w:sz w:val="24"/>
                <w:szCs w:val="24"/>
                <w:shd w:val="clear" w:color="auto" w:fill="FFFFFF"/>
              </w:rPr>
              <w:t>隆昌市电子政务外网终端安全管理系统</w:t>
            </w:r>
          </w:p>
        </w:tc>
        <w:tc>
          <w:tcPr>
            <w:tcW w:w="2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s="宋体"/>
                <w:sz w:val="24"/>
                <w:szCs w:val="24"/>
              </w:rPr>
            </w:pPr>
            <w:r>
              <w:rPr>
                <w:rFonts w:hint="eastAsia" w:hAnsi="宋体" w:cs="宋体"/>
                <w:sz w:val="24"/>
                <w:szCs w:val="24"/>
              </w:rPr>
              <w:t>1</w:t>
            </w:r>
            <w:r>
              <w:rPr>
                <w:rFonts w:hAnsi="宋体" w:cs="宋体"/>
                <w:sz w:val="24"/>
                <w:szCs w:val="24"/>
              </w:rPr>
              <w:t>800</w:t>
            </w:r>
          </w:p>
        </w:tc>
      </w:tr>
    </w:tbl>
    <w:p>
      <w:pPr>
        <w:spacing w:line="500" w:lineRule="exact"/>
        <w:ind w:right="82" w:rightChars="24"/>
        <w:jc w:val="left"/>
        <w:rPr>
          <w:rFonts w:hint="eastAsia" w:hAnsi="宋体" w:cs="宋体"/>
          <w:b/>
          <w:bCs/>
          <w:sz w:val="24"/>
          <w:szCs w:val="24"/>
        </w:rPr>
      </w:pPr>
      <w:r>
        <w:rPr>
          <w:rFonts w:hint="eastAsia" w:hAnsi="宋体" w:cs="宋体"/>
          <w:b/>
          <w:bCs/>
          <w:sz w:val="24"/>
          <w:szCs w:val="24"/>
        </w:rPr>
        <w:t>二、采购项目技术参数要求</w:t>
      </w:r>
    </w:p>
    <w:bookmarkEnd w:id="0"/>
    <w:p>
      <w:pPr>
        <w:pStyle w:val="3"/>
        <w:widowControl/>
        <w:spacing w:beforeAutospacing="0" w:afterAutospacing="0" w:line="30" w:lineRule="atLeast"/>
        <w:ind w:firstLine="420"/>
        <w:jc w:val="both"/>
        <w:rPr>
          <w:rFonts w:hint="default" w:cs="宋体"/>
          <w:b w:val="0"/>
          <w:bCs w:val="0"/>
          <w:sz w:val="24"/>
          <w:szCs w:val="24"/>
        </w:rPr>
      </w:pPr>
      <w:r>
        <w:rPr>
          <w:rFonts w:cs="宋体"/>
          <w:b w:val="0"/>
          <w:bCs w:val="0"/>
          <w:sz w:val="24"/>
          <w:szCs w:val="24"/>
        </w:rPr>
        <w:t>（一）分包名称：隆昌市电子政务外网终端安全管理系统</w:t>
      </w:r>
    </w:p>
    <w:p>
      <w:pPr>
        <w:pStyle w:val="4"/>
        <w:spacing w:beforeAutospacing="0" w:afterAutospacing="0" w:line="38" w:lineRule="atLeast"/>
        <w:ind w:firstLine="420"/>
        <w:jc w:val="both"/>
        <w:rPr>
          <w:rFonts w:hint="eastAsia" w:cs="宋体"/>
          <w:sz w:val="24"/>
          <w:szCs w:val="24"/>
        </w:rPr>
      </w:pPr>
      <w:r>
        <w:rPr>
          <w:rFonts w:hint="eastAsia" w:cs="宋体"/>
          <w:sz w:val="24"/>
          <w:szCs w:val="24"/>
        </w:rPr>
        <w:t>1、预算金额（元）：</w:t>
      </w:r>
      <w:r>
        <w:rPr>
          <w:rFonts w:cs="宋体"/>
          <w:sz w:val="24"/>
          <w:szCs w:val="24"/>
          <w:lang w:val="en"/>
        </w:rPr>
        <w:t>696</w:t>
      </w:r>
      <w:r>
        <w:rPr>
          <w:rFonts w:hint="eastAsia" w:cs="宋体"/>
          <w:sz w:val="24"/>
          <w:szCs w:val="24"/>
        </w:rPr>
        <w:t>,</w:t>
      </w:r>
      <w:r>
        <w:rPr>
          <w:rFonts w:cs="宋体"/>
          <w:sz w:val="24"/>
          <w:szCs w:val="24"/>
          <w:lang w:val="en"/>
        </w:rPr>
        <w:t>2</w:t>
      </w:r>
      <w:r>
        <w:rPr>
          <w:rFonts w:hint="eastAsia" w:cs="宋体"/>
          <w:sz w:val="24"/>
          <w:szCs w:val="24"/>
        </w:rPr>
        <w:t>00.00元 ，大写（人民币）：陆拾玖万陆仟贰百元整</w:t>
      </w:r>
    </w:p>
    <w:p>
      <w:pPr>
        <w:pStyle w:val="4"/>
        <w:spacing w:beforeAutospacing="0" w:afterAutospacing="0" w:line="38" w:lineRule="atLeast"/>
        <w:ind w:firstLine="780"/>
        <w:jc w:val="both"/>
        <w:rPr>
          <w:rFonts w:hint="eastAsia" w:cs="宋体"/>
          <w:sz w:val="24"/>
          <w:szCs w:val="24"/>
        </w:rPr>
      </w:pPr>
      <w:r>
        <w:rPr>
          <w:rFonts w:hint="eastAsia" w:cs="宋体"/>
          <w:sz w:val="24"/>
          <w:szCs w:val="24"/>
        </w:rPr>
        <w:t>最高限价（元）：</w:t>
      </w:r>
      <w:r>
        <w:rPr>
          <w:rFonts w:cs="宋体"/>
          <w:sz w:val="24"/>
          <w:szCs w:val="24"/>
          <w:lang w:val="en"/>
        </w:rPr>
        <w:t>696</w:t>
      </w:r>
      <w:r>
        <w:rPr>
          <w:rFonts w:hint="eastAsia" w:cs="宋体"/>
          <w:sz w:val="24"/>
          <w:szCs w:val="24"/>
        </w:rPr>
        <w:t>,</w:t>
      </w:r>
      <w:r>
        <w:rPr>
          <w:rFonts w:cs="宋体"/>
          <w:sz w:val="24"/>
          <w:szCs w:val="24"/>
          <w:lang w:val="en"/>
        </w:rPr>
        <w:t>2</w:t>
      </w:r>
      <w:r>
        <w:rPr>
          <w:rFonts w:hint="eastAsia" w:cs="宋体"/>
          <w:sz w:val="24"/>
          <w:szCs w:val="24"/>
        </w:rPr>
        <w:t>00.00元 ，大写（人民币）：陆拾玖万陆仟贰百元整</w:t>
      </w:r>
    </w:p>
    <w:p>
      <w:pPr>
        <w:pStyle w:val="4"/>
        <w:spacing w:beforeAutospacing="0" w:afterAutospacing="0" w:line="38" w:lineRule="atLeast"/>
        <w:ind w:firstLine="420"/>
        <w:jc w:val="both"/>
        <w:rPr>
          <w:rFonts w:hint="eastAsia" w:cs="宋体"/>
          <w:sz w:val="24"/>
          <w:szCs w:val="24"/>
        </w:rPr>
      </w:pPr>
      <w:r>
        <w:rPr>
          <w:rFonts w:hint="eastAsia" w:cs="宋体"/>
          <w:sz w:val="24"/>
          <w:szCs w:val="24"/>
        </w:rPr>
        <w:t>2、评审方法：综合评分法</w:t>
      </w:r>
    </w:p>
    <w:p>
      <w:pPr>
        <w:pStyle w:val="4"/>
        <w:spacing w:beforeAutospacing="0" w:afterAutospacing="0" w:line="38" w:lineRule="atLeast"/>
        <w:ind w:firstLine="420"/>
        <w:jc w:val="both"/>
        <w:rPr>
          <w:rFonts w:hint="eastAsia" w:cs="宋体"/>
          <w:sz w:val="24"/>
          <w:szCs w:val="24"/>
        </w:rPr>
      </w:pPr>
      <w:r>
        <w:rPr>
          <w:rFonts w:hint="eastAsia" w:cs="宋体"/>
          <w:sz w:val="24"/>
          <w:szCs w:val="24"/>
        </w:rPr>
        <w:t>3、定价方式：采用综合评分法排名第一的投标价格</w:t>
      </w:r>
    </w:p>
    <w:p>
      <w:pPr>
        <w:pStyle w:val="4"/>
        <w:spacing w:beforeAutospacing="0" w:afterAutospacing="0" w:line="38" w:lineRule="atLeast"/>
        <w:ind w:firstLine="420"/>
        <w:jc w:val="both"/>
        <w:rPr>
          <w:rFonts w:hint="eastAsia" w:cs="宋体"/>
          <w:sz w:val="24"/>
          <w:szCs w:val="24"/>
        </w:rPr>
      </w:pPr>
      <w:r>
        <w:rPr>
          <w:rFonts w:hint="eastAsia" w:cs="宋体"/>
          <w:sz w:val="24"/>
          <w:szCs w:val="24"/>
        </w:rPr>
        <w:t>4、拟采购标的的技术要求</w:t>
      </w:r>
    </w:p>
    <w:tbl>
      <w:tblPr>
        <w:tblStyle w:val="5"/>
        <w:tblW w:w="5000" w:type="pct"/>
        <w:tblInd w:w="0" w:type="dxa"/>
        <w:shd w:val="clear" w:color="auto" w:fill="FFFF00"/>
        <w:tblLayout w:type="autofit"/>
        <w:tblCellMar>
          <w:top w:w="0" w:type="dxa"/>
          <w:left w:w="0" w:type="dxa"/>
          <w:bottom w:w="0" w:type="dxa"/>
          <w:right w:w="0" w:type="dxa"/>
        </w:tblCellMar>
      </w:tblPr>
      <w:tblGrid>
        <w:gridCol w:w="780"/>
        <w:gridCol w:w="1710"/>
        <w:gridCol w:w="2173"/>
        <w:gridCol w:w="1710"/>
        <w:gridCol w:w="2173"/>
      </w:tblGrid>
      <w:tr>
        <w:tblPrEx>
          <w:shd w:val="clear" w:color="auto" w:fill="FFFF00"/>
          <w:tblCellMar>
            <w:top w:w="0" w:type="dxa"/>
            <w:left w:w="0" w:type="dxa"/>
            <w:bottom w:w="0" w:type="dxa"/>
            <w:right w:w="0" w:type="dxa"/>
          </w:tblCellMar>
        </w:tblPrEx>
        <w:trPr>
          <w:trHeight w:val="480" w:hRule="atLeast"/>
        </w:trPr>
        <w:tc>
          <w:tcPr>
            <w:tcW w:w="456" w:type="pct"/>
            <w:vMerge w:val="restar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Ansi="宋体" w:cs="宋体"/>
                <w:color w:val="0A82E5"/>
                <w:sz w:val="21"/>
                <w:szCs w:val="21"/>
                <w:lang w:bidi="ar"/>
              </w:rPr>
              <w:t>1</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采购品目</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int="eastAsia" w:hAnsi="宋体" w:cs="宋体"/>
                <w:color w:val="333333"/>
                <w:sz w:val="21"/>
                <w:szCs w:val="21"/>
                <w:shd w:val="clear" w:color="auto" w:fill="FFFFFF"/>
              </w:rPr>
              <w:t>隆昌市电子政务外网终端安全管理系统</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标的名称</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int="eastAsia" w:hAnsi="宋体" w:cs="宋体"/>
                <w:color w:val="333333"/>
                <w:sz w:val="21"/>
                <w:szCs w:val="21"/>
                <w:shd w:val="clear" w:color="auto" w:fill="FFFFFF"/>
              </w:rPr>
              <w:t>隆昌市电子政务外网终端安全管理系统</w:t>
            </w:r>
          </w:p>
        </w:tc>
      </w:tr>
      <w:tr>
        <w:tblPrEx>
          <w:tblCellMar>
            <w:top w:w="0" w:type="dxa"/>
            <w:left w:w="0" w:type="dxa"/>
            <w:bottom w:w="0" w:type="dxa"/>
            <w:right w:w="0" w:type="dxa"/>
          </w:tblCellMar>
        </w:tblPrEx>
        <w:trPr>
          <w:trHeight w:val="480" w:hRule="atLeast"/>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color w:val="0A82E5"/>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数量</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color w:val="0A82E5"/>
                <w:sz w:val="21"/>
                <w:szCs w:val="21"/>
              </w:rPr>
            </w:pPr>
            <w:r>
              <w:rPr>
                <w:rFonts w:hAnsi="宋体" w:cs="宋体"/>
                <w:color w:val="0A82E5"/>
                <w:sz w:val="21"/>
                <w:szCs w:val="21"/>
                <w:lang w:bidi="ar"/>
              </w:rPr>
              <w:t>1.00</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单位</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Ansi="宋体" w:cs="宋体"/>
                <w:color w:val="0A82E5"/>
                <w:sz w:val="21"/>
                <w:szCs w:val="21"/>
                <w:lang w:bidi="ar"/>
              </w:rPr>
              <w:t>项</w:t>
            </w:r>
          </w:p>
        </w:tc>
      </w:tr>
      <w:tr>
        <w:tblPrEx>
          <w:tblCellMar>
            <w:top w:w="0" w:type="dxa"/>
            <w:left w:w="0" w:type="dxa"/>
            <w:bottom w:w="0" w:type="dxa"/>
            <w:right w:w="0" w:type="dxa"/>
          </w:tblCellMar>
        </w:tblPrEx>
        <w:trPr>
          <w:trHeight w:val="480" w:hRule="atLeast"/>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color w:val="0A82E5"/>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highlight w:val="red"/>
              </w:rPr>
            </w:pPr>
            <w:r>
              <w:rPr>
                <w:rFonts w:hAnsi="宋体" w:cs="宋体"/>
                <w:b/>
                <w:bCs/>
                <w:color w:val="000000"/>
                <w:sz w:val="21"/>
                <w:szCs w:val="21"/>
                <w:highlight w:val="yellow"/>
                <w:lang w:bidi="ar"/>
              </w:rPr>
              <w:t>合计金额（元）</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color w:val="0A82E5"/>
                <w:sz w:val="21"/>
                <w:szCs w:val="21"/>
                <w:highlight w:val="yellow"/>
              </w:rPr>
            </w:pPr>
            <w:r>
              <w:rPr>
                <w:rFonts w:hAnsi="宋体" w:cs="宋体"/>
                <w:color w:val="333333"/>
                <w:sz w:val="21"/>
                <w:szCs w:val="21"/>
                <w:highlight w:val="yellow"/>
                <w:shd w:val="clear" w:color="auto" w:fill="FFFFFF"/>
                <w:lang w:val="en"/>
              </w:rPr>
              <w:t>696</w:t>
            </w:r>
            <w:r>
              <w:rPr>
                <w:rFonts w:hint="eastAsia" w:hAnsi="宋体" w:cs="宋体"/>
                <w:color w:val="333333"/>
                <w:sz w:val="21"/>
                <w:szCs w:val="21"/>
                <w:highlight w:val="yellow"/>
                <w:shd w:val="clear" w:color="auto" w:fill="FFFFFF"/>
              </w:rPr>
              <w:t>,</w:t>
            </w:r>
            <w:r>
              <w:rPr>
                <w:rFonts w:hAnsi="宋体" w:cs="宋体"/>
                <w:color w:val="333333"/>
                <w:sz w:val="21"/>
                <w:szCs w:val="21"/>
                <w:highlight w:val="yellow"/>
                <w:shd w:val="clear" w:color="auto" w:fill="FFFFFF"/>
                <w:lang w:val="en"/>
              </w:rPr>
              <w:t>2</w:t>
            </w:r>
            <w:r>
              <w:rPr>
                <w:rFonts w:hint="eastAsia" w:hAnsi="宋体" w:cs="宋体"/>
                <w:color w:val="333333"/>
                <w:sz w:val="21"/>
                <w:szCs w:val="21"/>
                <w:highlight w:val="yellow"/>
                <w:shd w:val="clear" w:color="auto" w:fill="FFFFFF"/>
              </w:rPr>
              <w:t>00.00</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highlight w:val="yellow"/>
              </w:rPr>
            </w:pPr>
            <w:r>
              <w:rPr>
                <w:rFonts w:hAnsi="宋体" w:cs="宋体"/>
                <w:b/>
                <w:bCs/>
                <w:color w:val="000000"/>
                <w:sz w:val="21"/>
                <w:szCs w:val="21"/>
                <w:highlight w:val="yellow"/>
                <w:lang w:bidi="ar"/>
              </w:rPr>
              <w:t>单价（元）</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right"/>
              <w:rPr>
                <w:color w:val="0A82E5"/>
                <w:sz w:val="21"/>
                <w:szCs w:val="21"/>
                <w:highlight w:val="yellow"/>
              </w:rPr>
            </w:pPr>
            <w:r>
              <w:rPr>
                <w:rFonts w:hAnsi="宋体" w:cs="宋体"/>
                <w:color w:val="333333"/>
                <w:sz w:val="21"/>
                <w:szCs w:val="21"/>
                <w:highlight w:val="yellow"/>
                <w:shd w:val="clear" w:color="auto" w:fill="FFFFFF"/>
                <w:lang w:val="en"/>
              </w:rPr>
              <w:t>696</w:t>
            </w:r>
            <w:r>
              <w:rPr>
                <w:rFonts w:hint="eastAsia" w:hAnsi="宋体" w:cs="宋体"/>
                <w:color w:val="333333"/>
                <w:sz w:val="21"/>
                <w:szCs w:val="21"/>
                <w:highlight w:val="yellow"/>
                <w:shd w:val="clear" w:color="auto" w:fill="FFFFFF"/>
              </w:rPr>
              <w:t>,</w:t>
            </w:r>
            <w:r>
              <w:rPr>
                <w:rFonts w:hAnsi="宋体" w:cs="宋体"/>
                <w:color w:val="333333"/>
                <w:sz w:val="21"/>
                <w:szCs w:val="21"/>
                <w:highlight w:val="yellow"/>
                <w:shd w:val="clear" w:color="auto" w:fill="FFFFFF"/>
                <w:lang w:val="en"/>
              </w:rPr>
              <w:t>2</w:t>
            </w:r>
            <w:r>
              <w:rPr>
                <w:rFonts w:hint="eastAsia" w:hAnsi="宋体" w:cs="宋体"/>
                <w:color w:val="333333"/>
                <w:sz w:val="21"/>
                <w:szCs w:val="21"/>
                <w:highlight w:val="yellow"/>
                <w:shd w:val="clear" w:color="auto" w:fill="FFFFFF"/>
              </w:rPr>
              <w:t>00.00</w:t>
            </w:r>
          </w:p>
        </w:tc>
      </w:tr>
      <w:tr>
        <w:tblPrEx>
          <w:tblCellMar>
            <w:top w:w="0" w:type="dxa"/>
            <w:left w:w="0" w:type="dxa"/>
            <w:bottom w:w="0" w:type="dxa"/>
            <w:right w:w="0" w:type="dxa"/>
          </w:tblCellMar>
        </w:tblPrEx>
        <w:trPr>
          <w:trHeight w:val="480" w:hRule="atLeast"/>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color w:val="0A82E5"/>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是否采购节能产品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int="eastAsia"/>
                <w:color w:val="0A82E5"/>
                <w:sz w:val="21"/>
                <w:szCs w:val="21"/>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未采购节能产品原因</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Ansi="宋体" w:cs="宋体"/>
                <w:color w:val="0A82E5"/>
                <w:sz w:val="21"/>
                <w:szCs w:val="21"/>
                <w:lang w:bidi="ar"/>
              </w:rPr>
              <w:t>无</w:t>
            </w:r>
          </w:p>
        </w:tc>
      </w:tr>
      <w:tr>
        <w:tblPrEx>
          <w:tblCellMar>
            <w:top w:w="0" w:type="dxa"/>
            <w:left w:w="0" w:type="dxa"/>
            <w:bottom w:w="0" w:type="dxa"/>
            <w:right w:w="0" w:type="dxa"/>
          </w:tblCellMar>
        </w:tblPrEx>
        <w:trPr>
          <w:trHeight w:val="480" w:hRule="atLeast"/>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color w:val="0A82E5"/>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是否采购环保产品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int="eastAsia"/>
                <w:color w:val="0A82E5"/>
                <w:sz w:val="21"/>
                <w:szCs w:val="21"/>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未采购环保产品原因</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Ansi="宋体" w:cs="宋体"/>
                <w:color w:val="0A82E5"/>
                <w:sz w:val="21"/>
                <w:szCs w:val="21"/>
                <w:lang w:bidi="ar"/>
              </w:rPr>
              <w:t>无</w:t>
            </w:r>
          </w:p>
        </w:tc>
      </w:tr>
      <w:tr>
        <w:tblPrEx>
          <w:tblCellMar>
            <w:top w:w="0" w:type="dxa"/>
            <w:left w:w="0" w:type="dxa"/>
            <w:bottom w:w="0" w:type="dxa"/>
            <w:right w:w="0" w:type="dxa"/>
          </w:tblCellMar>
        </w:tblPrEx>
        <w:trPr>
          <w:trHeight w:val="480" w:hRule="atLeast"/>
        </w:trPr>
        <w:tc>
          <w:tcPr>
            <w:tcW w:w="456" w:type="pct"/>
            <w:vMerge w:val="continue"/>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jc w:val="left"/>
              <w:rPr>
                <w:color w:val="0A82E5"/>
                <w:sz w:val="21"/>
                <w:szCs w:val="21"/>
              </w:rPr>
            </w:pP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是否采购进口产品</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Ansi="宋体" w:cs="宋体"/>
                <w:color w:val="0A82E5"/>
                <w:sz w:val="21"/>
                <w:szCs w:val="21"/>
                <w:lang w:bidi="ar"/>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center"/>
              <w:rPr>
                <w:b/>
                <w:bCs/>
                <w:color w:val="000000"/>
                <w:sz w:val="21"/>
                <w:szCs w:val="21"/>
              </w:rPr>
            </w:pPr>
            <w:r>
              <w:rPr>
                <w:rFonts w:hAnsi="宋体" w:cs="宋体"/>
                <w:b/>
                <w:bCs/>
                <w:color w:val="000000"/>
                <w:sz w:val="21"/>
                <w:szCs w:val="21"/>
                <w:lang w:bidi="ar"/>
              </w:rPr>
              <w:t>标的物所属行业</w:t>
            </w:r>
          </w:p>
        </w:tc>
        <w:tc>
          <w:tcPr>
            <w:tcW w:w="1271" w:type="pct"/>
            <w:tcBorders>
              <w:top w:val="single" w:color="333333" w:sz="6" w:space="0"/>
              <w:left w:val="single" w:color="333333" w:sz="6" w:space="0"/>
              <w:bottom w:val="single" w:color="333333" w:sz="6" w:space="0"/>
              <w:right w:val="single" w:color="333333" w:sz="6" w:space="0"/>
            </w:tcBorders>
            <w:shd w:val="clear" w:color="auto" w:fill="FFFF00"/>
            <w:noWrap w:val="0"/>
            <w:tcMar>
              <w:top w:w="75" w:type="dxa"/>
              <w:left w:w="120" w:type="dxa"/>
              <w:bottom w:w="75" w:type="dxa"/>
              <w:right w:w="120" w:type="dxa"/>
            </w:tcMar>
            <w:vAlign w:val="center"/>
          </w:tcPr>
          <w:p>
            <w:pPr>
              <w:widowControl/>
              <w:wordWrap w:val="0"/>
              <w:spacing w:line="360" w:lineRule="atLeast"/>
              <w:jc w:val="left"/>
              <w:rPr>
                <w:color w:val="0A82E5"/>
                <w:sz w:val="21"/>
                <w:szCs w:val="21"/>
              </w:rPr>
            </w:pPr>
            <w:r>
              <w:rPr>
                <w:rFonts w:hint="eastAsia" w:hAnsi="宋体" w:cs="宋体"/>
                <w:color w:val="0A82E5"/>
                <w:sz w:val="21"/>
                <w:szCs w:val="21"/>
              </w:rPr>
              <w:t>软件和信息技术服务业</w:t>
            </w:r>
          </w:p>
        </w:tc>
      </w:tr>
    </w:tbl>
    <w:p>
      <w:pPr>
        <w:spacing w:line="500" w:lineRule="exact"/>
        <w:ind w:firstLine="480" w:firstLineChars="200"/>
        <w:rPr>
          <w:rFonts w:hint="eastAsia" w:hAnsi="宋体" w:cs="宋体"/>
          <w:color w:val="333333"/>
          <w:sz w:val="24"/>
          <w:szCs w:val="24"/>
          <w:shd w:val="clear" w:color="auto" w:fill="FFFFFF"/>
        </w:rPr>
      </w:pPr>
      <w:r>
        <w:rPr>
          <w:rFonts w:hint="eastAsia" w:hAnsi="宋体" w:cs="宋体"/>
          <w:color w:val="0A82E5"/>
          <w:sz w:val="24"/>
          <w:szCs w:val="24"/>
          <w:shd w:val="clear" w:color="auto" w:fill="FFFF00"/>
        </w:rPr>
        <w:t>标的名称：</w:t>
      </w:r>
      <w:r>
        <w:rPr>
          <w:rFonts w:hint="eastAsia" w:hAnsi="宋体" w:cs="宋体"/>
          <w:color w:val="333333"/>
          <w:sz w:val="24"/>
          <w:szCs w:val="24"/>
          <w:shd w:val="clear" w:color="auto" w:fill="FFFFFF"/>
        </w:rPr>
        <w:t>隆昌市电子政务外网终端安全管理系统</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23"/>
        <w:gridCol w:w="886"/>
        <w:gridCol w:w="63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rPr>
            </w:pPr>
            <w:r>
              <w:rPr>
                <w:rFonts w:hint="eastAsia" w:hAnsi="宋体" w:cs="宋体"/>
                <w:b/>
                <w:bCs/>
                <w:sz w:val="21"/>
                <w:szCs w:val="21"/>
                <w:lang w:bidi="ar"/>
              </w:rPr>
              <w:t>参数性质</w:t>
            </w: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rPr>
            </w:pPr>
            <w:r>
              <w:rPr>
                <w:rFonts w:hint="eastAsia" w:hAnsi="宋体" w:cs="宋体"/>
                <w:b/>
                <w:bCs/>
                <w:sz w:val="21"/>
                <w:szCs w:val="21"/>
                <w:lang w:bidi="ar"/>
              </w:rPr>
              <w:t>序号</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rPr>
            </w:pPr>
            <w:r>
              <w:rPr>
                <w:rFonts w:hint="eastAsia" w:hAnsi="宋体" w:cs="宋体"/>
                <w:b/>
                <w:bCs/>
                <w:sz w:val="21"/>
                <w:szCs w:val="21"/>
                <w:lang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配置1800点位Windows终端的病毒查杀、补丁管理、主机防火墙、终端管控、移动存储管理、Windows停服系统加固功能的授权，包含3年升级服务；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2</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控制中心采用B/S架构管理端，根据客户端点数的增加支持横向扩展；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3</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支持根据分组、计算机名称、IP地址、操作系统、在线状态等条件的组合筛选出符合条件的终端进行管理；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17"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4</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left"/>
              <w:rPr>
                <w:rFonts w:hint="eastAsia" w:hAnsi="宋体" w:cs="宋体"/>
                <w:sz w:val="21"/>
                <w:szCs w:val="21"/>
                <w:lang w:bidi="ar"/>
              </w:rPr>
            </w:pPr>
            <w:r>
              <w:rPr>
                <w:rFonts w:hint="eastAsia" w:hAnsi="宋体" w:cs="宋体"/>
                <w:sz w:val="21"/>
                <w:szCs w:val="21"/>
              </w:rPr>
              <w:t>▲支持定时公告功能，可配置开机显示、周期显示和立即推送（提供相关功能截图证明材料，并加盖投标人公章）；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5</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管理控制中心当登录账号输入密码错误次数超过锁定阈值后账号将被锁定，同时应支持双因子认证登录方式，提高安全性；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6</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▲客户端主程序、病毒库版本支持按分组和多批次进行灰度更新，保持在低风险中完成终端能力更新。支持设置不同终端类型设置和每批次观察时长。（提供相关功能截图证明材料，并加盖投标人公章）；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7</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支持终端密码保护功能，支持终端“防退出”密码保护、“防卸载”密码保护、防安装密码保护；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8</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病毒防护日志包含：病毒查杀日志、查杀任务日志、攻击防护日志、系统防护日志、按分组、按终端、按时间；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9</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支持扫描资源占用设置，可设置不限制、均衡型、低资源三种模式；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10</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▲支持自动阻止远程登录行为，防护黑客远程爆破和拦截恶意的远程登录；（提供相关功能截图证明材料，并加盖投标人公章）；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11</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支持开启自动修复漏洞，包括开机时修复，并支持随机延迟执行、间隔修复和按时间段修复，可设置延迟时间、间隔修复时间和修复时间段；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12</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left"/>
              <w:rPr>
                <w:rFonts w:hint="eastAsia" w:hAnsi="宋体" w:cs="宋体"/>
                <w:sz w:val="21"/>
                <w:szCs w:val="21"/>
                <w:lang w:bidi="ar"/>
              </w:rPr>
            </w:pPr>
            <w:r>
              <w:rPr>
                <w:rFonts w:hint="eastAsia" w:hAnsi="宋体" w:cs="宋体"/>
                <w:sz w:val="21"/>
                <w:szCs w:val="21"/>
              </w:rPr>
              <w:t>支持对外设进行多维度的放行，包括设备名称、PID/VID、实例路径，通过添加实现例外或加黑；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13</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left"/>
              <w:rPr>
                <w:rFonts w:hint="eastAsia" w:hAnsi="宋体" w:cs="宋体"/>
                <w:sz w:val="21"/>
                <w:szCs w:val="21"/>
              </w:rPr>
            </w:pPr>
            <w:r>
              <w:rPr>
                <w:rFonts w:hint="eastAsia" w:hAnsi="宋体" w:cs="宋体"/>
                <w:sz w:val="21"/>
                <w:szCs w:val="21"/>
              </w:rPr>
              <w:t>▲产品需提供公安部颁发的《计算机信息系统安全专用产品销售许可证》；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7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b/>
                <w:bCs/>
                <w:sz w:val="21"/>
                <w:szCs w:val="21"/>
                <w:lang w:bidi="ar"/>
              </w:rPr>
            </w:pPr>
          </w:p>
        </w:tc>
        <w:tc>
          <w:tcPr>
            <w:tcW w:w="51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jc w:val="center"/>
              <w:rPr>
                <w:rFonts w:hint="eastAsia" w:hAnsi="宋体" w:cs="宋体"/>
                <w:sz w:val="21"/>
                <w:szCs w:val="21"/>
                <w:lang w:bidi="ar"/>
              </w:rPr>
            </w:pPr>
            <w:r>
              <w:rPr>
                <w:rFonts w:hint="eastAsia" w:hAnsi="宋体" w:cs="宋体"/>
                <w:sz w:val="21"/>
                <w:szCs w:val="21"/>
                <w:lang w:bidi="ar"/>
              </w:rPr>
              <w:t>14</w:t>
            </w:r>
          </w:p>
        </w:tc>
        <w:tc>
          <w:tcPr>
            <w:tcW w:w="3706"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jc w:val="left"/>
              <w:rPr>
                <w:rFonts w:hint="eastAsia" w:hAnsi="宋体" w:cs="宋体"/>
                <w:sz w:val="21"/>
                <w:szCs w:val="21"/>
              </w:rPr>
            </w:pPr>
            <w:r>
              <w:rPr>
                <w:rFonts w:hint="eastAsia" w:hAnsi="宋体" w:cs="宋体"/>
                <w:sz w:val="21"/>
                <w:szCs w:val="21"/>
              </w:rPr>
              <w:t>▲为保障漏洞更新的及时性，终端安全管理生产厂商应具备强大的漏洞收集力量，拥有基于互联网公开的漏洞响应平台，提供计算机软件著作权证书及官网链接证明；</w:t>
            </w:r>
          </w:p>
        </w:tc>
      </w:tr>
    </w:tbl>
    <w:p>
      <w:pPr>
        <w:spacing w:line="500" w:lineRule="exact"/>
        <w:ind w:right="82" w:rightChars="24" w:firstLine="482" w:firstLineChars="200"/>
        <w:jc w:val="left"/>
        <w:rPr>
          <w:rFonts w:hint="eastAsia" w:hAnsi="宋体" w:cs="宋体"/>
          <w:b/>
          <w:bCs/>
          <w:sz w:val="24"/>
          <w:szCs w:val="24"/>
        </w:rPr>
      </w:pPr>
      <w:r>
        <w:rPr>
          <w:rFonts w:hint="eastAsia" w:hAnsi="宋体" w:cs="宋体"/>
          <w:b/>
          <w:bCs/>
          <w:sz w:val="24"/>
          <w:szCs w:val="24"/>
        </w:rPr>
        <w:t>三、</w:t>
      </w:r>
      <w:r>
        <w:rPr>
          <w:rFonts w:hint="eastAsia"/>
          <w:b/>
          <w:bCs/>
          <w:sz w:val="24"/>
          <w:szCs w:val="24"/>
        </w:rPr>
        <w:t>商务要求</w:t>
      </w:r>
    </w:p>
    <w:p>
      <w:pPr>
        <w:pStyle w:val="4"/>
        <w:spacing w:line="360" w:lineRule="auto"/>
        <w:ind w:left="482" w:firstLine="420"/>
        <w:contextualSpacing/>
        <w:rPr>
          <w:rFonts w:hint="eastAsia" w:cs="宋体"/>
          <w:sz w:val="24"/>
          <w:szCs w:val="24"/>
        </w:rPr>
      </w:pPr>
      <w:r>
        <w:rPr>
          <w:rFonts w:hint="eastAsia" w:cs="宋体"/>
          <w:sz w:val="24"/>
          <w:szCs w:val="24"/>
        </w:rPr>
        <w:t>1、合同管理安排</w:t>
      </w:r>
    </w:p>
    <w:p>
      <w:pPr>
        <w:pStyle w:val="4"/>
        <w:spacing w:line="360" w:lineRule="auto"/>
        <w:ind w:left="482" w:firstLine="420"/>
        <w:contextualSpacing/>
        <w:rPr>
          <w:rFonts w:hint="eastAsia" w:cs="宋体"/>
          <w:sz w:val="24"/>
          <w:szCs w:val="24"/>
        </w:rPr>
      </w:pPr>
      <w:r>
        <w:rPr>
          <w:rFonts w:hint="eastAsia" w:cs="宋体"/>
          <w:sz w:val="24"/>
          <w:szCs w:val="24"/>
        </w:rPr>
        <w:t>1）合同类型：技术服务合同</w:t>
      </w:r>
    </w:p>
    <w:p>
      <w:pPr>
        <w:pStyle w:val="4"/>
        <w:spacing w:line="360" w:lineRule="auto"/>
        <w:ind w:left="482" w:firstLine="420"/>
        <w:contextualSpacing/>
        <w:rPr>
          <w:rFonts w:hint="eastAsia" w:cs="宋体"/>
          <w:sz w:val="24"/>
          <w:szCs w:val="24"/>
        </w:rPr>
      </w:pPr>
      <w:r>
        <w:rPr>
          <w:rFonts w:hint="eastAsia" w:cs="宋体"/>
          <w:sz w:val="24"/>
          <w:szCs w:val="24"/>
        </w:rPr>
        <w:t>2）合同定价方式：根据中标人投标价格</w:t>
      </w:r>
    </w:p>
    <w:p>
      <w:pPr>
        <w:pStyle w:val="4"/>
        <w:spacing w:line="360" w:lineRule="auto"/>
        <w:ind w:left="482" w:firstLine="420"/>
        <w:contextualSpacing/>
        <w:rPr>
          <w:rFonts w:hint="eastAsia" w:cs="宋体"/>
          <w:sz w:val="24"/>
          <w:szCs w:val="24"/>
        </w:rPr>
      </w:pPr>
      <w:r>
        <w:rPr>
          <w:rFonts w:hint="eastAsia" w:cs="宋体"/>
          <w:sz w:val="24"/>
          <w:szCs w:val="24"/>
        </w:rPr>
        <w:t>3）合同履行期限：自合同签订之日起3x365日</w:t>
      </w:r>
    </w:p>
    <w:p>
      <w:pPr>
        <w:pStyle w:val="4"/>
        <w:spacing w:line="360" w:lineRule="auto"/>
        <w:ind w:left="482" w:firstLine="420"/>
        <w:contextualSpacing/>
        <w:rPr>
          <w:rFonts w:hint="eastAsia" w:cs="宋体"/>
          <w:sz w:val="24"/>
          <w:szCs w:val="24"/>
        </w:rPr>
      </w:pPr>
      <w:r>
        <w:rPr>
          <w:rFonts w:hint="eastAsia" w:cs="宋体"/>
          <w:sz w:val="24"/>
          <w:szCs w:val="24"/>
        </w:rPr>
        <w:t>4）合同履约地点：隆昌市</w:t>
      </w:r>
    </w:p>
    <w:p>
      <w:pPr>
        <w:pStyle w:val="4"/>
        <w:spacing w:line="360" w:lineRule="auto"/>
        <w:ind w:left="482" w:firstLine="420"/>
        <w:contextualSpacing/>
        <w:rPr>
          <w:rFonts w:hint="eastAsia" w:cs="宋体"/>
          <w:sz w:val="24"/>
          <w:szCs w:val="24"/>
        </w:rPr>
      </w:pPr>
      <w:r>
        <w:rPr>
          <w:rFonts w:hint="eastAsia" w:cs="宋体"/>
          <w:sz w:val="24"/>
          <w:szCs w:val="24"/>
        </w:rPr>
        <w:t>5）支付方式：银行汇款/转帐</w:t>
      </w:r>
    </w:p>
    <w:p>
      <w:pPr>
        <w:pStyle w:val="4"/>
        <w:spacing w:line="360" w:lineRule="auto"/>
        <w:ind w:left="482" w:firstLine="420"/>
        <w:contextualSpacing/>
        <w:rPr>
          <w:rFonts w:hint="eastAsia" w:cs="宋体"/>
          <w:sz w:val="24"/>
          <w:szCs w:val="24"/>
        </w:rPr>
      </w:pPr>
      <w:r>
        <w:rPr>
          <w:rFonts w:hint="eastAsia" w:cs="宋体"/>
          <w:sz w:val="24"/>
          <w:szCs w:val="24"/>
        </w:rPr>
        <w:t>6）履约保证金及缴纳形式：</w:t>
      </w:r>
    </w:p>
    <w:p>
      <w:pPr>
        <w:pStyle w:val="4"/>
        <w:spacing w:line="360" w:lineRule="auto"/>
        <w:ind w:left="482" w:firstLine="420"/>
        <w:contextualSpacing/>
        <w:rPr>
          <w:rFonts w:hint="eastAsia" w:cs="宋体"/>
          <w:sz w:val="24"/>
          <w:szCs w:val="24"/>
        </w:rPr>
      </w:pPr>
      <w:r>
        <w:rPr>
          <w:rFonts w:hint="eastAsia" w:cs="宋体"/>
          <w:sz w:val="24"/>
          <w:szCs w:val="24"/>
        </w:rPr>
        <w:t>中标/成交供应商是否需要缴纳履约保证金：否</w:t>
      </w:r>
    </w:p>
    <w:p>
      <w:pPr>
        <w:pStyle w:val="4"/>
        <w:spacing w:line="360" w:lineRule="auto"/>
        <w:ind w:left="482" w:firstLine="420"/>
        <w:contextualSpacing/>
        <w:rPr>
          <w:rFonts w:hint="eastAsia" w:cs="宋体"/>
          <w:sz w:val="24"/>
          <w:szCs w:val="24"/>
        </w:rPr>
      </w:pPr>
      <w:r>
        <w:rPr>
          <w:rFonts w:hint="eastAsia" w:cs="宋体"/>
          <w:sz w:val="24"/>
          <w:szCs w:val="24"/>
        </w:rPr>
        <w:t>履约保证金缴纳比例：否</w:t>
      </w:r>
    </w:p>
    <w:p>
      <w:pPr>
        <w:pStyle w:val="4"/>
        <w:spacing w:line="360" w:lineRule="auto"/>
        <w:ind w:left="482" w:firstLine="420"/>
        <w:contextualSpacing/>
        <w:rPr>
          <w:rFonts w:hint="eastAsia" w:cs="宋体"/>
          <w:sz w:val="24"/>
          <w:szCs w:val="24"/>
        </w:rPr>
      </w:pPr>
      <w:r>
        <w:rPr>
          <w:rFonts w:hint="eastAsia" w:cs="宋体"/>
          <w:sz w:val="24"/>
          <w:szCs w:val="24"/>
        </w:rPr>
        <w:t>缴纳方式：否</w:t>
      </w:r>
    </w:p>
    <w:p>
      <w:pPr>
        <w:pStyle w:val="4"/>
        <w:spacing w:line="360" w:lineRule="auto"/>
        <w:ind w:left="482" w:firstLine="420"/>
        <w:contextualSpacing/>
        <w:rPr>
          <w:rFonts w:hint="eastAsia" w:cs="宋体"/>
          <w:sz w:val="24"/>
          <w:szCs w:val="24"/>
        </w:rPr>
      </w:pPr>
      <w:r>
        <w:rPr>
          <w:rFonts w:hint="eastAsia" w:cs="宋体"/>
          <w:sz w:val="24"/>
          <w:szCs w:val="24"/>
        </w:rPr>
        <w:t>缴纳说明：否</w:t>
      </w:r>
    </w:p>
    <w:p>
      <w:pPr>
        <w:pStyle w:val="4"/>
        <w:spacing w:line="360" w:lineRule="auto"/>
        <w:ind w:left="482" w:firstLine="420"/>
        <w:contextualSpacing/>
        <w:rPr>
          <w:rFonts w:hint="eastAsia" w:cs="宋体"/>
          <w:sz w:val="24"/>
          <w:szCs w:val="24"/>
        </w:rPr>
      </w:pPr>
      <w:r>
        <w:rPr>
          <w:rFonts w:hint="eastAsia" w:cs="宋体"/>
          <w:sz w:val="24"/>
          <w:szCs w:val="24"/>
        </w:rPr>
        <w:t>7）质量保证金及缴纳形式：</w:t>
      </w:r>
    </w:p>
    <w:p>
      <w:pPr>
        <w:pStyle w:val="4"/>
        <w:spacing w:line="360" w:lineRule="auto"/>
        <w:ind w:left="482" w:firstLine="420"/>
        <w:contextualSpacing/>
        <w:rPr>
          <w:rFonts w:hint="eastAsia" w:cs="宋体"/>
          <w:sz w:val="24"/>
          <w:szCs w:val="24"/>
        </w:rPr>
      </w:pPr>
      <w:r>
        <w:rPr>
          <w:rFonts w:hint="eastAsia" w:cs="宋体"/>
          <w:sz w:val="24"/>
          <w:szCs w:val="24"/>
        </w:rPr>
        <w:t>中标/成交供应商是否需要缴纳质量保证金：否</w:t>
      </w:r>
    </w:p>
    <w:p>
      <w:pPr>
        <w:pStyle w:val="4"/>
        <w:spacing w:line="360" w:lineRule="auto"/>
        <w:ind w:left="482" w:firstLine="420"/>
        <w:contextualSpacing/>
        <w:rPr>
          <w:rFonts w:hint="eastAsia" w:cs="宋体"/>
          <w:sz w:val="24"/>
          <w:szCs w:val="24"/>
        </w:rPr>
      </w:pPr>
      <w:r>
        <w:rPr>
          <w:rFonts w:hint="eastAsia" w:cs="宋体"/>
          <w:sz w:val="24"/>
          <w:szCs w:val="24"/>
        </w:rPr>
        <w:t>8）合同支付约定：合同签订后支付合同金额40%，验收合格后支付合同金额55%，三年服务期结束终验后支付合同金额5%；</w:t>
      </w:r>
    </w:p>
    <w:p>
      <w:pPr>
        <w:pStyle w:val="4"/>
        <w:spacing w:line="360" w:lineRule="auto"/>
        <w:ind w:left="482" w:firstLine="420"/>
        <w:contextualSpacing/>
        <w:rPr>
          <w:rFonts w:hint="eastAsia" w:cs="宋体"/>
          <w:sz w:val="24"/>
          <w:szCs w:val="24"/>
        </w:rPr>
      </w:pPr>
      <w:r>
        <w:rPr>
          <w:rFonts w:hint="eastAsia" w:cs="宋体"/>
          <w:sz w:val="24"/>
          <w:szCs w:val="24"/>
        </w:rPr>
        <w:t>9）验收交付标准和方法：按国家有关规定以及竞争性磋商文件的质量要求和技术指标、响应文件及承诺与本合同约定标准进行验收；甲乙双方如对质量要求和技术指标的约定标准有相互抵触或异议的事项，由甲方在竞争性谈判文件与响应文件中按质量要求和技术指标比较优胜的原则确定该项的约定标准进行验收</w:t>
      </w:r>
    </w:p>
    <w:p>
      <w:pPr>
        <w:pStyle w:val="4"/>
        <w:spacing w:line="360" w:lineRule="auto"/>
        <w:ind w:left="482" w:firstLine="420"/>
        <w:contextualSpacing/>
        <w:rPr>
          <w:rFonts w:hint="eastAsia" w:cs="宋体"/>
          <w:sz w:val="24"/>
          <w:szCs w:val="24"/>
        </w:rPr>
      </w:pPr>
      <w:r>
        <w:rPr>
          <w:rFonts w:hint="eastAsia" w:cs="宋体"/>
          <w:sz w:val="24"/>
          <w:szCs w:val="24"/>
        </w:rPr>
        <w:t>10）质量保修范围和保修期：3年</w:t>
      </w:r>
    </w:p>
    <w:p>
      <w:pPr>
        <w:pStyle w:val="4"/>
        <w:spacing w:line="360" w:lineRule="auto"/>
        <w:ind w:left="482" w:firstLine="420"/>
        <w:contextualSpacing/>
        <w:rPr>
          <w:rFonts w:hint="eastAsia" w:cs="宋体"/>
          <w:sz w:val="24"/>
          <w:szCs w:val="24"/>
        </w:rPr>
      </w:pPr>
      <w:r>
        <w:rPr>
          <w:rFonts w:hint="eastAsia" w:cs="宋体"/>
          <w:sz w:val="24"/>
          <w:szCs w:val="24"/>
        </w:rPr>
        <w:t>11）知识产权归属和处理方式：无</w:t>
      </w:r>
    </w:p>
    <w:p>
      <w:pPr>
        <w:pStyle w:val="4"/>
        <w:spacing w:line="360" w:lineRule="auto"/>
        <w:ind w:left="482" w:firstLine="420"/>
        <w:contextualSpacing/>
        <w:rPr>
          <w:rFonts w:hint="eastAsia" w:cs="宋体"/>
          <w:sz w:val="24"/>
          <w:szCs w:val="24"/>
        </w:rPr>
      </w:pPr>
      <w:r>
        <w:rPr>
          <w:rFonts w:hint="eastAsia" w:cs="宋体"/>
          <w:sz w:val="24"/>
          <w:szCs w:val="24"/>
        </w:rPr>
        <w:t>12）成本补偿和风险分担约定：无</w:t>
      </w:r>
    </w:p>
    <w:p>
      <w:pPr>
        <w:pStyle w:val="4"/>
        <w:spacing w:line="360" w:lineRule="auto"/>
        <w:ind w:left="482" w:firstLine="420"/>
        <w:contextualSpacing/>
        <w:rPr>
          <w:rFonts w:hint="eastAsia" w:cs="宋体"/>
          <w:sz w:val="24"/>
          <w:szCs w:val="24"/>
        </w:rPr>
      </w:pPr>
      <w:r>
        <w:rPr>
          <w:rFonts w:hint="eastAsia" w:cs="宋体"/>
          <w:sz w:val="24"/>
          <w:szCs w:val="24"/>
        </w:rPr>
        <w:t>13）违约责任与解决争议的方法：甲乙双方协商解决</w:t>
      </w:r>
    </w:p>
    <w:p>
      <w:pPr>
        <w:pStyle w:val="4"/>
        <w:spacing w:line="360" w:lineRule="auto"/>
        <w:ind w:left="482" w:firstLine="420"/>
        <w:contextualSpacing/>
        <w:rPr>
          <w:rFonts w:hint="eastAsia" w:cs="宋体"/>
          <w:sz w:val="24"/>
          <w:szCs w:val="24"/>
        </w:rPr>
      </w:pPr>
      <w:r>
        <w:rPr>
          <w:rFonts w:hint="eastAsia" w:cs="宋体"/>
          <w:sz w:val="24"/>
          <w:szCs w:val="24"/>
        </w:rPr>
        <w:t>14）合同其他条款：无</w:t>
      </w:r>
    </w:p>
    <w:p>
      <w:pPr>
        <w:pStyle w:val="4"/>
        <w:spacing w:line="360" w:lineRule="auto"/>
        <w:ind w:left="482" w:firstLine="420"/>
        <w:contextualSpacing/>
        <w:rPr>
          <w:rFonts w:hint="eastAsia" w:cs="宋体"/>
          <w:sz w:val="24"/>
          <w:szCs w:val="24"/>
        </w:rPr>
      </w:pPr>
      <w:r>
        <w:rPr>
          <w:rFonts w:hint="eastAsia" w:cs="宋体"/>
          <w:sz w:val="24"/>
          <w:szCs w:val="24"/>
        </w:rPr>
        <w:t>2、履约验收方案</w:t>
      </w:r>
    </w:p>
    <w:p>
      <w:pPr>
        <w:pStyle w:val="4"/>
        <w:spacing w:line="360" w:lineRule="auto"/>
        <w:ind w:left="482" w:firstLine="420"/>
        <w:contextualSpacing/>
        <w:rPr>
          <w:rFonts w:hint="eastAsia" w:cs="宋体"/>
          <w:sz w:val="24"/>
          <w:szCs w:val="24"/>
        </w:rPr>
      </w:pPr>
      <w:r>
        <w:rPr>
          <w:rFonts w:hint="eastAsia" w:cs="宋体"/>
          <w:sz w:val="24"/>
          <w:szCs w:val="24"/>
        </w:rPr>
        <w:t>1）验收组织方式：现场书面验收</w:t>
      </w:r>
    </w:p>
    <w:p>
      <w:pPr>
        <w:pStyle w:val="4"/>
        <w:spacing w:line="360" w:lineRule="auto"/>
        <w:ind w:left="482" w:firstLine="420"/>
        <w:contextualSpacing/>
        <w:rPr>
          <w:rFonts w:hint="eastAsia" w:cs="宋体"/>
          <w:sz w:val="24"/>
          <w:szCs w:val="24"/>
        </w:rPr>
      </w:pPr>
      <w:r>
        <w:rPr>
          <w:rFonts w:hint="eastAsia" w:cs="宋体"/>
          <w:sz w:val="24"/>
          <w:szCs w:val="24"/>
        </w:rPr>
        <w:t>2）是否邀请本项目的其他供应商：否</w:t>
      </w:r>
    </w:p>
    <w:p>
      <w:pPr>
        <w:pStyle w:val="4"/>
        <w:spacing w:line="360" w:lineRule="auto"/>
        <w:ind w:left="482" w:firstLine="420"/>
        <w:contextualSpacing/>
        <w:rPr>
          <w:rFonts w:hint="eastAsia" w:cs="宋体"/>
          <w:sz w:val="24"/>
          <w:szCs w:val="24"/>
        </w:rPr>
      </w:pPr>
      <w:r>
        <w:rPr>
          <w:rFonts w:hint="eastAsia" w:cs="宋体"/>
          <w:sz w:val="24"/>
          <w:szCs w:val="24"/>
        </w:rPr>
        <w:t>3）是否邀请专家：否</w:t>
      </w:r>
    </w:p>
    <w:p>
      <w:pPr>
        <w:pStyle w:val="4"/>
        <w:spacing w:line="360" w:lineRule="auto"/>
        <w:ind w:left="482" w:firstLine="420"/>
        <w:contextualSpacing/>
        <w:rPr>
          <w:rFonts w:hint="eastAsia" w:cs="宋体"/>
          <w:sz w:val="24"/>
          <w:szCs w:val="24"/>
        </w:rPr>
      </w:pPr>
      <w:r>
        <w:rPr>
          <w:rFonts w:hint="eastAsia" w:cs="宋体"/>
          <w:sz w:val="24"/>
          <w:szCs w:val="24"/>
        </w:rPr>
        <w:t>4）是否邀请服务对象：否</w:t>
      </w:r>
    </w:p>
    <w:p>
      <w:pPr>
        <w:pStyle w:val="4"/>
        <w:spacing w:line="360" w:lineRule="auto"/>
        <w:ind w:left="482" w:firstLine="420"/>
        <w:contextualSpacing/>
        <w:rPr>
          <w:rFonts w:hint="eastAsia" w:cs="宋体"/>
          <w:sz w:val="24"/>
          <w:szCs w:val="24"/>
        </w:rPr>
      </w:pPr>
      <w:r>
        <w:rPr>
          <w:rFonts w:hint="eastAsia" w:cs="宋体"/>
          <w:sz w:val="24"/>
          <w:szCs w:val="24"/>
        </w:rPr>
        <w:t>5）是否邀请第三方检测机构：否</w:t>
      </w:r>
    </w:p>
    <w:p>
      <w:pPr>
        <w:pStyle w:val="4"/>
        <w:spacing w:line="360" w:lineRule="auto"/>
        <w:ind w:left="482" w:firstLine="420"/>
        <w:contextualSpacing/>
        <w:rPr>
          <w:rFonts w:hint="eastAsia" w:cs="宋体"/>
          <w:sz w:val="24"/>
          <w:szCs w:val="24"/>
        </w:rPr>
      </w:pPr>
      <w:r>
        <w:rPr>
          <w:rFonts w:hint="eastAsia" w:cs="宋体"/>
          <w:sz w:val="24"/>
          <w:szCs w:val="24"/>
        </w:rPr>
        <w:t>6）履约验收程序：由采购人组织验收</w:t>
      </w:r>
    </w:p>
    <w:p>
      <w:pPr>
        <w:pStyle w:val="4"/>
        <w:spacing w:line="360" w:lineRule="auto"/>
        <w:ind w:left="482" w:firstLine="420"/>
        <w:contextualSpacing/>
        <w:rPr>
          <w:rFonts w:hint="eastAsia" w:cs="宋体"/>
          <w:sz w:val="24"/>
          <w:szCs w:val="24"/>
        </w:rPr>
      </w:pPr>
      <w:r>
        <w:rPr>
          <w:rFonts w:hint="eastAsia" w:cs="宋体"/>
          <w:sz w:val="24"/>
          <w:szCs w:val="24"/>
        </w:rPr>
        <w:t>7）履约验收时间：</w:t>
      </w:r>
    </w:p>
    <w:p>
      <w:pPr>
        <w:pStyle w:val="4"/>
        <w:spacing w:line="360" w:lineRule="auto"/>
        <w:ind w:left="482" w:firstLine="420"/>
        <w:contextualSpacing/>
        <w:rPr>
          <w:rFonts w:hint="eastAsia" w:cs="宋体"/>
          <w:sz w:val="24"/>
          <w:szCs w:val="24"/>
        </w:rPr>
      </w:pPr>
      <w:r>
        <w:rPr>
          <w:rFonts w:hint="eastAsia" w:cs="宋体"/>
          <w:sz w:val="24"/>
          <w:szCs w:val="24"/>
        </w:rPr>
        <w:t>计划于{{</w:t>
      </w:r>
      <w:r>
        <w:rPr>
          <w:rFonts w:cs="宋体"/>
          <w:sz w:val="24"/>
          <w:szCs w:val="24"/>
          <w:lang w:val="en"/>
        </w:rPr>
        <w:t>2022</w:t>
      </w:r>
      <w:r>
        <w:rPr>
          <w:rFonts w:hint="eastAsia" w:cs="宋体"/>
          <w:sz w:val="24"/>
          <w:szCs w:val="24"/>
          <w:lang w:val="en"/>
        </w:rPr>
        <w:t>年</w:t>
      </w:r>
      <w:r>
        <w:rPr>
          <w:rFonts w:cs="宋体"/>
          <w:sz w:val="24"/>
          <w:szCs w:val="24"/>
          <w:lang w:val="en"/>
        </w:rPr>
        <w:t>6</w:t>
      </w:r>
      <w:r>
        <w:rPr>
          <w:rFonts w:hint="eastAsia" w:cs="宋体"/>
          <w:sz w:val="24"/>
          <w:szCs w:val="24"/>
          <w:lang w:val="en"/>
        </w:rPr>
        <w:t>月</w:t>
      </w:r>
      <w:r>
        <w:rPr>
          <w:rFonts w:cs="宋体"/>
          <w:sz w:val="24"/>
          <w:szCs w:val="24"/>
          <w:lang w:val="en"/>
        </w:rPr>
        <w:t>10</w:t>
      </w:r>
      <w:r>
        <w:rPr>
          <w:rFonts w:hint="eastAsia" w:cs="宋体"/>
          <w:sz w:val="24"/>
          <w:szCs w:val="24"/>
          <w:lang w:val="en"/>
        </w:rPr>
        <w:t>日</w:t>
      </w:r>
      <w:r>
        <w:rPr>
          <w:rFonts w:hint="eastAsia" w:cs="宋体"/>
          <w:sz w:val="24"/>
          <w:szCs w:val="24"/>
        </w:rPr>
        <w:t>}组织验收</w:t>
      </w:r>
    </w:p>
    <w:p>
      <w:pPr>
        <w:pStyle w:val="4"/>
        <w:spacing w:line="360" w:lineRule="auto"/>
        <w:ind w:left="482" w:firstLine="420"/>
        <w:contextualSpacing/>
        <w:rPr>
          <w:rFonts w:hint="eastAsia" w:cs="宋体"/>
          <w:sz w:val="24"/>
          <w:szCs w:val="24"/>
        </w:rPr>
      </w:pPr>
      <w:r>
        <w:rPr>
          <w:rFonts w:hint="eastAsia" w:cs="宋体"/>
          <w:sz w:val="24"/>
          <w:szCs w:val="24"/>
        </w:rPr>
        <w:t>供应商提出验收申请之日起7日内组织验收</w:t>
      </w:r>
    </w:p>
    <w:p>
      <w:pPr>
        <w:pStyle w:val="4"/>
        <w:spacing w:line="360" w:lineRule="auto"/>
        <w:ind w:left="482" w:firstLine="420"/>
        <w:contextualSpacing/>
        <w:rPr>
          <w:rFonts w:hint="eastAsia" w:cs="宋体"/>
          <w:sz w:val="24"/>
          <w:szCs w:val="24"/>
        </w:rPr>
      </w:pPr>
      <w:r>
        <w:rPr>
          <w:rFonts w:hint="eastAsia" w:cs="宋体"/>
          <w:sz w:val="24"/>
          <w:szCs w:val="24"/>
        </w:rPr>
        <w:t>8）验收组织的其他事项：无</w:t>
      </w:r>
    </w:p>
    <w:p>
      <w:pPr>
        <w:pStyle w:val="4"/>
        <w:spacing w:line="360" w:lineRule="auto"/>
        <w:ind w:left="482" w:firstLine="420"/>
        <w:contextualSpacing/>
        <w:rPr>
          <w:rFonts w:hint="eastAsia" w:cs="宋体"/>
          <w:sz w:val="24"/>
          <w:szCs w:val="24"/>
        </w:rPr>
      </w:pPr>
      <w:r>
        <w:rPr>
          <w:rFonts w:hint="eastAsia" w:cs="宋体"/>
          <w:sz w:val="24"/>
          <w:szCs w:val="24"/>
        </w:rPr>
        <w:t>9）技术履约验收内容：按国家有关规定以及竞争性磋商文件的质量要求和技术指标、响应文件内容。</w:t>
      </w:r>
    </w:p>
    <w:p>
      <w:pPr>
        <w:pStyle w:val="4"/>
        <w:spacing w:line="360" w:lineRule="auto"/>
        <w:ind w:left="482" w:firstLine="420"/>
        <w:contextualSpacing/>
        <w:rPr>
          <w:rFonts w:hint="eastAsia" w:cs="宋体"/>
          <w:sz w:val="24"/>
          <w:szCs w:val="24"/>
        </w:rPr>
      </w:pPr>
      <w:r>
        <w:rPr>
          <w:rFonts w:hint="eastAsia" w:cs="宋体"/>
          <w:sz w:val="24"/>
          <w:szCs w:val="24"/>
        </w:rPr>
        <w:t>10）商务履约验收内容：无</w:t>
      </w:r>
    </w:p>
    <w:p>
      <w:pPr>
        <w:pStyle w:val="4"/>
        <w:spacing w:line="360" w:lineRule="auto"/>
        <w:ind w:left="482" w:firstLine="420"/>
        <w:contextualSpacing/>
        <w:rPr>
          <w:rFonts w:hint="eastAsia" w:cs="宋体"/>
          <w:sz w:val="24"/>
          <w:szCs w:val="24"/>
        </w:rPr>
      </w:pPr>
      <w:r>
        <w:rPr>
          <w:rFonts w:hint="eastAsia" w:cs="宋体"/>
          <w:sz w:val="24"/>
          <w:szCs w:val="24"/>
        </w:rPr>
        <w:t>11）履约验收标准：按照《财政部关于进一步加强政府采购需求和履约验收管理的指导意见》（财库〔2016〕205号）</w:t>
      </w:r>
    </w:p>
    <w:p>
      <w:pPr>
        <w:pStyle w:val="4"/>
        <w:spacing w:line="360" w:lineRule="auto"/>
        <w:ind w:left="482" w:firstLine="420"/>
        <w:contextualSpacing/>
        <w:rPr>
          <w:rFonts w:hint="eastAsia" w:cs="宋体"/>
          <w:sz w:val="24"/>
          <w:szCs w:val="24"/>
        </w:rPr>
      </w:pPr>
      <w:r>
        <w:rPr>
          <w:rFonts w:hint="eastAsia" w:cs="宋体"/>
          <w:sz w:val="24"/>
          <w:szCs w:val="24"/>
        </w:rPr>
        <w:t>12）履约验收其他事项：无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ZGE3ZGNiN2ExNDlhZDY0YzZhNjgzYzNhYTA3ZGEifQ=="/>
  </w:docVars>
  <w:rsids>
    <w:rsidRoot w:val="5B3302B7"/>
    <w:rsid w:val="5B33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5"/>
    <w:basedOn w:val="1"/>
    <w:next w:val="1"/>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Normal (Web)"/>
    <w:basedOn w:val="1"/>
    <w:uiPriority w:val="99"/>
    <w:pPr>
      <w:widowControl/>
      <w:spacing w:before="100" w:beforeAutospacing="1" w:after="100" w:afterAutospacing="1"/>
      <w:jc w:val="left"/>
    </w:pPr>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2171</Words>
  <Characters>2273</Characters>
  <Lines>0</Lines>
  <Paragraphs>0</Paragraphs>
  <TotalTime>0</TotalTime>
  <ScaleCrop>false</ScaleCrop>
  <LinksUpToDate>false</LinksUpToDate>
  <CharactersWithSpaces>2275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2022-05-30T08:25:00Z</dcterms:created>
  <dc:creator>欢颜</dc:creator>
  <cp:lastModifiedBy>欢颜</cp:lastModifiedBy>
  <dcterms:modified xsi:type="dcterms:W3CDTF">2022-05-30T08:26:42Z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EFA30AF222144CB29C4CC321C3379B00</vt:lpwstr>
  </property>
</Properties>
</file>