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cs="宋体"/>
          <w:color w:val="auto"/>
          <w:highlight w:val="none"/>
        </w:rPr>
      </w:pPr>
      <w:bookmarkStart w:id="0" w:name="_Toc26392"/>
      <w:bookmarkStart w:id="1" w:name="_Toc20969"/>
      <w:bookmarkStart w:id="2" w:name="_Toc217446093"/>
      <w:bookmarkStart w:id="3" w:name="_Toc20595"/>
      <w:bookmarkStart w:id="4" w:name="_Toc32203"/>
      <w:bookmarkStart w:id="5" w:name="_Toc10096"/>
      <w:r>
        <w:rPr>
          <w:rFonts w:hint="eastAsia" w:cs="宋体"/>
          <w:color w:val="auto"/>
          <w:highlight w:val="none"/>
        </w:rPr>
        <w:t>招标项目技术、商务及其他要求</w:t>
      </w:r>
      <w:bookmarkEnd w:id="0"/>
      <w:bookmarkEnd w:id="1"/>
    </w:p>
    <w:p>
      <w:pPr>
        <w:pStyle w:val="4"/>
        <w:tabs>
          <w:tab w:val="left" w:pos="426"/>
          <w:tab w:val="left" w:pos="567"/>
        </w:tabs>
        <w:rPr>
          <w:rFonts w:cs="宋体"/>
          <w:color w:val="auto"/>
          <w:sz w:val="24"/>
          <w:szCs w:val="24"/>
          <w:highlight w:val="none"/>
        </w:rPr>
      </w:pPr>
      <w:bookmarkStart w:id="6" w:name="_Toc18710"/>
      <w:bookmarkStart w:id="7" w:name="_Toc1448"/>
      <w:bookmarkStart w:id="8" w:name="_Toc6419"/>
      <w:bookmarkStart w:id="9" w:name="_Toc23195"/>
      <w:r>
        <w:rPr>
          <w:rFonts w:hint="eastAsia" w:cs="宋体"/>
          <w:color w:val="auto"/>
          <w:sz w:val="24"/>
          <w:szCs w:val="24"/>
          <w:highlight w:val="none"/>
        </w:rPr>
        <w:t>项目</w:t>
      </w:r>
      <w:bookmarkEnd w:id="6"/>
      <w:r>
        <w:rPr>
          <w:rFonts w:hint="eastAsia" w:cs="宋体"/>
          <w:color w:val="auto"/>
          <w:sz w:val="24"/>
          <w:szCs w:val="24"/>
          <w:highlight w:val="none"/>
        </w:rPr>
        <w:t>概况</w:t>
      </w:r>
      <w:bookmarkEnd w:id="7"/>
      <w:bookmarkEnd w:id="8"/>
    </w:p>
    <w:p>
      <w:pPr>
        <w:ind w:firstLine="492"/>
        <w:rPr>
          <w:rFonts w:ascii="宋体" w:hAnsi="宋体" w:cs="宋体"/>
          <w:color w:val="auto"/>
          <w:szCs w:val="24"/>
          <w:highlight w:val="none"/>
        </w:rPr>
      </w:pPr>
      <w:r>
        <w:rPr>
          <w:rFonts w:hint="eastAsia" w:ascii="宋体" w:hAnsi="宋体" w:cs="宋体"/>
          <w:color w:val="auto"/>
          <w:szCs w:val="24"/>
          <w:highlight w:val="none"/>
        </w:rPr>
        <w:t>为确保福利中心有序运营，特困人员供养服务持续保障。本项目通过公开招标确定一名中标人为龙泉驿区综合社会福利中心运营管理及集中供养特困人员提供相关服务。</w:t>
      </w:r>
    </w:p>
    <w:p>
      <w:pPr>
        <w:pStyle w:val="4"/>
        <w:tabs>
          <w:tab w:val="left" w:pos="426"/>
          <w:tab w:val="left" w:pos="567"/>
        </w:tabs>
        <w:rPr>
          <w:rFonts w:cs="宋体"/>
          <w:color w:val="auto"/>
          <w:sz w:val="24"/>
          <w:szCs w:val="24"/>
          <w:highlight w:val="none"/>
        </w:rPr>
      </w:pPr>
      <w:bookmarkStart w:id="10" w:name="_Toc3171"/>
      <w:bookmarkStart w:id="11" w:name="_Toc21453"/>
      <w:bookmarkStart w:id="12" w:name="_Toc9279"/>
      <w:r>
        <w:rPr>
          <w:rFonts w:hint="eastAsia" w:cs="宋体"/>
          <w:color w:val="auto"/>
          <w:sz w:val="24"/>
          <w:szCs w:val="24"/>
          <w:highlight w:val="none"/>
        </w:rPr>
        <w:t>政策依据</w:t>
      </w:r>
      <w:bookmarkEnd w:id="10"/>
    </w:p>
    <w:p>
      <w:pPr>
        <w:numPr>
          <w:ilvl w:val="0"/>
          <w:numId w:val="2"/>
        </w:numPr>
        <w:ind w:firstLineChars="0"/>
        <w:rPr>
          <w:rFonts w:ascii="宋体" w:hAnsi="宋体" w:cs="宋体"/>
          <w:color w:val="auto"/>
          <w:szCs w:val="24"/>
          <w:highlight w:val="none"/>
        </w:rPr>
      </w:pPr>
      <w:r>
        <w:rPr>
          <w:rFonts w:hint="eastAsia" w:ascii="宋体" w:hAnsi="宋体" w:cs="宋体"/>
          <w:color w:val="auto"/>
          <w:szCs w:val="24"/>
          <w:highlight w:val="none"/>
        </w:rPr>
        <w:t>《国务院办公厅关于推进养老服务发展的意见》（国办发〔2019〕5号）“充分发挥公办养老机构及公建民营养老机构兜底保障作用，在满足当前和今后一个时期特困人员集中供养需求的前提下，重点为经济困难失能（含失智，下同）老年人、计划生育特殊家庭老年人提供无偿或低收费托养服务。坚持公办养老机构公益属性，确定保障范围，其余床位允许向社会开放，研究制定收费指导标准，收益用于支持兜底保障对象的养老服务”。</w:t>
      </w:r>
    </w:p>
    <w:p>
      <w:pPr>
        <w:numPr>
          <w:ilvl w:val="0"/>
          <w:numId w:val="2"/>
        </w:numPr>
        <w:ind w:firstLineChars="0"/>
        <w:rPr>
          <w:rFonts w:ascii="宋体" w:hAnsi="宋体" w:cs="宋体"/>
          <w:color w:val="auto"/>
          <w:szCs w:val="24"/>
          <w:highlight w:val="none"/>
        </w:rPr>
      </w:pPr>
      <w:r>
        <w:rPr>
          <w:rFonts w:hint="eastAsia" w:ascii="宋体" w:hAnsi="宋体" w:cs="宋体"/>
          <w:color w:val="auto"/>
          <w:szCs w:val="24"/>
          <w:highlight w:val="none"/>
        </w:rPr>
        <w:t>《成都市人民政府办公厅关于深化养老服务综合改革提升养老服务质量的实施意见》（成办发〔2018〕50号）“加快推进公办养老机构改革。鼓励社会力量通过租赁、联营、合作等方式参与公办养老机构改革，推进具备向社会提供养老服务条件的公办养老机构转制成为企业或开展公建民营”以及“实施公办养老机构改造提升，提高公办养老机构床位使用率，在保障特困人员供养的基础上，面向社会老年人开放，优先满足特殊困难老年人和重点优抚对象需求”。</w:t>
      </w:r>
    </w:p>
    <w:p>
      <w:pPr>
        <w:numPr>
          <w:ilvl w:val="0"/>
          <w:numId w:val="2"/>
        </w:numPr>
        <w:tabs>
          <w:tab w:val="left" w:pos="180"/>
          <w:tab w:val="left" w:pos="360"/>
          <w:tab w:val="left" w:pos="8442"/>
        </w:tabs>
        <w:ind w:firstLineChars="0"/>
        <w:rPr>
          <w:rFonts w:ascii="宋体" w:hAnsi="宋体" w:cs="宋体"/>
          <w:color w:val="auto"/>
          <w:szCs w:val="24"/>
          <w:highlight w:val="none"/>
        </w:rPr>
      </w:pPr>
      <w:r>
        <w:rPr>
          <w:rFonts w:hint="eastAsia" w:ascii="宋体" w:hAnsi="宋体" w:cs="宋体"/>
          <w:color w:val="auto"/>
          <w:szCs w:val="24"/>
          <w:highlight w:val="none"/>
        </w:rPr>
        <w:t>《成都市民政局关于开展养老机构建设和服务标准化规范化试点工作的实施方案》（成民发〔2018〕19号）“探索公办养老机构改革。改革公办养老机构运营方式，鼓励实行托管或服务外包”。</w:t>
      </w:r>
    </w:p>
    <w:p>
      <w:pPr>
        <w:pStyle w:val="4"/>
        <w:rPr>
          <w:rFonts w:cs="宋体"/>
          <w:color w:val="auto"/>
          <w:sz w:val="24"/>
          <w:szCs w:val="24"/>
          <w:highlight w:val="none"/>
        </w:rPr>
      </w:pPr>
      <w:bookmarkStart w:id="13" w:name="_Toc24034"/>
      <w:r>
        <w:rPr>
          <w:rFonts w:hint="eastAsia" w:cs="宋体"/>
          <w:color w:val="auto"/>
          <w:sz w:val="24"/>
          <w:szCs w:val="24"/>
          <w:highlight w:val="none"/>
        </w:rPr>
        <w:t>服务内容</w:t>
      </w:r>
      <w:bookmarkEnd w:id="13"/>
    </w:p>
    <w:p>
      <w:pPr>
        <w:numPr>
          <w:ilvl w:val="0"/>
          <w:numId w:val="3"/>
        </w:numPr>
        <w:tabs>
          <w:tab w:val="left" w:pos="180"/>
          <w:tab w:val="left" w:pos="360"/>
          <w:tab w:val="left" w:pos="8442"/>
        </w:tabs>
        <w:ind w:firstLineChars="0"/>
        <w:rPr>
          <w:rFonts w:ascii="宋体" w:hAnsi="宋体" w:cs="宋体"/>
          <w:color w:val="auto"/>
          <w:szCs w:val="24"/>
          <w:highlight w:val="none"/>
        </w:rPr>
      </w:pPr>
      <w:r>
        <w:rPr>
          <w:rFonts w:hint="eastAsia" w:ascii="宋体" w:hAnsi="宋体" w:cs="宋体"/>
          <w:color w:val="auto"/>
          <w:szCs w:val="24"/>
          <w:highlight w:val="none"/>
        </w:rPr>
        <w:t>集中供养的城乡特困人员照料护理</w:t>
      </w:r>
      <w:r>
        <w:rPr>
          <w:rFonts w:hint="eastAsia" w:ascii="宋体" w:hAnsi="宋体" w:cs="宋体"/>
          <w:color w:val="auto"/>
          <w:szCs w:val="24"/>
          <w:highlight w:val="none"/>
          <w:u w:val="none"/>
        </w:rPr>
        <w:t>服务（含送医及在外住院</w:t>
      </w:r>
      <w:r>
        <w:rPr>
          <w:rFonts w:hint="eastAsia" w:ascii="宋体" w:hAnsi="宋体" w:cs="宋体"/>
          <w:color w:val="auto"/>
          <w:szCs w:val="24"/>
          <w:highlight w:val="none"/>
        </w:rPr>
        <w:t>期间探视探望服务）。</w:t>
      </w:r>
    </w:p>
    <w:p>
      <w:pPr>
        <w:numPr>
          <w:ilvl w:val="0"/>
          <w:numId w:val="3"/>
        </w:numPr>
        <w:tabs>
          <w:tab w:val="left" w:pos="180"/>
          <w:tab w:val="left" w:pos="360"/>
          <w:tab w:val="left" w:pos="8442"/>
        </w:tabs>
        <w:ind w:firstLineChars="0"/>
        <w:rPr>
          <w:rFonts w:ascii="宋体" w:hAnsi="宋体" w:cs="宋体"/>
          <w:color w:val="auto"/>
          <w:szCs w:val="24"/>
          <w:highlight w:val="none"/>
        </w:rPr>
      </w:pPr>
      <w:r>
        <w:rPr>
          <w:rFonts w:hint="eastAsia" w:ascii="宋体" w:hAnsi="宋体" w:cs="宋体"/>
          <w:color w:val="auto"/>
          <w:szCs w:val="24"/>
          <w:highlight w:val="none"/>
        </w:rPr>
        <w:t>集中供养的城乡特困人员的餐饮制作服务。</w:t>
      </w:r>
    </w:p>
    <w:p>
      <w:pPr>
        <w:numPr>
          <w:ilvl w:val="0"/>
          <w:numId w:val="3"/>
        </w:numPr>
        <w:tabs>
          <w:tab w:val="left" w:pos="180"/>
          <w:tab w:val="left" w:pos="360"/>
          <w:tab w:val="left" w:pos="8442"/>
        </w:tabs>
        <w:ind w:firstLineChars="0"/>
        <w:rPr>
          <w:rFonts w:ascii="宋体" w:hAnsi="宋体" w:cs="宋体"/>
          <w:color w:val="auto"/>
          <w:szCs w:val="24"/>
          <w:highlight w:val="none"/>
        </w:rPr>
      </w:pPr>
      <w:r>
        <w:rPr>
          <w:rFonts w:hint="eastAsia" w:ascii="宋体" w:hAnsi="宋体" w:cs="宋体"/>
          <w:color w:val="auto"/>
          <w:szCs w:val="24"/>
          <w:highlight w:val="none"/>
        </w:rPr>
        <w:t>区综合福利中心园区物业管理服务（日常养护、清洁绿化、安全保卫、消防等工作）。</w:t>
      </w:r>
    </w:p>
    <w:p>
      <w:pPr>
        <w:numPr>
          <w:ilvl w:val="0"/>
          <w:numId w:val="3"/>
        </w:numPr>
        <w:tabs>
          <w:tab w:val="left" w:pos="180"/>
          <w:tab w:val="left" w:pos="360"/>
          <w:tab w:val="left" w:pos="8442"/>
        </w:tabs>
        <w:ind w:firstLineChars="0"/>
        <w:rPr>
          <w:rFonts w:ascii="宋体" w:hAnsi="宋体" w:cs="宋体"/>
          <w:color w:val="auto"/>
          <w:szCs w:val="24"/>
          <w:highlight w:val="none"/>
        </w:rPr>
      </w:pPr>
      <w:r>
        <w:rPr>
          <w:rFonts w:hint="eastAsia" w:ascii="宋体" w:hAnsi="宋体" w:cs="宋体"/>
          <w:color w:val="auto"/>
          <w:szCs w:val="24"/>
          <w:highlight w:val="none"/>
        </w:rPr>
        <w:t>集中供养的城乡特困人员的康复训练、社会融入、能力提升、心理疏导和文化娱乐等其他服务。</w:t>
      </w:r>
    </w:p>
    <w:p>
      <w:pPr>
        <w:numPr>
          <w:ilvl w:val="0"/>
          <w:numId w:val="3"/>
        </w:numPr>
        <w:tabs>
          <w:tab w:val="left" w:pos="180"/>
          <w:tab w:val="left" w:pos="360"/>
          <w:tab w:val="left" w:pos="8442"/>
        </w:tabs>
        <w:ind w:firstLineChars="0"/>
        <w:rPr>
          <w:rFonts w:ascii="宋体" w:hAnsi="宋体" w:cs="宋体"/>
          <w:color w:val="auto"/>
          <w:szCs w:val="24"/>
          <w:highlight w:val="none"/>
        </w:rPr>
      </w:pPr>
      <w:r>
        <w:rPr>
          <w:rFonts w:hint="eastAsia" w:ascii="宋体" w:hAnsi="宋体" w:cs="宋体"/>
          <w:color w:val="auto"/>
          <w:szCs w:val="24"/>
          <w:highlight w:val="none"/>
        </w:rPr>
        <w:t>政策规定特困人员供养必要的其他服务。</w:t>
      </w:r>
    </w:p>
    <w:p>
      <w:pPr>
        <w:ind w:firstLine="492"/>
        <w:rPr>
          <w:rFonts w:ascii="宋体" w:hAnsi="宋体" w:cs="宋体"/>
          <w:color w:val="auto"/>
          <w:szCs w:val="24"/>
          <w:highlight w:val="none"/>
        </w:rPr>
      </w:pPr>
      <w:r>
        <w:rPr>
          <w:rFonts w:hint="eastAsia" w:ascii="宋体" w:hAnsi="宋体" w:cs="宋体"/>
          <w:color w:val="auto"/>
          <w:szCs w:val="24"/>
          <w:highlight w:val="none"/>
        </w:rPr>
        <w:t>服务内容和质量详见附件1-区综合社会福利中心集中供养特困人员服务采购内容与质量要求。</w:t>
      </w:r>
    </w:p>
    <w:p>
      <w:pPr>
        <w:pStyle w:val="4"/>
        <w:rPr>
          <w:rFonts w:cs="宋体"/>
          <w:color w:val="auto"/>
          <w:sz w:val="24"/>
          <w:szCs w:val="24"/>
          <w:highlight w:val="none"/>
        </w:rPr>
      </w:pPr>
      <w:bookmarkStart w:id="14" w:name="_Toc5872"/>
      <w:r>
        <w:rPr>
          <w:rFonts w:hint="eastAsia" w:cs="宋体"/>
          <w:color w:val="auto"/>
          <w:sz w:val="24"/>
          <w:szCs w:val="24"/>
          <w:highlight w:val="none"/>
        </w:rPr>
        <w:t>服务要求</w:t>
      </w:r>
      <w:bookmarkEnd w:id="14"/>
    </w:p>
    <w:p>
      <w:pPr>
        <w:pStyle w:val="5"/>
        <w:ind w:firstLine="494"/>
        <w:rPr>
          <w:rFonts w:cs="宋体"/>
          <w:color w:val="auto"/>
          <w:highlight w:val="none"/>
        </w:rPr>
      </w:pPr>
      <w:r>
        <w:rPr>
          <w:rFonts w:hint="eastAsia" w:cs="宋体"/>
          <w:color w:val="auto"/>
          <w:highlight w:val="none"/>
        </w:rPr>
        <w:t>管理运营模式</w:t>
      </w:r>
    </w:p>
    <w:p>
      <w:pPr>
        <w:numPr>
          <w:ilvl w:val="0"/>
          <w:numId w:val="4"/>
        </w:numPr>
        <w:adjustRightInd w:val="0"/>
        <w:snapToGrid w:val="0"/>
        <w:ind w:firstLineChars="0"/>
        <w:rPr>
          <w:rFonts w:ascii="宋体" w:hAnsi="宋体" w:cs="宋体"/>
          <w:color w:val="auto"/>
          <w:szCs w:val="24"/>
          <w:highlight w:val="none"/>
        </w:rPr>
      </w:pPr>
      <w:r>
        <w:rPr>
          <w:rFonts w:hint="eastAsia" w:ascii="宋体" w:hAnsi="宋体" w:cs="宋体"/>
          <w:color w:val="auto"/>
          <w:szCs w:val="24"/>
          <w:highlight w:val="none"/>
        </w:rPr>
        <w:t>根据“公建民营，管办分离，服务外包”原则，项目合同期间，项目管理实行独立核算、自负盈亏、自主经营、自主用工；关于服务内容、人员配备、内部管理、监督管理、资产管理等，按照城乡特困人员集中供养机构有关国家标准或行业标准执行。</w:t>
      </w:r>
    </w:p>
    <w:p>
      <w:pPr>
        <w:numPr>
          <w:ilvl w:val="0"/>
          <w:numId w:val="4"/>
        </w:numPr>
        <w:adjustRightInd w:val="0"/>
        <w:snapToGrid w:val="0"/>
        <w:ind w:firstLineChars="0"/>
        <w:rPr>
          <w:rFonts w:ascii="宋体" w:hAnsi="宋体" w:cs="宋体"/>
          <w:color w:val="auto"/>
          <w:szCs w:val="24"/>
          <w:highlight w:val="none"/>
        </w:rPr>
      </w:pPr>
      <w:r>
        <w:rPr>
          <w:rFonts w:hint="eastAsia" w:ascii="宋体" w:hAnsi="宋体" w:cs="宋体"/>
          <w:color w:val="auto"/>
          <w:szCs w:val="24"/>
          <w:highlight w:val="none"/>
        </w:rPr>
        <w:t>供应商独自承担管理过程中的债权债务和由此引发的经济、安全和法律责任；</w:t>
      </w:r>
    </w:p>
    <w:p>
      <w:pPr>
        <w:numPr>
          <w:ilvl w:val="0"/>
          <w:numId w:val="4"/>
        </w:numPr>
        <w:ind w:firstLineChars="0"/>
        <w:rPr>
          <w:rFonts w:ascii="宋体" w:hAnsi="宋体" w:cs="宋体"/>
          <w:color w:val="auto"/>
          <w:szCs w:val="24"/>
          <w:highlight w:val="none"/>
        </w:rPr>
      </w:pPr>
      <w:r>
        <w:rPr>
          <w:rFonts w:hint="eastAsia" w:ascii="宋体" w:hAnsi="宋体" w:cs="宋体"/>
          <w:color w:val="auto"/>
          <w:szCs w:val="24"/>
          <w:highlight w:val="none"/>
        </w:rPr>
        <w:t>区民政局代表区政府实施对龙泉驿区综合社会福利中心的监管权，供应商主动接受相应监管；同时接受发改、市场监管、卫健、安监、环保等部门依法监管；</w:t>
      </w:r>
    </w:p>
    <w:p>
      <w:pPr>
        <w:numPr>
          <w:ilvl w:val="0"/>
          <w:numId w:val="4"/>
        </w:numPr>
        <w:ind w:firstLineChars="0"/>
        <w:rPr>
          <w:rFonts w:ascii="宋体" w:hAnsi="宋体" w:cs="宋体"/>
          <w:color w:val="auto"/>
          <w:szCs w:val="24"/>
          <w:highlight w:val="none"/>
        </w:rPr>
      </w:pPr>
      <w:r>
        <w:rPr>
          <w:rFonts w:hint="eastAsia" w:ascii="宋体" w:hAnsi="宋体" w:cs="宋体"/>
          <w:color w:val="auto"/>
          <w:szCs w:val="24"/>
          <w:highlight w:val="none"/>
        </w:rPr>
        <w:t>运营方应保证全部设施设备处于良好运行状态，由此产生的全部费用由运营方自行承担。</w:t>
      </w:r>
    </w:p>
    <w:p>
      <w:pPr>
        <w:pStyle w:val="5"/>
        <w:ind w:firstLine="494"/>
        <w:rPr>
          <w:rFonts w:cs="宋体"/>
          <w:color w:val="auto"/>
          <w:highlight w:val="none"/>
        </w:rPr>
      </w:pPr>
      <w:r>
        <w:rPr>
          <w:rFonts w:hint="eastAsia" w:cs="宋体"/>
          <w:color w:val="auto"/>
          <w:highlight w:val="none"/>
        </w:rPr>
        <w:t>老年照顾专业服务</w:t>
      </w:r>
    </w:p>
    <w:p>
      <w:pPr>
        <w:pStyle w:val="2"/>
        <w:spacing w:line="360" w:lineRule="auto"/>
        <w:ind w:firstLine="492"/>
        <w:rPr>
          <w:rFonts w:ascii="宋体" w:hAnsi="宋体" w:cs="宋体"/>
          <w:color w:val="auto"/>
          <w:szCs w:val="24"/>
          <w:highlight w:val="none"/>
        </w:rPr>
      </w:pPr>
      <w:r>
        <w:rPr>
          <w:rFonts w:hint="eastAsia" w:ascii="宋体" w:hAnsi="宋体" w:cs="宋体"/>
          <w:color w:val="auto"/>
          <w:szCs w:val="24"/>
          <w:highlight w:val="none"/>
        </w:rPr>
        <w:t>供应商提供的服务应当符合养老机构基本规范等有关国家标准或者行业标准和规范（详见附件1）：</w:t>
      </w:r>
    </w:p>
    <w:p>
      <w:pPr>
        <w:pStyle w:val="2"/>
        <w:numPr>
          <w:ilvl w:val="0"/>
          <w:numId w:val="5"/>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应当提供满足老年人日常生活需求的吃饭、穿衣、如厕、洗澡、室内外活动等服务；</w:t>
      </w:r>
    </w:p>
    <w:p>
      <w:pPr>
        <w:pStyle w:val="2"/>
        <w:numPr>
          <w:ilvl w:val="0"/>
          <w:numId w:val="5"/>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应当提供符合老年人居住条件的住房，并配备适合老年人安全保护要求的设施、设备及用具，定期对老年人活动场所和物品进行消毒和清洗；</w:t>
      </w:r>
    </w:p>
    <w:p>
      <w:pPr>
        <w:pStyle w:val="2"/>
        <w:numPr>
          <w:ilvl w:val="0"/>
          <w:numId w:val="5"/>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提供的饮食应当符合卫生要求、有利于老年人营养平衡、符合民族风俗习惯；</w:t>
      </w:r>
    </w:p>
    <w:p>
      <w:pPr>
        <w:pStyle w:val="2"/>
        <w:numPr>
          <w:ilvl w:val="0"/>
          <w:numId w:val="5"/>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应当建立入院评估制度，做好老年人健康状况评估,并根据服务协议和老年人的生活自理能力，实施分级分类服务；</w:t>
      </w:r>
    </w:p>
    <w:p>
      <w:pPr>
        <w:pStyle w:val="2"/>
        <w:numPr>
          <w:ilvl w:val="0"/>
          <w:numId w:val="5"/>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 xml:space="preserve">应当为老年人建立健康档案，组织定期体检，做好疾病预防工作； </w:t>
      </w:r>
    </w:p>
    <w:p>
      <w:pPr>
        <w:pStyle w:val="2"/>
        <w:numPr>
          <w:ilvl w:val="0"/>
          <w:numId w:val="5"/>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在老年人突发危重疾病时，应当及时通知代理人或者经常联系人并转送医疗机构救治；发现老年人为疑似传染病病人或者精神障碍患者时，应当依照传染病防治、精神卫生等相关法律法规的规定处理；</w:t>
      </w:r>
    </w:p>
    <w:p>
      <w:pPr>
        <w:pStyle w:val="2"/>
        <w:numPr>
          <w:ilvl w:val="0"/>
          <w:numId w:val="5"/>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应当根据需要为老年人提供情绪疏导、心理咨询、危机干预等精神慰藉服务；</w:t>
      </w:r>
    </w:p>
    <w:p>
      <w:pPr>
        <w:pStyle w:val="2"/>
        <w:numPr>
          <w:ilvl w:val="0"/>
          <w:numId w:val="5"/>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应当开展适合老年人的文化、体育、娱乐活动，丰富老年人的精神文化生活；开展文化、体育、娱乐活动时，应当为老年人提供必要的安全防护措施。</w:t>
      </w:r>
    </w:p>
    <w:p>
      <w:pPr>
        <w:pStyle w:val="5"/>
        <w:ind w:firstLine="494"/>
        <w:rPr>
          <w:rFonts w:cs="宋体"/>
          <w:color w:val="auto"/>
          <w:highlight w:val="none"/>
        </w:rPr>
      </w:pPr>
      <w:r>
        <w:rPr>
          <w:rFonts w:hint="eastAsia" w:cs="宋体"/>
          <w:color w:val="auto"/>
          <w:highlight w:val="none"/>
        </w:rPr>
        <w:t>财务管理</w:t>
      </w:r>
    </w:p>
    <w:p>
      <w:pPr>
        <w:numPr>
          <w:ilvl w:val="0"/>
          <w:numId w:val="6"/>
        </w:numPr>
        <w:adjustRightInd w:val="0"/>
        <w:snapToGrid w:val="0"/>
        <w:ind w:firstLineChars="0"/>
        <w:rPr>
          <w:rFonts w:ascii="宋体" w:hAnsi="宋体" w:cs="宋体"/>
          <w:color w:val="auto"/>
          <w:szCs w:val="24"/>
          <w:highlight w:val="none"/>
        </w:rPr>
      </w:pPr>
      <w:r>
        <w:rPr>
          <w:rFonts w:hint="eastAsia" w:ascii="宋体" w:hAnsi="宋体" w:cs="宋体"/>
          <w:color w:val="auto"/>
          <w:szCs w:val="24"/>
          <w:highlight w:val="none"/>
        </w:rPr>
        <w:t>供应商必须严格遵守国家的财经纪律和财务制度，同时接受区民政局财务监督和审计部门审计；</w:t>
      </w:r>
    </w:p>
    <w:p>
      <w:pPr>
        <w:numPr>
          <w:ilvl w:val="0"/>
          <w:numId w:val="6"/>
        </w:numPr>
        <w:adjustRightInd w:val="0"/>
        <w:snapToGrid w:val="0"/>
        <w:ind w:firstLineChars="0"/>
        <w:rPr>
          <w:rFonts w:ascii="宋体" w:hAnsi="宋体" w:cs="宋体"/>
          <w:color w:val="auto"/>
          <w:szCs w:val="24"/>
          <w:highlight w:val="none"/>
        </w:rPr>
      </w:pPr>
      <w:r>
        <w:rPr>
          <w:rFonts w:hint="eastAsia" w:ascii="宋体" w:hAnsi="宋体" w:cs="宋体"/>
          <w:color w:val="auto"/>
          <w:szCs w:val="24"/>
          <w:highlight w:val="none"/>
        </w:rPr>
        <w:t>购买服务费用包含一定数额发展专项基金，主要用于维护、维修现有设施设备，打造养老空间和文化，添置易损耗材，加强人员培训，强化物业管理，移交后甲方不再另行支付维修费用。</w:t>
      </w:r>
    </w:p>
    <w:p>
      <w:pPr>
        <w:pStyle w:val="5"/>
        <w:ind w:firstLine="494"/>
        <w:rPr>
          <w:rFonts w:cs="宋体"/>
          <w:color w:val="auto"/>
          <w:highlight w:val="none"/>
        </w:rPr>
      </w:pPr>
      <w:r>
        <w:rPr>
          <w:rFonts w:hint="eastAsia" w:cs="宋体"/>
          <w:color w:val="auto"/>
          <w:highlight w:val="none"/>
        </w:rPr>
        <w:t>收费标准</w:t>
      </w:r>
    </w:p>
    <w:p>
      <w:pPr>
        <w:pStyle w:val="2"/>
        <w:spacing w:line="360" w:lineRule="auto"/>
        <w:ind w:firstLine="492"/>
        <w:rPr>
          <w:rFonts w:ascii="宋体" w:hAnsi="宋体" w:cs="宋体"/>
          <w:color w:val="auto"/>
          <w:szCs w:val="24"/>
          <w:highlight w:val="none"/>
        </w:rPr>
      </w:pPr>
      <w:r>
        <w:rPr>
          <w:rFonts w:hint="eastAsia" w:ascii="宋体" w:hAnsi="宋体" w:cs="宋体"/>
          <w:color w:val="auto"/>
          <w:szCs w:val="24"/>
          <w:highlight w:val="none"/>
        </w:rPr>
        <w:t>在保障特困人员供养的基础上，老年福利区（福利中心2号楼）剩余床位可向</w:t>
      </w:r>
      <w:r>
        <w:rPr>
          <w:rFonts w:hint="eastAsia" w:ascii="宋体" w:hAnsi="宋体" w:cs="宋体"/>
          <w:color w:val="auto"/>
          <w:szCs w:val="24"/>
          <w:highlight w:val="none"/>
          <w:lang w:val="en-US" w:eastAsia="zh-CN"/>
        </w:rPr>
        <w:t>龙泉驿区户籍</w:t>
      </w:r>
      <w:r>
        <w:rPr>
          <w:rFonts w:hint="eastAsia" w:ascii="宋体" w:hAnsi="宋体" w:cs="宋体"/>
          <w:color w:val="auto"/>
          <w:szCs w:val="24"/>
          <w:highlight w:val="none"/>
        </w:rPr>
        <w:t>低保、低保边缘、计划生育特殊家庭和重点优抚对象中的老年人开放，不得收取床位费，其他相关费用参照集中供养特困人员标准收取。</w:t>
      </w:r>
    </w:p>
    <w:p>
      <w:pPr>
        <w:pStyle w:val="2"/>
        <w:spacing w:line="360" w:lineRule="auto"/>
        <w:ind w:firstLine="494"/>
        <w:rPr>
          <w:rFonts w:ascii="宋体" w:hAnsi="宋体" w:cs="宋体"/>
          <w:b/>
          <w:bCs/>
          <w:color w:val="auto"/>
          <w:szCs w:val="24"/>
          <w:highlight w:val="none"/>
        </w:rPr>
      </w:pPr>
      <w:r>
        <w:rPr>
          <w:rFonts w:hint="eastAsia" w:ascii="宋体" w:hAnsi="宋体" w:cs="宋体"/>
          <w:b/>
          <w:bCs/>
          <w:color w:val="auto"/>
          <w:szCs w:val="24"/>
          <w:highlight w:val="none"/>
        </w:rPr>
        <w:t>★供应商投标时应在投标文件中对中标后按收费标准要求收费作出承诺。</w:t>
      </w:r>
    </w:p>
    <w:p>
      <w:pPr>
        <w:pStyle w:val="5"/>
        <w:ind w:firstLine="494"/>
        <w:rPr>
          <w:rFonts w:cs="宋体"/>
          <w:color w:val="auto"/>
          <w:highlight w:val="none"/>
        </w:rPr>
      </w:pPr>
      <w:r>
        <w:rPr>
          <w:rFonts w:hint="eastAsia" w:cs="宋体"/>
          <w:color w:val="auto"/>
          <w:highlight w:val="none"/>
        </w:rPr>
        <w:t>人员要求</w:t>
      </w:r>
    </w:p>
    <w:p>
      <w:pPr>
        <w:numPr>
          <w:ilvl w:val="0"/>
          <w:numId w:val="7"/>
        </w:numPr>
        <w:ind w:firstLineChars="0"/>
        <w:rPr>
          <w:rFonts w:ascii="宋体" w:hAnsi="宋体" w:cs="宋体"/>
          <w:color w:val="auto"/>
          <w:szCs w:val="24"/>
          <w:highlight w:val="none"/>
          <w:lang w:val="zh-TW"/>
        </w:rPr>
      </w:pPr>
      <w:r>
        <w:rPr>
          <w:rFonts w:hint="eastAsia" w:ascii="宋体" w:hAnsi="宋体" w:cs="宋体"/>
          <w:color w:val="auto"/>
          <w:szCs w:val="24"/>
          <w:highlight w:val="none"/>
        </w:rPr>
        <w:t>投标人</w:t>
      </w:r>
      <w:r>
        <w:rPr>
          <w:rFonts w:hint="eastAsia" w:ascii="宋体" w:hAnsi="宋体" w:cs="宋体"/>
          <w:color w:val="auto"/>
          <w:szCs w:val="24"/>
          <w:highlight w:val="none"/>
          <w:lang w:val="zh-TW"/>
        </w:rPr>
        <w:t>不得将项目转包给第三方机构。</w:t>
      </w:r>
    </w:p>
    <w:p>
      <w:pPr>
        <w:numPr>
          <w:ilvl w:val="0"/>
          <w:numId w:val="7"/>
        </w:numPr>
        <w:ind w:firstLineChars="0"/>
        <w:rPr>
          <w:rFonts w:ascii="宋体" w:hAnsi="宋体" w:cs="宋体"/>
          <w:color w:val="auto"/>
          <w:szCs w:val="24"/>
          <w:highlight w:val="none"/>
        </w:rPr>
      </w:pPr>
      <w:r>
        <w:rPr>
          <w:rFonts w:hint="eastAsia" w:ascii="宋体" w:hAnsi="宋体" w:cs="宋体"/>
          <w:color w:val="auto"/>
          <w:szCs w:val="24"/>
          <w:highlight w:val="none"/>
        </w:rPr>
        <w:t>投标人</w:t>
      </w:r>
      <w:r>
        <w:rPr>
          <w:rFonts w:hint="eastAsia" w:ascii="宋体" w:hAnsi="宋体" w:cs="宋体"/>
          <w:color w:val="auto"/>
          <w:szCs w:val="24"/>
          <w:highlight w:val="none"/>
          <w:lang w:val="zh-TW"/>
        </w:rPr>
        <w:t>必须合法用工，</w:t>
      </w:r>
      <w:r>
        <w:rPr>
          <w:rFonts w:hint="eastAsia" w:ascii="宋体" w:hAnsi="宋体" w:cs="宋体"/>
          <w:color w:val="auto"/>
          <w:szCs w:val="24"/>
          <w:highlight w:val="none"/>
        </w:rPr>
        <w:t>与</w:t>
      </w:r>
      <w:r>
        <w:rPr>
          <w:rFonts w:hint="eastAsia" w:ascii="宋体" w:hAnsi="宋体" w:cs="宋体"/>
          <w:color w:val="auto"/>
          <w:szCs w:val="24"/>
          <w:highlight w:val="none"/>
          <w:lang w:val="zh-TW"/>
        </w:rPr>
        <w:t>服务人员签订劳动合同</w:t>
      </w:r>
      <w:r>
        <w:rPr>
          <w:rFonts w:hint="eastAsia" w:ascii="宋体" w:hAnsi="宋体" w:cs="宋体"/>
          <w:color w:val="auto"/>
          <w:szCs w:val="24"/>
          <w:highlight w:val="none"/>
        </w:rPr>
        <w:t>或协议</w:t>
      </w:r>
      <w:r>
        <w:rPr>
          <w:rFonts w:hint="eastAsia" w:ascii="宋体" w:hAnsi="宋体" w:cs="宋体"/>
          <w:color w:val="auto"/>
          <w:szCs w:val="24"/>
          <w:highlight w:val="none"/>
          <w:lang w:val="zh-TW"/>
        </w:rPr>
        <w:t>。</w:t>
      </w:r>
    </w:p>
    <w:p>
      <w:pPr>
        <w:numPr>
          <w:ilvl w:val="0"/>
          <w:numId w:val="7"/>
        </w:numPr>
        <w:ind w:firstLineChars="0"/>
        <w:rPr>
          <w:rFonts w:ascii="宋体" w:hAnsi="宋体" w:cs="宋体"/>
          <w:color w:val="auto"/>
          <w:szCs w:val="24"/>
          <w:highlight w:val="none"/>
        </w:rPr>
      </w:pPr>
      <w:r>
        <w:rPr>
          <w:rFonts w:hint="eastAsia" w:ascii="宋体" w:hAnsi="宋体" w:cs="宋体"/>
          <w:color w:val="auto"/>
          <w:szCs w:val="24"/>
          <w:highlight w:val="none"/>
        </w:rPr>
        <w:t>★投标人拟为本项目配备的工作人员需提供三年内无犯罪、吸毒、精神病、暴力史的承诺或相关证明。</w:t>
      </w:r>
      <w:r>
        <w:rPr>
          <w:rFonts w:hint="eastAsia" w:ascii="宋体" w:hAnsi="宋体" w:cs="宋体"/>
          <w:b/>
          <w:bCs/>
          <w:color w:val="auto"/>
          <w:szCs w:val="24"/>
          <w:highlight w:val="none"/>
        </w:rPr>
        <w:t xml:space="preserve">（投标文件中提供承诺函） </w:t>
      </w:r>
    </w:p>
    <w:p>
      <w:pPr>
        <w:numPr>
          <w:ilvl w:val="0"/>
          <w:numId w:val="7"/>
        </w:numPr>
        <w:ind w:firstLineChars="0"/>
        <w:rPr>
          <w:rFonts w:ascii="宋体" w:hAnsi="宋体" w:cs="宋体"/>
          <w:color w:val="auto"/>
          <w:szCs w:val="24"/>
          <w:highlight w:val="none"/>
        </w:rPr>
      </w:pPr>
      <w:r>
        <w:rPr>
          <w:rFonts w:hint="eastAsia" w:ascii="宋体" w:hAnsi="宋体" w:cs="宋体"/>
          <w:color w:val="auto"/>
          <w:szCs w:val="24"/>
          <w:highlight w:val="none"/>
        </w:rPr>
        <w:t>★工作人员须持卫生防疫部门发放合格有效的健康证上岗；每年对从业人员进行健康检查一次，有传染病或疑似传染病人员不得上岗。从业人员完成新冠肺炎疫苗接种。（疫情期间，投标人应按采购人要求进行核酸检测，检测合格方可继续工作）</w:t>
      </w:r>
      <w:r>
        <w:rPr>
          <w:rFonts w:hint="eastAsia" w:ascii="宋体" w:hAnsi="宋体" w:cs="宋体"/>
          <w:b/>
          <w:bCs/>
          <w:color w:val="auto"/>
          <w:szCs w:val="24"/>
          <w:highlight w:val="none"/>
        </w:rPr>
        <w:t xml:space="preserve">（投标文件中提供承诺函） </w:t>
      </w:r>
      <w:r>
        <w:rPr>
          <w:rFonts w:hint="eastAsia" w:ascii="宋体" w:hAnsi="宋体" w:cs="宋体"/>
          <w:color w:val="auto"/>
          <w:szCs w:val="24"/>
          <w:highlight w:val="none"/>
        </w:rPr>
        <w:t xml:space="preserve"> </w:t>
      </w:r>
    </w:p>
    <w:p>
      <w:pPr>
        <w:numPr>
          <w:ilvl w:val="0"/>
          <w:numId w:val="7"/>
        </w:numPr>
        <w:ind w:firstLineChars="0"/>
        <w:rPr>
          <w:rFonts w:ascii="宋体" w:hAnsi="宋体" w:cs="宋体"/>
          <w:color w:val="auto"/>
          <w:szCs w:val="24"/>
          <w:highlight w:val="none"/>
        </w:rPr>
      </w:pPr>
      <w:r>
        <w:rPr>
          <w:rFonts w:hint="eastAsia" w:ascii="宋体" w:hAnsi="宋体" w:cs="宋体"/>
          <w:color w:val="auto"/>
          <w:szCs w:val="24"/>
          <w:highlight w:val="none"/>
        </w:rPr>
        <w:t>★按照《成都市民政局关于开展完善提升特困人员救助供养工作的通知》（〔2022〕-94号）要求，供应商应按照完全具备生活自理能力、部分具备生活自理能力、完全丧失生活自理能力的集中供养对象分别不低于10:1、6:1、3:1的比例配齐照料护理人员。</w:t>
      </w:r>
    </w:p>
    <w:p>
      <w:pPr>
        <w:pStyle w:val="5"/>
        <w:ind w:firstLine="494"/>
        <w:rPr>
          <w:rFonts w:cs="宋体"/>
          <w:color w:val="auto"/>
          <w:highlight w:val="none"/>
        </w:rPr>
      </w:pPr>
      <w:r>
        <w:rPr>
          <w:rFonts w:hint="eastAsia" w:cs="宋体"/>
          <w:color w:val="auto"/>
          <w:highlight w:val="none"/>
        </w:rPr>
        <w:t>安全要求</w:t>
      </w:r>
    </w:p>
    <w:p>
      <w:pPr>
        <w:numPr>
          <w:ilvl w:val="0"/>
          <w:numId w:val="8"/>
        </w:numPr>
        <w:ind w:firstLineChars="0"/>
        <w:rPr>
          <w:rFonts w:ascii="宋体" w:hAnsi="宋体" w:cs="宋体"/>
          <w:color w:val="auto"/>
          <w:szCs w:val="24"/>
          <w:highlight w:val="none"/>
        </w:rPr>
      </w:pPr>
      <w:r>
        <w:rPr>
          <w:rFonts w:hint="eastAsia" w:ascii="宋体" w:hAnsi="宋体" w:cs="宋体"/>
          <w:color w:val="auto"/>
          <w:szCs w:val="24"/>
          <w:highlight w:val="none"/>
        </w:rPr>
        <w:t>★投标人应投保养老机构床位责任险等，降低机构运营风险；</w:t>
      </w:r>
      <w:r>
        <w:rPr>
          <w:rFonts w:hint="eastAsia" w:ascii="宋体" w:hAnsi="宋体" w:cs="宋体"/>
          <w:b/>
          <w:bCs/>
          <w:color w:val="auto"/>
          <w:szCs w:val="24"/>
          <w:highlight w:val="none"/>
        </w:rPr>
        <w:t>（投标文件中提供承诺函）</w:t>
      </w:r>
    </w:p>
    <w:p>
      <w:pPr>
        <w:numPr>
          <w:ilvl w:val="0"/>
          <w:numId w:val="8"/>
        </w:numPr>
        <w:ind w:firstLineChars="0"/>
        <w:rPr>
          <w:rFonts w:ascii="宋体" w:hAnsi="宋体" w:cs="宋体"/>
          <w:color w:val="auto"/>
          <w:szCs w:val="24"/>
          <w:highlight w:val="none"/>
        </w:rPr>
      </w:pPr>
      <w:r>
        <w:rPr>
          <w:rFonts w:hint="eastAsia" w:ascii="宋体" w:hAnsi="宋体" w:cs="宋体"/>
          <w:color w:val="auto"/>
          <w:szCs w:val="24"/>
          <w:highlight w:val="none"/>
        </w:rPr>
        <w:t>★投标人应按国家规定为员工购买相关保险，在工作中发生的安全事故或不良事件，由投标人承担一切责任。</w:t>
      </w:r>
      <w:r>
        <w:rPr>
          <w:rFonts w:hint="eastAsia" w:ascii="宋体" w:hAnsi="宋体" w:cs="宋体"/>
          <w:b/>
          <w:bCs/>
          <w:color w:val="auto"/>
          <w:szCs w:val="24"/>
          <w:highlight w:val="none"/>
        </w:rPr>
        <w:t>（投标文件中提供承诺函）</w:t>
      </w:r>
    </w:p>
    <w:p>
      <w:pPr>
        <w:pStyle w:val="5"/>
        <w:ind w:firstLine="494"/>
        <w:rPr>
          <w:rFonts w:cs="宋体"/>
          <w:color w:val="auto"/>
          <w:highlight w:val="none"/>
        </w:rPr>
      </w:pPr>
      <w:r>
        <w:rPr>
          <w:rFonts w:hint="eastAsia" w:cs="宋体"/>
          <w:color w:val="auto"/>
          <w:highlight w:val="none"/>
        </w:rPr>
        <w:t>内部管理</w:t>
      </w:r>
    </w:p>
    <w:p>
      <w:pPr>
        <w:pStyle w:val="2"/>
        <w:numPr>
          <w:ilvl w:val="0"/>
          <w:numId w:val="9"/>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供应商应当按照国家有关规定建立健全安全、消防、卫生、财务、档案管理等规章制度，制定服务标准和工作流程，并予以公开；</w:t>
      </w:r>
    </w:p>
    <w:p>
      <w:pPr>
        <w:pStyle w:val="2"/>
        <w:numPr>
          <w:ilvl w:val="0"/>
          <w:numId w:val="9"/>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应当实行24小时值班，做好老年人安全保障工作；</w:t>
      </w:r>
    </w:p>
    <w:p>
      <w:pPr>
        <w:pStyle w:val="2"/>
        <w:numPr>
          <w:ilvl w:val="0"/>
          <w:numId w:val="9"/>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应当依法履行消防安全职责，健全消防安全管理制度，实行消防工作责任制，配置、维护消防设施、器材，开展日常防火检查,定期组织灭火和应急疏散消防安全培训；</w:t>
      </w:r>
    </w:p>
    <w:p>
      <w:pPr>
        <w:pStyle w:val="2"/>
        <w:numPr>
          <w:ilvl w:val="0"/>
          <w:numId w:val="9"/>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应当制定突发事件应急预案；突发事件发生后，应当立即启动应急处理程序，根据突发事件应对管理职责分工向有关部门报告，并将应急处理结果报实施许可的民政部门和住所地民政部门；</w:t>
      </w:r>
    </w:p>
    <w:p>
      <w:pPr>
        <w:pStyle w:val="2"/>
        <w:numPr>
          <w:ilvl w:val="0"/>
          <w:numId w:val="9"/>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应当建立老年人信息档案，妥善保存相关原始资料，应当保护老年人的个人信息。</w:t>
      </w:r>
    </w:p>
    <w:p>
      <w:pPr>
        <w:pStyle w:val="5"/>
        <w:ind w:firstLine="494"/>
        <w:rPr>
          <w:rFonts w:cs="宋体"/>
          <w:color w:val="auto"/>
          <w:highlight w:val="none"/>
        </w:rPr>
      </w:pPr>
      <w:r>
        <w:rPr>
          <w:rFonts w:hint="eastAsia" w:cs="宋体"/>
          <w:color w:val="auto"/>
          <w:highlight w:val="none"/>
        </w:rPr>
        <w:t>资产管理</w:t>
      </w:r>
    </w:p>
    <w:p>
      <w:pPr>
        <w:pStyle w:val="2"/>
        <w:numPr>
          <w:ilvl w:val="0"/>
          <w:numId w:val="10"/>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区民政部门按照国有资产管理办法对资产进行管理，负责对资产进行清产核资、登记造册，并加强监管，确保国有资产不流失；</w:t>
      </w:r>
    </w:p>
    <w:p>
      <w:pPr>
        <w:pStyle w:val="2"/>
        <w:numPr>
          <w:ilvl w:val="0"/>
          <w:numId w:val="10"/>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供应商负责按照国家相关标准和规定对福利中心进行建设、运营，并对固定资产进行日常管理维护，不得从事养老供养服务以外的经营活动，不得出租、出借、处置养老机构国有资产，不得以养老机构国有资产进行抵押、融资、贷款等活动。</w:t>
      </w:r>
    </w:p>
    <w:p>
      <w:pPr>
        <w:pStyle w:val="5"/>
        <w:ind w:firstLine="494"/>
        <w:rPr>
          <w:rFonts w:cs="宋体"/>
          <w:color w:val="auto"/>
          <w:highlight w:val="none"/>
        </w:rPr>
      </w:pPr>
      <w:r>
        <w:rPr>
          <w:rFonts w:hint="eastAsia" w:cs="宋体"/>
          <w:color w:val="auto"/>
          <w:highlight w:val="none"/>
        </w:rPr>
        <w:t>退出安置</w:t>
      </w:r>
    </w:p>
    <w:p>
      <w:pPr>
        <w:pStyle w:val="2"/>
        <w:spacing w:line="360" w:lineRule="auto"/>
        <w:ind w:firstLine="492"/>
        <w:rPr>
          <w:rFonts w:ascii="宋体" w:hAnsi="宋体" w:cs="宋体"/>
          <w:color w:val="auto"/>
          <w:szCs w:val="24"/>
          <w:highlight w:val="none"/>
        </w:rPr>
      </w:pPr>
      <w:r>
        <w:rPr>
          <w:rFonts w:hint="eastAsia" w:ascii="宋体" w:hAnsi="宋体" w:cs="宋体"/>
          <w:color w:val="auto"/>
          <w:szCs w:val="24"/>
          <w:highlight w:val="none"/>
        </w:rPr>
        <w:t>供应商因变更或者终止等原因暂停、终止服务的，应当于暂停或者终止服务6个月前，向区民政局提交移交方案，方案中应当明确收住老年人的数量、移交计划及实施日期等事项，经批准后方可实施。</w:t>
      </w:r>
    </w:p>
    <w:p>
      <w:pPr>
        <w:pStyle w:val="4"/>
        <w:rPr>
          <w:rFonts w:cs="宋体"/>
          <w:color w:val="auto"/>
          <w:sz w:val="24"/>
          <w:szCs w:val="24"/>
          <w:highlight w:val="none"/>
        </w:rPr>
      </w:pPr>
      <w:bookmarkStart w:id="15" w:name="_Toc8857"/>
      <w:r>
        <w:rPr>
          <w:rFonts w:hint="eastAsia" w:cs="宋体"/>
          <w:color w:val="auto"/>
          <w:sz w:val="24"/>
          <w:szCs w:val="24"/>
          <w:highlight w:val="none"/>
        </w:rPr>
        <w:t>考核办法</w:t>
      </w:r>
      <w:bookmarkEnd w:id="15"/>
    </w:p>
    <w:p>
      <w:pPr>
        <w:numPr>
          <w:ilvl w:val="0"/>
          <w:numId w:val="11"/>
        </w:numPr>
        <w:ind w:firstLineChars="0"/>
        <w:rPr>
          <w:rFonts w:ascii="宋体" w:hAnsi="宋体" w:cs="宋体"/>
          <w:color w:val="auto"/>
          <w:szCs w:val="24"/>
          <w:highlight w:val="none"/>
        </w:rPr>
      </w:pPr>
      <w:r>
        <w:rPr>
          <w:rFonts w:hint="eastAsia" w:ascii="宋体" w:hAnsi="宋体" w:cs="宋体"/>
          <w:color w:val="auto"/>
          <w:szCs w:val="24"/>
          <w:highlight w:val="none"/>
        </w:rPr>
        <w:t>成都市龙泉驿区综合社会福利中心管理运营与集中供养特困人员服务采购项目，采取“一年一考核”的方式，开展项目评估。由区民政局委托第三方评估机构开展全面、系统的监督考核，评估内容包括服务质量、服务指标完成情况、服务对象满意度、员工满意度、社会反响等，对存在问题提出改进建议，并要求限期整改。</w:t>
      </w:r>
      <w:r>
        <w:rPr>
          <w:rFonts w:hint="eastAsia" w:ascii="宋体" w:hAnsi="宋体" w:cs="宋体"/>
          <w:color w:val="auto"/>
          <w:szCs w:val="24"/>
          <w:highlight w:val="none"/>
          <w:lang w:eastAsia="zh-CN"/>
        </w:rPr>
        <w:t>（</w:t>
      </w:r>
      <w:r>
        <w:rPr>
          <w:rFonts w:hint="eastAsia" w:ascii="宋体" w:hAnsi="宋体" w:cs="宋体"/>
          <w:color w:val="auto"/>
          <w:szCs w:val="24"/>
          <w:highlight w:val="none"/>
          <w:lang w:val="en-US" w:eastAsia="zh-CN"/>
        </w:rPr>
        <w:t>考核标准详见附件2</w:t>
      </w:r>
      <w:r>
        <w:rPr>
          <w:rFonts w:hint="eastAsia" w:ascii="宋体" w:hAnsi="宋体" w:cs="宋体"/>
          <w:color w:val="auto"/>
          <w:szCs w:val="24"/>
          <w:highlight w:val="none"/>
          <w:lang w:eastAsia="zh-CN"/>
        </w:rPr>
        <w:t>）</w:t>
      </w:r>
    </w:p>
    <w:p>
      <w:pPr>
        <w:pStyle w:val="2"/>
        <w:numPr>
          <w:ilvl w:val="0"/>
          <w:numId w:val="11"/>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年度考核资金为当年签订总合同金额的5%。考核得分为90分以上确定为“优秀”，考核得分80-89确定为“良好”，考核评价为良好及以上的拨付年度考核资金的100%。考核70-79分确定为“合格”，拨付年度考核资金的80%，考核金额的20%不再拨付。考核得分60-69分确定为“不合格”，要求供应商1个月完成整改，整改后拨付年度考核资金的60%，考核金额的40%不再拨付。整改不合格的，年度考核资金不予拨付，甲方有权单方面终止合同且有权向中标供应商追偿违约金。</w:t>
      </w:r>
    </w:p>
    <w:p>
      <w:pPr>
        <w:pStyle w:val="2"/>
        <w:numPr>
          <w:ilvl w:val="0"/>
          <w:numId w:val="11"/>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供应商有下列行为之一的，由区民政局责令改正，并严格履约；情节严重构成犯罪的，依法追究刑事责任：</w:t>
      </w:r>
    </w:p>
    <w:p>
      <w:pPr>
        <w:pStyle w:val="2"/>
        <w:numPr>
          <w:ilvl w:val="0"/>
          <w:numId w:val="12"/>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未与老年人或者其代理人签订服务协议，或者协议不符合规定的；</w:t>
      </w:r>
    </w:p>
    <w:p>
      <w:pPr>
        <w:pStyle w:val="2"/>
        <w:numPr>
          <w:ilvl w:val="0"/>
          <w:numId w:val="12"/>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未按照国家有关标准和规定开展服务的；</w:t>
      </w:r>
    </w:p>
    <w:p>
      <w:pPr>
        <w:pStyle w:val="2"/>
        <w:numPr>
          <w:ilvl w:val="0"/>
          <w:numId w:val="12"/>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配备人员的资格不符合规定的；</w:t>
      </w:r>
    </w:p>
    <w:p>
      <w:pPr>
        <w:pStyle w:val="2"/>
        <w:numPr>
          <w:ilvl w:val="0"/>
          <w:numId w:val="12"/>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隐瞒有关服务提供情况、提供虚假材料或者拒绝提供反映其活动情况真实材料的；</w:t>
      </w:r>
    </w:p>
    <w:p>
      <w:pPr>
        <w:pStyle w:val="2"/>
        <w:numPr>
          <w:ilvl w:val="0"/>
          <w:numId w:val="12"/>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利用养老机构的房屋、场地、设施开展与养老服务宗旨无关的活动的；</w:t>
      </w:r>
    </w:p>
    <w:p>
      <w:pPr>
        <w:pStyle w:val="2"/>
        <w:numPr>
          <w:ilvl w:val="0"/>
          <w:numId w:val="12"/>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歧视、侮辱、虐待或遗弃老年人以及其他侵犯老年人合法权益行为的；</w:t>
      </w:r>
    </w:p>
    <w:p>
      <w:pPr>
        <w:pStyle w:val="2"/>
        <w:numPr>
          <w:ilvl w:val="0"/>
          <w:numId w:val="12"/>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擅自暂停或者终止服务的；</w:t>
      </w:r>
    </w:p>
    <w:p>
      <w:pPr>
        <w:pStyle w:val="2"/>
        <w:numPr>
          <w:ilvl w:val="0"/>
          <w:numId w:val="12"/>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服务对象及家属满意率未达到65%的；</w:t>
      </w:r>
    </w:p>
    <w:p>
      <w:pPr>
        <w:pStyle w:val="2"/>
        <w:numPr>
          <w:ilvl w:val="0"/>
          <w:numId w:val="12"/>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法律、法规、规章规定的其他违法行为。</w:t>
      </w:r>
    </w:p>
    <w:p>
      <w:pPr>
        <w:pStyle w:val="2"/>
        <w:numPr>
          <w:ilvl w:val="0"/>
          <w:numId w:val="11"/>
        </w:numPr>
        <w:spacing w:line="360" w:lineRule="auto"/>
        <w:ind w:firstLineChars="0"/>
        <w:rPr>
          <w:rFonts w:ascii="宋体" w:hAnsi="宋体" w:cs="宋体"/>
          <w:color w:val="auto"/>
          <w:szCs w:val="24"/>
          <w:highlight w:val="none"/>
        </w:rPr>
      </w:pPr>
      <w:r>
        <w:rPr>
          <w:rFonts w:hint="eastAsia" w:ascii="宋体" w:hAnsi="宋体" w:cs="宋体"/>
          <w:color w:val="auto"/>
          <w:szCs w:val="24"/>
          <w:highlight w:val="none"/>
        </w:rPr>
        <w:t>申诉与复核</w:t>
      </w:r>
    </w:p>
    <w:p>
      <w:pPr>
        <w:pStyle w:val="2"/>
        <w:spacing w:line="360" w:lineRule="auto"/>
        <w:ind w:firstLine="492"/>
        <w:rPr>
          <w:rFonts w:ascii="宋体" w:hAnsi="宋体" w:cs="宋体"/>
          <w:color w:val="auto"/>
          <w:szCs w:val="24"/>
          <w:highlight w:val="none"/>
        </w:rPr>
      </w:pPr>
      <w:r>
        <w:rPr>
          <w:rFonts w:hint="eastAsia" w:ascii="宋体" w:hAnsi="宋体" w:cs="宋体"/>
          <w:color w:val="auto"/>
          <w:szCs w:val="24"/>
          <w:highlight w:val="none"/>
        </w:rPr>
        <w:t>区民政局应当在考核评估结束后，向供应商通报评估结果，并接受供应商的申诉。区民政局须在受理申诉后的30日内，组织专门工作小组进行复核，复核结果为最终结果，向社会进行公布。</w:t>
      </w:r>
    </w:p>
    <w:p>
      <w:pPr>
        <w:pStyle w:val="4"/>
        <w:rPr>
          <w:rFonts w:cs="宋体"/>
          <w:color w:val="auto"/>
          <w:sz w:val="24"/>
          <w:szCs w:val="24"/>
          <w:highlight w:val="none"/>
        </w:rPr>
      </w:pPr>
      <w:bookmarkStart w:id="16" w:name="_Toc23759"/>
      <w:r>
        <w:rPr>
          <w:rFonts w:hint="eastAsia" w:cs="宋体"/>
          <w:color w:val="auto"/>
          <w:sz w:val="24"/>
          <w:szCs w:val="24"/>
          <w:highlight w:val="none"/>
        </w:rPr>
        <w:t>供应商的权利和义务</w:t>
      </w:r>
      <w:bookmarkEnd w:id="16"/>
    </w:p>
    <w:p>
      <w:pPr>
        <w:numPr>
          <w:ilvl w:val="0"/>
          <w:numId w:val="13"/>
        </w:numPr>
        <w:ind w:firstLineChars="0"/>
        <w:rPr>
          <w:rFonts w:ascii="宋体" w:hAnsi="宋体" w:cs="宋体"/>
          <w:color w:val="auto"/>
          <w:szCs w:val="24"/>
          <w:highlight w:val="none"/>
        </w:rPr>
      </w:pPr>
      <w:r>
        <w:rPr>
          <w:rFonts w:hint="eastAsia" w:ascii="宋体" w:hAnsi="宋体" w:cs="宋体"/>
          <w:color w:val="auto"/>
          <w:szCs w:val="24"/>
          <w:highlight w:val="none"/>
        </w:rPr>
        <w:t>供应商按投标结果收取购买服务费用并接受采购人考核评估。为确保财政资金安全，服务费用按月支付。</w:t>
      </w:r>
    </w:p>
    <w:p>
      <w:pPr>
        <w:numPr>
          <w:ilvl w:val="0"/>
          <w:numId w:val="13"/>
        </w:numPr>
        <w:ind w:firstLineChars="0"/>
        <w:rPr>
          <w:rFonts w:ascii="宋体" w:hAnsi="宋体" w:cs="宋体"/>
          <w:color w:val="auto"/>
          <w:szCs w:val="24"/>
          <w:highlight w:val="none"/>
        </w:rPr>
      </w:pPr>
      <w:r>
        <w:rPr>
          <w:rFonts w:hint="eastAsia" w:ascii="宋体" w:hAnsi="宋体" w:cs="宋体"/>
          <w:color w:val="auto"/>
          <w:szCs w:val="24"/>
          <w:highlight w:val="none"/>
        </w:rPr>
        <w:t>为确保人才队伍稳定，供应商应代管</w:t>
      </w:r>
      <w:r>
        <w:rPr>
          <w:rFonts w:hint="eastAsia" w:ascii="宋体" w:hAnsi="宋体" w:cs="宋体"/>
          <w:color w:val="auto"/>
          <w:szCs w:val="24"/>
          <w:highlight w:val="none"/>
          <w:lang w:val="en-US" w:eastAsia="zh-CN"/>
        </w:rPr>
        <w:t>现有的</w:t>
      </w:r>
      <w:r>
        <w:rPr>
          <w:rFonts w:hint="eastAsia" w:ascii="宋体" w:hAnsi="宋体" w:cs="宋体"/>
          <w:color w:val="auto"/>
          <w:szCs w:val="24"/>
          <w:highlight w:val="none"/>
        </w:rPr>
        <w:t>由</w:t>
      </w:r>
      <w:r>
        <w:rPr>
          <w:rFonts w:hint="eastAsia" w:ascii="宋体" w:hAnsi="宋体" w:cs="宋体"/>
          <w:color w:val="auto"/>
          <w:szCs w:val="24"/>
          <w:highlight w:val="none"/>
          <w:lang w:val="en-US" w:eastAsia="zh-CN"/>
        </w:rPr>
        <w:t>上海人才（西部）有限公司</w:t>
      </w:r>
      <w:r>
        <w:rPr>
          <w:rFonts w:hint="eastAsia" w:ascii="宋体" w:hAnsi="宋体" w:cs="宋体"/>
          <w:color w:val="auto"/>
          <w:szCs w:val="24"/>
          <w:highlight w:val="none"/>
        </w:rPr>
        <w:t>派遣</w:t>
      </w:r>
      <w:r>
        <w:rPr>
          <w:rFonts w:hint="eastAsia" w:ascii="宋体" w:hAnsi="宋体" w:cs="宋体"/>
          <w:color w:val="auto"/>
          <w:szCs w:val="24"/>
          <w:highlight w:val="none"/>
          <w:lang w:val="en-US" w:eastAsia="zh-CN"/>
        </w:rPr>
        <w:t>龙泉驿区敬老养老中心</w:t>
      </w:r>
      <w:r>
        <w:rPr>
          <w:rFonts w:hint="eastAsia" w:ascii="宋体" w:hAnsi="宋体" w:cs="宋体"/>
          <w:color w:val="auto"/>
          <w:szCs w:val="24"/>
          <w:highlight w:val="none"/>
        </w:rPr>
        <w:t>的工作人员，劳资关系保持不变。</w:t>
      </w:r>
    </w:p>
    <w:p>
      <w:pPr>
        <w:numPr>
          <w:ilvl w:val="0"/>
          <w:numId w:val="13"/>
        </w:numPr>
        <w:ind w:firstLineChars="0"/>
        <w:rPr>
          <w:rFonts w:ascii="宋体" w:hAnsi="宋体" w:cs="宋体"/>
          <w:color w:val="auto"/>
          <w:szCs w:val="24"/>
          <w:highlight w:val="none"/>
        </w:rPr>
      </w:pPr>
      <w:r>
        <w:rPr>
          <w:rFonts w:hint="eastAsia" w:ascii="宋体" w:hAnsi="宋体" w:cs="宋体"/>
          <w:color w:val="auto"/>
          <w:szCs w:val="24"/>
          <w:highlight w:val="none"/>
        </w:rPr>
        <w:t>监督方面：依法接受民政、人社、卫生、市场监管、安监等部门监管。</w:t>
      </w:r>
    </w:p>
    <w:p>
      <w:pPr>
        <w:numPr>
          <w:ilvl w:val="0"/>
          <w:numId w:val="13"/>
        </w:numPr>
        <w:ind w:firstLineChars="0"/>
        <w:rPr>
          <w:rFonts w:ascii="宋体" w:hAnsi="宋体" w:cs="宋体"/>
          <w:color w:val="auto"/>
          <w:szCs w:val="24"/>
          <w:highlight w:val="none"/>
        </w:rPr>
      </w:pPr>
      <w:r>
        <w:rPr>
          <w:rFonts w:hint="eastAsia" w:ascii="宋体" w:hAnsi="宋体" w:cs="宋体"/>
          <w:color w:val="auto"/>
          <w:szCs w:val="24"/>
          <w:highlight w:val="none"/>
        </w:rPr>
        <w:t>资产管理</w:t>
      </w:r>
    </w:p>
    <w:p>
      <w:pPr>
        <w:numPr>
          <w:ilvl w:val="0"/>
          <w:numId w:val="14"/>
        </w:numPr>
        <w:ind w:firstLineChars="0"/>
        <w:rPr>
          <w:rFonts w:ascii="宋体" w:hAnsi="宋体" w:cs="宋体"/>
          <w:color w:val="auto"/>
          <w:szCs w:val="24"/>
          <w:highlight w:val="none"/>
        </w:rPr>
      </w:pPr>
      <w:r>
        <w:rPr>
          <w:rFonts w:hint="eastAsia" w:ascii="宋体" w:hAnsi="宋体" w:cs="宋体"/>
          <w:color w:val="auto"/>
          <w:szCs w:val="24"/>
          <w:highlight w:val="none"/>
        </w:rPr>
        <w:t>采购人按照国有资产管理办法对区综合福利中心的资产进行管理，负责对资产进行清产核资、登记造册，并加强监管，确保国有资产不流失。</w:t>
      </w:r>
    </w:p>
    <w:p>
      <w:pPr>
        <w:numPr>
          <w:ilvl w:val="0"/>
          <w:numId w:val="14"/>
        </w:numPr>
        <w:ind w:firstLineChars="0"/>
        <w:rPr>
          <w:rFonts w:ascii="宋体" w:hAnsi="宋体" w:cs="宋体"/>
          <w:color w:val="auto"/>
          <w:highlight w:val="none"/>
        </w:rPr>
      </w:pPr>
      <w:r>
        <w:rPr>
          <w:rFonts w:hint="eastAsia" w:ascii="宋体" w:hAnsi="宋体" w:cs="宋体"/>
          <w:color w:val="auto"/>
          <w:szCs w:val="24"/>
          <w:highlight w:val="none"/>
        </w:rPr>
        <w:t>服务供应商负责按照国家相关标准和规定对区综合福利中心管理运营，并对固定资产进行日常管理维护，不得从事与中心无关活动，不得出租、出借、处置综合福利中心的国有资产，不得以综合福利中心的国有资产进行抵押、融资、贷款等活动。</w:t>
      </w:r>
    </w:p>
    <w:bookmarkEnd w:id="11"/>
    <w:p>
      <w:pPr>
        <w:pStyle w:val="4"/>
        <w:tabs>
          <w:tab w:val="left" w:pos="426"/>
          <w:tab w:val="left" w:pos="567"/>
        </w:tabs>
        <w:rPr>
          <w:rFonts w:cs="宋体"/>
          <w:color w:val="auto"/>
          <w:sz w:val="24"/>
          <w:szCs w:val="24"/>
          <w:highlight w:val="none"/>
        </w:rPr>
      </w:pPr>
      <w:bookmarkStart w:id="17" w:name="_Toc20219"/>
      <w:bookmarkStart w:id="18" w:name="_Toc20871"/>
      <w:r>
        <w:rPr>
          <w:rFonts w:hint="eastAsia" w:cs="宋体"/>
          <w:color w:val="auto"/>
          <w:sz w:val="24"/>
          <w:szCs w:val="24"/>
          <w:highlight w:val="none"/>
        </w:rPr>
        <w:t>商务要求</w:t>
      </w:r>
      <w:bookmarkEnd w:id="17"/>
      <w:bookmarkEnd w:id="18"/>
    </w:p>
    <w:p>
      <w:pPr>
        <w:pStyle w:val="5"/>
        <w:ind w:firstLine="494"/>
        <w:rPr>
          <w:rFonts w:cs="宋体"/>
          <w:color w:val="auto"/>
          <w:szCs w:val="24"/>
          <w:highlight w:val="none"/>
        </w:rPr>
      </w:pPr>
      <w:r>
        <w:rPr>
          <w:rFonts w:hint="eastAsia" w:cs="宋体"/>
          <w:color w:val="auto"/>
          <w:szCs w:val="24"/>
          <w:highlight w:val="none"/>
        </w:rPr>
        <w:t>服务期限</w:t>
      </w:r>
    </w:p>
    <w:p>
      <w:pPr>
        <w:ind w:firstLine="492"/>
        <w:rPr>
          <w:rFonts w:ascii="宋体" w:hAnsi="宋体" w:cs="宋体"/>
          <w:bCs/>
          <w:color w:val="auto"/>
          <w:szCs w:val="24"/>
          <w:highlight w:val="none"/>
        </w:rPr>
      </w:pPr>
      <w:r>
        <w:rPr>
          <w:rFonts w:hint="eastAsia" w:ascii="宋体" w:hAnsi="宋体" w:cs="宋体"/>
          <w:bCs/>
          <w:color w:val="auto"/>
          <w:szCs w:val="24"/>
          <w:highlight w:val="none"/>
        </w:rPr>
        <w:t>合同签订后三年，合同一年一签，考核合格后续签。</w:t>
      </w:r>
    </w:p>
    <w:p>
      <w:pPr>
        <w:pStyle w:val="5"/>
        <w:ind w:firstLine="494"/>
        <w:rPr>
          <w:rFonts w:cs="宋体"/>
          <w:color w:val="auto"/>
          <w:szCs w:val="24"/>
          <w:highlight w:val="none"/>
        </w:rPr>
      </w:pPr>
      <w:r>
        <w:rPr>
          <w:rFonts w:hint="eastAsia" w:cs="宋体"/>
          <w:color w:val="auto"/>
          <w:szCs w:val="24"/>
          <w:highlight w:val="none"/>
        </w:rPr>
        <w:t>服务范围</w:t>
      </w:r>
    </w:p>
    <w:p>
      <w:pPr>
        <w:pStyle w:val="2"/>
        <w:spacing w:line="360" w:lineRule="auto"/>
        <w:ind w:firstLine="492"/>
        <w:rPr>
          <w:rFonts w:ascii="宋体" w:hAnsi="宋体" w:cs="宋体"/>
          <w:color w:val="auto"/>
          <w:szCs w:val="24"/>
          <w:highlight w:val="none"/>
        </w:rPr>
      </w:pPr>
      <w:r>
        <w:rPr>
          <w:rFonts w:hint="eastAsia" w:ascii="宋体" w:hAnsi="宋体" w:cs="宋体"/>
          <w:bCs/>
          <w:color w:val="auto"/>
          <w:szCs w:val="24"/>
          <w:highlight w:val="none"/>
        </w:rPr>
        <w:t>采购人指定地点。</w:t>
      </w:r>
    </w:p>
    <w:p>
      <w:pPr>
        <w:pStyle w:val="5"/>
        <w:ind w:firstLine="494"/>
        <w:rPr>
          <w:rFonts w:cs="宋体"/>
          <w:color w:val="auto"/>
          <w:szCs w:val="24"/>
          <w:highlight w:val="none"/>
        </w:rPr>
      </w:pPr>
      <w:r>
        <w:rPr>
          <w:rFonts w:hint="eastAsia" w:cs="宋体"/>
          <w:bCs w:val="0"/>
          <w:color w:val="auto"/>
          <w:szCs w:val="24"/>
          <w:highlight w:val="none"/>
        </w:rPr>
        <w:t>付款方式</w:t>
      </w:r>
    </w:p>
    <w:p>
      <w:pPr>
        <w:ind w:firstLine="492"/>
        <w:rPr>
          <w:rFonts w:ascii="宋体" w:hAnsi="宋体" w:cs="宋体"/>
          <w:bCs/>
          <w:color w:val="auto"/>
          <w:szCs w:val="24"/>
          <w:highlight w:val="none"/>
        </w:rPr>
      </w:pPr>
      <w:r>
        <w:rPr>
          <w:rFonts w:hint="eastAsia" w:ascii="宋体" w:hAnsi="宋体" w:cs="宋体"/>
          <w:bCs/>
          <w:color w:val="auto"/>
          <w:szCs w:val="24"/>
          <w:highlight w:val="none"/>
        </w:rPr>
        <w:t>项目正式开展服务，甲方从次月起按月向乙方支付上月购买服务费用，结算方式按人均中标价除以12乘以当月实际入住人数（如：人均2.55万.年/12月*364人=77.35万元）。</w:t>
      </w:r>
    </w:p>
    <w:p>
      <w:pPr>
        <w:pStyle w:val="5"/>
        <w:ind w:firstLine="494"/>
        <w:rPr>
          <w:rFonts w:cs="宋体"/>
          <w:color w:val="auto"/>
          <w:szCs w:val="24"/>
          <w:highlight w:val="none"/>
        </w:rPr>
      </w:pPr>
      <w:r>
        <w:rPr>
          <w:rFonts w:hint="eastAsia" w:cs="宋体"/>
          <w:color w:val="auto"/>
          <w:szCs w:val="24"/>
          <w:highlight w:val="none"/>
        </w:rPr>
        <w:t>退出机制</w:t>
      </w:r>
    </w:p>
    <w:p>
      <w:pPr>
        <w:numPr>
          <w:ilvl w:val="0"/>
          <w:numId w:val="15"/>
        </w:numPr>
        <w:ind w:firstLineChars="0"/>
        <w:rPr>
          <w:rFonts w:ascii="宋体" w:hAnsi="宋体" w:cs="宋体"/>
          <w:bCs/>
          <w:color w:val="auto"/>
          <w:szCs w:val="24"/>
          <w:highlight w:val="none"/>
        </w:rPr>
      </w:pPr>
      <w:r>
        <w:rPr>
          <w:rFonts w:hint="eastAsia" w:ascii="宋体" w:hAnsi="宋体" w:cs="宋体"/>
          <w:bCs/>
          <w:color w:val="auto"/>
          <w:szCs w:val="24"/>
          <w:highlight w:val="none"/>
        </w:rPr>
        <w:t>投标人自身要求退出</w:t>
      </w:r>
    </w:p>
    <w:p>
      <w:pPr>
        <w:pageBreakBefore w:val="0"/>
        <w:widowControl w:val="0"/>
        <w:numPr>
          <w:ilvl w:val="0"/>
          <w:numId w:val="16"/>
        </w:numPr>
        <w:kinsoku/>
        <w:wordWrap/>
        <w:overflowPunct/>
        <w:topLinePunct w:val="0"/>
        <w:autoSpaceDE/>
        <w:autoSpaceDN/>
        <w:bidi w:val="0"/>
        <w:adjustRightInd/>
        <w:snapToGrid/>
        <w:spacing w:line="440" w:lineRule="exact"/>
        <w:ind w:firstLineChars="0"/>
        <w:textAlignment w:val="auto"/>
        <w:rPr>
          <w:rFonts w:ascii="宋体" w:hAnsi="宋体" w:cs="宋体"/>
          <w:bCs/>
          <w:color w:val="auto"/>
          <w:szCs w:val="24"/>
          <w:highlight w:val="none"/>
        </w:rPr>
      </w:pPr>
      <w:r>
        <w:rPr>
          <w:rFonts w:hint="eastAsia" w:ascii="宋体" w:hAnsi="宋体" w:cs="宋体"/>
          <w:bCs/>
          <w:color w:val="auto"/>
          <w:szCs w:val="24"/>
          <w:highlight w:val="none"/>
        </w:rPr>
        <w:t>以下情况投标人可以申请退出：1.投标人因破产或其他特殊情况，经认定无法继续经营的；2.投标人如系个体工商户，则投标人死亡或失去民事行为能力的；3.不可抗力因素。</w:t>
      </w:r>
    </w:p>
    <w:p>
      <w:pPr>
        <w:pageBreakBefore w:val="0"/>
        <w:widowControl w:val="0"/>
        <w:numPr>
          <w:ilvl w:val="0"/>
          <w:numId w:val="16"/>
        </w:numPr>
        <w:kinsoku/>
        <w:wordWrap/>
        <w:overflowPunct/>
        <w:topLinePunct w:val="0"/>
        <w:autoSpaceDE/>
        <w:autoSpaceDN/>
        <w:bidi w:val="0"/>
        <w:adjustRightInd/>
        <w:snapToGrid/>
        <w:spacing w:line="440" w:lineRule="exact"/>
        <w:ind w:firstLineChars="0"/>
        <w:textAlignment w:val="auto"/>
        <w:rPr>
          <w:rFonts w:ascii="宋体" w:hAnsi="宋体" w:cs="宋体"/>
          <w:bCs/>
          <w:color w:val="auto"/>
          <w:szCs w:val="24"/>
          <w:highlight w:val="none"/>
        </w:rPr>
      </w:pPr>
      <w:r>
        <w:rPr>
          <w:rFonts w:hint="eastAsia" w:ascii="宋体" w:hAnsi="宋体" w:cs="宋体"/>
          <w:bCs/>
          <w:color w:val="auto"/>
          <w:szCs w:val="24"/>
          <w:highlight w:val="none"/>
        </w:rPr>
        <w:t>退出程序：投标人因自身原因需停止经营，应当于终止服务3个月前提交申请，经批准后方可实施。在提交申请的同时需制定相关善后事宜处置方案并积极配合政府实施，确保正常交接。</w:t>
      </w:r>
    </w:p>
    <w:p>
      <w:pPr>
        <w:pageBreakBefore w:val="0"/>
        <w:widowControl w:val="0"/>
        <w:numPr>
          <w:ilvl w:val="0"/>
          <w:numId w:val="16"/>
        </w:numPr>
        <w:kinsoku/>
        <w:wordWrap/>
        <w:overflowPunct/>
        <w:topLinePunct w:val="0"/>
        <w:autoSpaceDE/>
        <w:autoSpaceDN/>
        <w:bidi w:val="0"/>
        <w:adjustRightInd/>
        <w:snapToGrid/>
        <w:spacing w:line="440" w:lineRule="exact"/>
        <w:ind w:firstLineChars="0"/>
        <w:textAlignment w:val="auto"/>
        <w:rPr>
          <w:rFonts w:ascii="宋体" w:hAnsi="宋体" w:cs="宋体"/>
          <w:bCs/>
          <w:color w:val="auto"/>
          <w:szCs w:val="24"/>
          <w:highlight w:val="none"/>
        </w:rPr>
      </w:pPr>
      <w:r>
        <w:rPr>
          <w:rFonts w:hint="eastAsia" w:ascii="宋体" w:hAnsi="宋体" w:cs="宋体"/>
          <w:bCs/>
          <w:color w:val="auto"/>
          <w:szCs w:val="24"/>
          <w:highlight w:val="none"/>
        </w:rPr>
        <w:t>人财物处置：1.购买服务后新聘用员工安置按《劳动法》和《劳动</w:t>
      </w:r>
      <w:r>
        <w:rPr>
          <w:rFonts w:hint="eastAsia" w:ascii="宋体" w:hAnsi="宋体" w:cs="宋体"/>
          <w:bCs/>
          <w:color w:val="auto"/>
          <w:szCs w:val="24"/>
          <w:highlight w:val="none"/>
          <w:lang w:eastAsia="zh-CN"/>
        </w:rPr>
        <w:t>中华人民共和国民法典</w:t>
      </w:r>
      <w:r>
        <w:rPr>
          <w:rFonts w:hint="eastAsia" w:ascii="宋体" w:hAnsi="宋体" w:cs="宋体"/>
          <w:bCs/>
          <w:color w:val="auto"/>
          <w:szCs w:val="24"/>
          <w:highlight w:val="none"/>
        </w:rPr>
        <w:t>》依法办理，所需费用由投标人承担。2.投标人需清偿经营过程中产生的如物资采购、医疗费用等所有债务。3.投标人所投资的装修、设施设备（须保证全部设施保持完好、正常运行）等，全部无偿移交采购人。</w:t>
      </w:r>
    </w:p>
    <w:p>
      <w:pPr>
        <w:pageBreakBefore w:val="0"/>
        <w:widowControl w:val="0"/>
        <w:numPr>
          <w:ilvl w:val="0"/>
          <w:numId w:val="15"/>
        </w:numPr>
        <w:kinsoku/>
        <w:wordWrap/>
        <w:overflowPunct/>
        <w:topLinePunct w:val="0"/>
        <w:autoSpaceDE/>
        <w:autoSpaceDN/>
        <w:bidi w:val="0"/>
        <w:adjustRightInd/>
        <w:snapToGrid/>
        <w:spacing w:line="440" w:lineRule="exact"/>
        <w:ind w:firstLineChars="0"/>
        <w:textAlignment w:val="auto"/>
        <w:rPr>
          <w:rFonts w:ascii="宋体" w:hAnsi="宋体" w:cs="宋体"/>
          <w:bCs/>
          <w:color w:val="auto"/>
          <w:szCs w:val="24"/>
          <w:highlight w:val="none"/>
        </w:rPr>
      </w:pPr>
      <w:r>
        <w:rPr>
          <w:rFonts w:hint="eastAsia" w:ascii="宋体" w:hAnsi="宋体" w:cs="宋体"/>
          <w:bCs/>
          <w:color w:val="auto"/>
          <w:szCs w:val="24"/>
          <w:highlight w:val="none"/>
        </w:rPr>
        <w:t>政府要求供应商退出</w:t>
      </w:r>
    </w:p>
    <w:p>
      <w:pPr>
        <w:pageBreakBefore w:val="0"/>
        <w:widowControl w:val="0"/>
        <w:kinsoku/>
        <w:wordWrap/>
        <w:overflowPunct/>
        <w:topLinePunct w:val="0"/>
        <w:autoSpaceDE/>
        <w:autoSpaceDN/>
        <w:bidi w:val="0"/>
        <w:adjustRightInd/>
        <w:snapToGrid/>
        <w:spacing w:line="440" w:lineRule="exact"/>
        <w:ind w:firstLine="492"/>
        <w:textAlignment w:val="auto"/>
        <w:rPr>
          <w:rFonts w:ascii="宋体" w:hAnsi="宋体" w:cs="宋体"/>
          <w:bCs/>
          <w:color w:val="auto"/>
          <w:szCs w:val="24"/>
          <w:highlight w:val="none"/>
        </w:rPr>
      </w:pPr>
      <w:r>
        <w:rPr>
          <w:rFonts w:hint="eastAsia" w:ascii="宋体" w:hAnsi="宋体" w:cs="宋体"/>
          <w:bCs/>
          <w:color w:val="auto"/>
          <w:szCs w:val="24"/>
          <w:highlight w:val="none"/>
        </w:rPr>
        <w:t>投标人有以下行为之一的，视为违约，政府有权终止项目协议：</w:t>
      </w:r>
    </w:p>
    <w:p>
      <w:pPr>
        <w:pageBreakBefore w:val="0"/>
        <w:widowControl w:val="0"/>
        <w:numPr>
          <w:ilvl w:val="0"/>
          <w:numId w:val="17"/>
        </w:numPr>
        <w:kinsoku/>
        <w:wordWrap/>
        <w:overflowPunct/>
        <w:topLinePunct w:val="0"/>
        <w:autoSpaceDE/>
        <w:autoSpaceDN/>
        <w:bidi w:val="0"/>
        <w:adjustRightInd/>
        <w:snapToGrid/>
        <w:spacing w:line="440" w:lineRule="exact"/>
        <w:ind w:firstLineChars="0"/>
        <w:textAlignment w:val="auto"/>
        <w:rPr>
          <w:rFonts w:ascii="宋体" w:hAnsi="宋体" w:cs="宋体"/>
          <w:bCs/>
          <w:color w:val="auto"/>
          <w:szCs w:val="24"/>
          <w:highlight w:val="none"/>
        </w:rPr>
      </w:pPr>
      <w:r>
        <w:rPr>
          <w:rFonts w:hint="eastAsia" w:ascii="宋体" w:hAnsi="宋体" w:cs="宋体"/>
          <w:bCs/>
          <w:color w:val="auto"/>
          <w:szCs w:val="24"/>
          <w:highlight w:val="none"/>
        </w:rPr>
        <w:t>经营不善、考核不合格，限期整改仍不合格的。</w:t>
      </w:r>
    </w:p>
    <w:p>
      <w:pPr>
        <w:pageBreakBefore w:val="0"/>
        <w:widowControl w:val="0"/>
        <w:numPr>
          <w:ilvl w:val="0"/>
          <w:numId w:val="17"/>
        </w:numPr>
        <w:kinsoku/>
        <w:wordWrap/>
        <w:overflowPunct/>
        <w:topLinePunct w:val="0"/>
        <w:autoSpaceDE/>
        <w:autoSpaceDN/>
        <w:bidi w:val="0"/>
        <w:adjustRightInd/>
        <w:snapToGrid/>
        <w:spacing w:line="440" w:lineRule="exact"/>
        <w:ind w:firstLineChars="0"/>
        <w:textAlignment w:val="auto"/>
        <w:rPr>
          <w:rFonts w:ascii="宋体" w:hAnsi="宋体" w:cs="宋体"/>
          <w:bCs/>
          <w:color w:val="auto"/>
          <w:szCs w:val="24"/>
          <w:highlight w:val="none"/>
        </w:rPr>
      </w:pPr>
      <w:r>
        <w:rPr>
          <w:rFonts w:hint="eastAsia" w:ascii="宋体" w:hAnsi="宋体" w:cs="宋体"/>
          <w:bCs/>
          <w:color w:val="auto"/>
          <w:szCs w:val="24"/>
          <w:highlight w:val="none"/>
        </w:rPr>
        <w:t>安全事故“零容忍”。因管理疏漏等人为因素导致人员伤亡或财产损失20万元以上的消防、饮食卫生等重大安全事故。</w:t>
      </w:r>
    </w:p>
    <w:p>
      <w:pPr>
        <w:pageBreakBefore w:val="0"/>
        <w:widowControl w:val="0"/>
        <w:numPr>
          <w:ilvl w:val="0"/>
          <w:numId w:val="17"/>
        </w:numPr>
        <w:kinsoku/>
        <w:wordWrap/>
        <w:overflowPunct/>
        <w:topLinePunct w:val="0"/>
        <w:autoSpaceDE/>
        <w:autoSpaceDN/>
        <w:bidi w:val="0"/>
        <w:adjustRightInd/>
        <w:snapToGrid/>
        <w:spacing w:line="440" w:lineRule="exact"/>
        <w:ind w:firstLineChars="0"/>
        <w:textAlignment w:val="auto"/>
        <w:rPr>
          <w:rFonts w:ascii="宋体" w:hAnsi="宋体" w:cs="宋体"/>
          <w:bCs/>
          <w:color w:val="auto"/>
          <w:szCs w:val="24"/>
          <w:highlight w:val="none"/>
        </w:rPr>
      </w:pPr>
      <w:r>
        <w:rPr>
          <w:rFonts w:hint="eastAsia" w:ascii="宋体" w:hAnsi="宋体" w:cs="宋体"/>
          <w:bCs/>
          <w:color w:val="auto"/>
          <w:szCs w:val="24"/>
          <w:highlight w:val="none"/>
        </w:rPr>
        <w:t>因经营管理中的问题引起较为严重的上访、投诉及其他严重不稳定因素或引起较为严重的负面影响的。</w:t>
      </w:r>
    </w:p>
    <w:p>
      <w:pPr>
        <w:pageBreakBefore w:val="0"/>
        <w:widowControl w:val="0"/>
        <w:numPr>
          <w:ilvl w:val="0"/>
          <w:numId w:val="17"/>
        </w:numPr>
        <w:kinsoku/>
        <w:wordWrap/>
        <w:overflowPunct/>
        <w:topLinePunct w:val="0"/>
        <w:autoSpaceDE/>
        <w:autoSpaceDN/>
        <w:bidi w:val="0"/>
        <w:adjustRightInd/>
        <w:snapToGrid/>
        <w:spacing w:line="440" w:lineRule="exact"/>
        <w:ind w:firstLineChars="0"/>
        <w:textAlignment w:val="auto"/>
        <w:rPr>
          <w:rFonts w:ascii="宋体" w:hAnsi="宋体" w:cs="宋体"/>
          <w:bCs/>
          <w:color w:val="auto"/>
          <w:szCs w:val="24"/>
          <w:highlight w:val="none"/>
        </w:rPr>
      </w:pPr>
      <w:r>
        <w:rPr>
          <w:rFonts w:hint="eastAsia" w:ascii="宋体" w:hAnsi="宋体" w:cs="宋体"/>
          <w:bCs/>
          <w:color w:val="auto"/>
          <w:szCs w:val="24"/>
          <w:highlight w:val="none"/>
        </w:rPr>
        <w:t>法律、法规、规章规定的其他严重违法行为。</w:t>
      </w:r>
    </w:p>
    <w:p>
      <w:pPr>
        <w:pageBreakBefore w:val="0"/>
        <w:widowControl w:val="0"/>
        <w:kinsoku/>
        <w:wordWrap/>
        <w:overflowPunct/>
        <w:topLinePunct w:val="0"/>
        <w:autoSpaceDE/>
        <w:autoSpaceDN/>
        <w:bidi w:val="0"/>
        <w:adjustRightInd/>
        <w:snapToGrid/>
        <w:spacing w:line="440" w:lineRule="exact"/>
        <w:ind w:firstLine="492"/>
        <w:textAlignment w:val="auto"/>
        <w:rPr>
          <w:rFonts w:ascii="宋体" w:hAnsi="宋体" w:cs="宋体"/>
          <w:color w:val="auto"/>
          <w:highlight w:val="none"/>
        </w:rPr>
      </w:pPr>
      <w:r>
        <w:rPr>
          <w:rFonts w:hint="eastAsia" w:ascii="宋体" w:hAnsi="宋体" w:cs="宋体"/>
          <w:bCs/>
          <w:color w:val="auto"/>
          <w:szCs w:val="24"/>
          <w:highlight w:val="none"/>
        </w:rPr>
        <w:t>投标人在收到政府终止项目协议通知后，在规定的期限内应立即停止经营，妥善处理善后事宜。人财物处置和退出程序参照自愿退出流程执行。</w:t>
      </w:r>
    </w:p>
    <w:p>
      <w:pPr>
        <w:pStyle w:val="5"/>
        <w:pageBreakBefore w:val="0"/>
        <w:widowControl w:val="0"/>
        <w:kinsoku/>
        <w:wordWrap/>
        <w:overflowPunct/>
        <w:topLinePunct w:val="0"/>
        <w:autoSpaceDE/>
        <w:autoSpaceDN/>
        <w:bidi w:val="0"/>
        <w:adjustRightInd/>
        <w:snapToGrid/>
        <w:spacing w:line="440" w:lineRule="exact"/>
        <w:ind w:firstLine="494"/>
        <w:textAlignment w:val="auto"/>
        <w:rPr>
          <w:rFonts w:cs="宋体"/>
          <w:color w:val="auto"/>
          <w:szCs w:val="24"/>
          <w:highlight w:val="none"/>
        </w:rPr>
      </w:pPr>
      <w:r>
        <w:rPr>
          <w:rFonts w:hint="eastAsia" w:cs="宋体"/>
          <w:color w:val="auto"/>
          <w:szCs w:val="24"/>
          <w:highlight w:val="none"/>
        </w:rPr>
        <w:t>验收要求</w:t>
      </w:r>
    </w:p>
    <w:p>
      <w:pPr>
        <w:pageBreakBefore w:val="0"/>
        <w:widowControl w:val="0"/>
        <w:kinsoku/>
        <w:wordWrap/>
        <w:overflowPunct/>
        <w:topLinePunct w:val="0"/>
        <w:autoSpaceDE/>
        <w:autoSpaceDN/>
        <w:bidi w:val="0"/>
        <w:adjustRightInd/>
        <w:snapToGrid/>
        <w:spacing w:line="440" w:lineRule="exact"/>
        <w:ind w:firstLine="492"/>
        <w:textAlignment w:val="auto"/>
        <w:rPr>
          <w:rFonts w:ascii="宋体" w:hAnsi="宋体" w:cs="宋体"/>
          <w:color w:val="auto"/>
          <w:szCs w:val="24"/>
          <w:highlight w:val="none"/>
        </w:rPr>
      </w:pPr>
      <w:r>
        <w:rPr>
          <w:rFonts w:hint="eastAsia" w:ascii="宋体" w:hAnsi="宋体" w:cs="宋体"/>
          <w:color w:val="auto"/>
          <w:szCs w:val="24"/>
          <w:highlight w:val="none"/>
        </w:rPr>
        <w:t>参照《财政部关于进一步加强政府采购需求和履约验收管理的指导意见》（财库〔2016〕205号）《关于印发〈政府采购需求管理办法〉的通知》（财库（2021）22号）要求进行验收。</w:t>
      </w:r>
    </w:p>
    <w:p>
      <w:pPr>
        <w:pStyle w:val="5"/>
        <w:pageBreakBefore w:val="0"/>
        <w:widowControl w:val="0"/>
        <w:kinsoku/>
        <w:wordWrap/>
        <w:overflowPunct/>
        <w:topLinePunct w:val="0"/>
        <w:autoSpaceDE/>
        <w:autoSpaceDN/>
        <w:bidi w:val="0"/>
        <w:adjustRightInd/>
        <w:snapToGrid/>
        <w:spacing w:line="440" w:lineRule="exact"/>
        <w:ind w:firstLine="494"/>
        <w:textAlignment w:val="auto"/>
        <w:rPr>
          <w:rFonts w:cs="宋体"/>
          <w:color w:val="auto"/>
          <w:szCs w:val="24"/>
          <w:highlight w:val="none"/>
        </w:rPr>
      </w:pPr>
      <w:r>
        <w:rPr>
          <w:rFonts w:hint="eastAsia" w:cs="宋体"/>
          <w:color w:val="auto"/>
          <w:kern w:val="2"/>
          <w:szCs w:val="24"/>
          <w:highlight w:val="none"/>
        </w:rPr>
        <w:t>★</w:t>
      </w:r>
      <w:r>
        <w:rPr>
          <w:rFonts w:hint="eastAsia" w:cs="宋体"/>
          <w:color w:val="auto"/>
          <w:szCs w:val="24"/>
          <w:highlight w:val="none"/>
        </w:rPr>
        <w:t>最高限价</w:t>
      </w:r>
    </w:p>
    <w:p>
      <w:pPr>
        <w:pageBreakBefore w:val="0"/>
        <w:widowControl w:val="0"/>
        <w:kinsoku/>
        <w:wordWrap/>
        <w:overflowPunct/>
        <w:topLinePunct w:val="0"/>
        <w:autoSpaceDE/>
        <w:autoSpaceDN/>
        <w:bidi w:val="0"/>
        <w:adjustRightInd/>
        <w:snapToGrid/>
        <w:spacing w:line="440" w:lineRule="exact"/>
        <w:ind w:firstLine="494"/>
        <w:textAlignment w:val="auto"/>
        <w:rPr>
          <w:rFonts w:ascii="宋体" w:hAnsi="宋体" w:cs="宋体"/>
          <w:color w:val="auto"/>
          <w:highlight w:val="none"/>
        </w:rPr>
      </w:pPr>
      <w:r>
        <w:rPr>
          <w:rFonts w:hint="eastAsia" w:ascii="宋体" w:hAnsi="宋体" w:cs="宋体"/>
          <w:b/>
          <w:bCs/>
          <w:color w:val="auto"/>
          <w:szCs w:val="24"/>
          <w:highlight w:val="none"/>
        </w:rPr>
        <w:t>本项目综合单价最高限价2.55万元/人/年，投标报价最高限价1114.35万元/年，投标人各综合单价报价超过对应综合单价最高限价或投标报价超过1114.35万元/年的，其投标文件按无效投标文件处理。</w:t>
      </w:r>
    </w:p>
    <w:p>
      <w:pPr>
        <w:pStyle w:val="3"/>
        <w:pageBreakBefore w:val="0"/>
        <w:widowControl w:val="0"/>
        <w:numPr>
          <w:ilvl w:val="0"/>
          <w:numId w:val="0"/>
        </w:numPr>
        <w:kinsoku/>
        <w:wordWrap/>
        <w:overflowPunct/>
        <w:topLinePunct w:val="0"/>
        <w:autoSpaceDE/>
        <w:autoSpaceDN/>
        <w:bidi w:val="0"/>
        <w:adjustRightInd/>
        <w:snapToGrid/>
        <w:spacing w:before="0" w:after="0" w:line="440" w:lineRule="exact"/>
        <w:jc w:val="both"/>
        <w:textAlignment w:val="auto"/>
        <w:rPr>
          <w:rFonts w:ascii="宋体" w:hAnsi="宋体" w:cs="宋体"/>
          <w:color w:val="auto"/>
          <w:szCs w:val="24"/>
          <w:highlight w:val="none"/>
        </w:rPr>
      </w:pPr>
      <w:bookmarkStart w:id="19" w:name="_Toc26269"/>
      <w:bookmarkStart w:id="20" w:name="_Toc25285"/>
      <w:bookmarkStart w:id="21" w:name="_Toc17290"/>
      <w:r>
        <w:rPr>
          <w:rFonts w:hint="eastAsia" w:cs="宋体"/>
          <w:color w:val="auto"/>
          <w:kern w:val="0"/>
          <w:sz w:val="24"/>
          <w:szCs w:val="24"/>
          <w:highlight w:val="none"/>
        </w:rPr>
        <w:t>注：本章加★条款为符合性审查内容，未响应或不满足的做无效投标处理。</w:t>
      </w:r>
      <w:bookmarkEnd w:id="2"/>
      <w:bookmarkEnd w:id="3"/>
      <w:bookmarkEnd w:id="4"/>
      <w:bookmarkEnd w:id="5"/>
      <w:bookmarkEnd w:id="9"/>
      <w:bookmarkEnd w:id="12"/>
      <w:bookmarkEnd w:id="19"/>
      <w:bookmarkEnd w:id="20"/>
      <w:bookmarkEnd w:id="21"/>
    </w:p>
    <w:p>
      <w:bookmarkStart w:id="22" w:name="_GoBack"/>
      <w:bookmarkEnd w:id="22"/>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96347"/>
    <w:multiLevelType w:val="singleLevel"/>
    <w:tmpl w:val="8C096347"/>
    <w:lvl w:ilvl="0" w:tentative="0">
      <w:start w:val="1"/>
      <w:numFmt w:val="chineseCounting"/>
      <w:suff w:val="nothing"/>
      <w:lvlText w:val="%1、"/>
      <w:lvlJc w:val="left"/>
      <w:pPr>
        <w:ind w:left="0" w:firstLine="420"/>
      </w:pPr>
      <w:rPr>
        <w:rFonts w:hint="eastAsia"/>
      </w:rPr>
    </w:lvl>
  </w:abstractNum>
  <w:abstractNum w:abstractNumId="1">
    <w:nsid w:val="AB25FB49"/>
    <w:multiLevelType w:val="singleLevel"/>
    <w:tmpl w:val="AB25FB49"/>
    <w:lvl w:ilvl="0" w:tentative="0">
      <w:start w:val="1"/>
      <w:numFmt w:val="chineseCounting"/>
      <w:suff w:val="nothing"/>
      <w:lvlText w:val="（%1）"/>
      <w:lvlJc w:val="left"/>
      <w:pPr>
        <w:ind w:left="0" w:firstLine="420"/>
      </w:pPr>
      <w:rPr>
        <w:rFonts w:hint="eastAsia"/>
      </w:rPr>
    </w:lvl>
  </w:abstractNum>
  <w:abstractNum w:abstractNumId="2">
    <w:nsid w:val="B1A58CB5"/>
    <w:multiLevelType w:val="singleLevel"/>
    <w:tmpl w:val="B1A58CB5"/>
    <w:lvl w:ilvl="0" w:tentative="0">
      <w:start w:val="1"/>
      <w:numFmt w:val="chineseCounting"/>
      <w:suff w:val="nothing"/>
      <w:lvlText w:val="%1、"/>
      <w:lvlJc w:val="left"/>
      <w:pPr>
        <w:ind w:left="0" w:firstLine="420"/>
      </w:pPr>
      <w:rPr>
        <w:rFonts w:hint="eastAsia"/>
      </w:rPr>
    </w:lvl>
  </w:abstractNum>
  <w:abstractNum w:abstractNumId="3">
    <w:nsid w:val="B4473A5C"/>
    <w:multiLevelType w:val="singleLevel"/>
    <w:tmpl w:val="B4473A5C"/>
    <w:lvl w:ilvl="0" w:tentative="0">
      <w:start w:val="1"/>
      <w:numFmt w:val="chineseCounting"/>
      <w:suff w:val="nothing"/>
      <w:lvlText w:val="（%1）"/>
      <w:lvlJc w:val="left"/>
      <w:pPr>
        <w:ind w:left="0" w:firstLine="420"/>
      </w:pPr>
      <w:rPr>
        <w:rFonts w:hint="eastAsia"/>
      </w:rPr>
    </w:lvl>
  </w:abstractNum>
  <w:abstractNum w:abstractNumId="4">
    <w:nsid w:val="BB8C7DDA"/>
    <w:multiLevelType w:val="singleLevel"/>
    <w:tmpl w:val="BB8C7DDA"/>
    <w:lvl w:ilvl="0" w:tentative="0">
      <w:start w:val="1"/>
      <w:numFmt w:val="chineseCounting"/>
      <w:suff w:val="nothing"/>
      <w:lvlText w:val="%1、"/>
      <w:lvlJc w:val="left"/>
      <w:pPr>
        <w:ind w:left="0" w:firstLine="420"/>
      </w:pPr>
      <w:rPr>
        <w:rFonts w:hint="eastAsia"/>
      </w:rPr>
    </w:lvl>
  </w:abstractNum>
  <w:abstractNum w:abstractNumId="5">
    <w:nsid w:val="C7A54AC1"/>
    <w:multiLevelType w:val="singleLevel"/>
    <w:tmpl w:val="C7A54AC1"/>
    <w:lvl w:ilvl="0" w:tentative="0">
      <w:start w:val="1"/>
      <w:numFmt w:val="chineseCounting"/>
      <w:suff w:val="nothing"/>
      <w:lvlText w:val="%1、"/>
      <w:lvlJc w:val="left"/>
      <w:pPr>
        <w:ind w:left="0" w:firstLine="420"/>
      </w:pPr>
      <w:rPr>
        <w:rFonts w:hint="eastAsia"/>
      </w:rPr>
    </w:lvl>
  </w:abstractNum>
  <w:abstractNum w:abstractNumId="6">
    <w:nsid w:val="D3AA0728"/>
    <w:multiLevelType w:val="singleLevel"/>
    <w:tmpl w:val="D3AA0728"/>
    <w:lvl w:ilvl="0" w:tentative="0">
      <w:start w:val="1"/>
      <w:numFmt w:val="chineseCounting"/>
      <w:suff w:val="nothing"/>
      <w:lvlText w:val="（%1）"/>
      <w:lvlJc w:val="left"/>
      <w:pPr>
        <w:ind w:left="0" w:firstLine="420"/>
      </w:pPr>
      <w:rPr>
        <w:rFonts w:hint="eastAsia"/>
      </w:rPr>
    </w:lvl>
  </w:abstractNum>
  <w:abstractNum w:abstractNumId="7">
    <w:nsid w:val="F13E7DC0"/>
    <w:multiLevelType w:val="singleLevel"/>
    <w:tmpl w:val="F13E7DC0"/>
    <w:lvl w:ilvl="0" w:tentative="0">
      <w:start w:val="1"/>
      <w:numFmt w:val="chineseCounting"/>
      <w:suff w:val="nothing"/>
      <w:lvlText w:val="%1、"/>
      <w:lvlJc w:val="left"/>
      <w:pPr>
        <w:ind w:left="0" w:firstLine="420"/>
      </w:pPr>
      <w:rPr>
        <w:rFonts w:hint="eastAsia"/>
      </w:rPr>
    </w:lvl>
  </w:abstractNum>
  <w:abstractNum w:abstractNumId="8">
    <w:nsid w:val="F5BF4A2E"/>
    <w:multiLevelType w:val="singleLevel"/>
    <w:tmpl w:val="F5BF4A2E"/>
    <w:lvl w:ilvl="0" w:tentative="0">
      <w:start w:val="1"/>
      <w:numFmt w:val="chineseCounting"/>
      <w:suff w:val="nothing"/>
      <w:lvlText w:val="%1、"/>
      <w:lvlJc w:val="left"/>
      <w:pPr>
        <w:ind w:left="0" w:firstLine="420"/>
      </w:pPr>
      <w:rPr>
        <w:rFonts w:hint="eastAsia"/>
      </w:rPr>
    </w:lvl>
  </w:abstractNum>
  <w:abstractNum w:abstractNumId="9">
    <w:nsid w:val="FFA254A0"/>
    <w:multiLevelType w:val="singleLevel"/>
    <w:tmpl w:val="FFA254A0"/>
    <w:lvl w:ilvl="0" w:tentative="0">
      <w:start w:val="1"/>
      <w:numFmt w:val="chineseCounting"/>
      <w:suff w:val="nothing"/>
      <w:lvlText w:val="%1、"/>
      <w:lvlJc w:val="left"/>
      <w:pPr>
        <w:ind w:left="0" w:firstLine="420"/>
      </w:pPr>
      <w:rPr>
        <w:rFonts w:hint="eastAsia"/>
      </w:rPr>
    </w:lvl>
  </w:abstractNum>
  <w:abstractNum w:abstractNumId="10">
    <w:nsid w:val="0000002E"/>
    <w:multiLevelType w:val="multilevel"/>
    <w:tmpl w:val="0000002E"/>
    <w:lvl w:ilvl="0" w:tentative="0">
      <w:start w:val="1"/>
      <w:numFmt w:val="decimal"/>
      <w:pStyle w:val="3"/>
      <w:lvlText w:val="第%1章"/>
      <w:lvlJc w:val="left"/>
      <w:pPr>
        <w:ind w:left="283" w:hanging="425"/>
      </w:pPr>
      <w:rPr>
        <w:rFonts w:hint="default" w:ascii="Times New Roman" w:hAnsi="Times New Roman" w:eastAsia="宋体"/>
        <w:b/>
        <w:i w:val="0"/>
        <w:sz w:val="32"/>
        <w:szCs w:val="32"/>
      </w:rPr>
    </w:lvl>
    <w:lvl w:ilvl="1" w:tentative="0">
      <w:start w:val="1"/>
      <w:numFmt w:val="decimal"/>
      <w:pStyle w:val="4"/>
      <w:suff w:val="nothing"/>
      <w:lvlText w:val="%1.%2"/>
      <w:lvlJc w:val="left"/>
      <w:pPr>
        <w:ind w:left="567" w:hanging="567"/>
      </w:pPr>
      <w:rPr>
        <w:rFonts w:hint="default" w:ascii="Times New Roman" w:hAnsi="Times New Roman" w:eastAsia="宋体" w:cs="Times New Roman"/>
        <w:b/>
        <w:i w:val="0"/>
        <w:color w:val="auto"/>
        <w:sz w:val="28"/>
        <w:szCs w:val="28"/>
      </w:rPr>
    </w:lvl>
    <w:lvl w:ilvl="2" w:tentative="0">
      <w:start w:val="1"/>
      <w:numFmt w:val="decimal"/>
      <w:pStyle w:val="5"/>
      <w:suff w:val="space"/>
      <w:lvlText w:val="%1.%2.%3"/>
      <w:lvlJc w:val="left"/>
      <w:pPr>
        <w:ind w:left="567" w:hanging="567"/>
      </w:pPr>
      <w:rPr>
        <w:rFonts w:hint="default" w:ascii="Times New Roman" w:hAnsi="Times New Roman" w:eastAsia="宋体" w:cs="Times New Roman"/>
        <w:b/>
        <w:i w:val="0"/>
        <w:sz w:val="28"/>
      </w:rPr>
    </w:lvl>
    <w:lvl w:ilvl="3" w:tentative="0">
      <w:start w:val="1"/>
      <w:numFmt w:val="decimal"/>
      <w:suff w:val="nothing"/>
      <w:lvlText w:val="%1.%2.%3.%4"/>
      <w:lvlJc w:val="left"/>
      <w:pPr>
        <w:ind w:left="918" w:hanging="708"/>
      </w:pPr>
      <w:rPr>
        <w:rFonts w:hint="default" w:ascii="Times New Roman" w:hAnsi="Times New Roman" w:eastAsia="宋体" w:cs="Times New Roman"/>
        <w:b/>
        <w:i w:val="0"/>
        <w:sz w:val="28"/>
      </w:rPr>
    </w:lvl>
    <w:lvl w:ilvl="4" w:tentative="0">
      <w:start w:val="1"/>
      <w:numFmt w:val="decimal"/>
      <w:lvlText w:val="%1.%2.%3.%4.%5"/>
      <w:lvlJc w:val="left"/>
      <w:pPr>
        <w:ind w:left="2409" w:hanging="850"/>
      </w:pPr>
      <w:rPr>
        <w:rFonts w:hint="default" w:ascii="Times New Roman" w:hAnsi="Times New Roman" w:cs="Times New Roman"/>
      </w:rPr>
    </w:lvl>
    <w:lvl w:ilvl="5" w:tentative="0">
      <w:start w:val="1"/>
      <w:numFmt w:val="decimal"/>
      <w:lvlText w:val="%1.%2.%3.%4.%5.%6"/>
      <w:lvlJc w:val="left"/>
      <w:pPr>
        <w:ind w:left="3118" w:hanging="1134"/>
      </w:pPr>
      <w:rPr>
        <w:rFonts w:hint="eastAsia"/>
      </w:rPr>
    </w:lvl>
    <w:lvl w:ilvl="6" w:tentative="0">
      <w:start w:val="1"/>
      <w:numFmt w:val="decimal"/>
      <w:lvlText w:val="%1.%2.%3.%4.%5.%6.%7"/>
      <w:lvlJc w:val="left"/>
      <w:pPr>
        <w:ind w:left="3685" w:hanging="1276"/>
      </w:pPr>
      <w:rPr>
        <w:rFonts w:hint="eastAsia"/>
      </w:rPr>
    </w:lvl>
    <w:lvl w:ilvl="7" w:tentative="0">
      <w:start w:val="1"/>
      <w:numFmt w:val="decimal"/>
      <w:lvlText w:val="%1.%2.%3.%4.%5.%6.%7.%8"/>
      <w:lvlJc w:val="left"/>
      <w:pPr>
        <w:ind w:left="4252" w:hanging="1418"/>
      </w:pPr>
      <w:rPr>
        <w:rFonts w:hint="eastAsia"/>
      </w:rPr>
    </w:lvl>
    <w:lvl w:ilvl="8" w:tentative="0">
      <w:start w:val="1"/>
      <w:numFmt w:val="decimal"/>
      <w:lvlText w:val="%1.%2.%3.%4.%5.%6.%7.%8.%9"/>
      <w:lvlJc w:val="left"/>
      <w:pPr>
        <w:ind w:left="4960" w:hanging="1700"/>
      </w:pPr>
      <w:rPr>
        <w:rFonts w:hint="eastAsia"/>
      </w:rPr>
    </w:lvl>
  </w:abstractNum>
  <w:abstractNum w:abstractNumId="11">
    <w:nsid w:val="05EDF36C"/>
    <w:multiLevelType w:val="singleLevel"/>
    <w:tmpl w:val="05EDF36C"/>
    <w:lvl w:ilvl="0" w:tentative="0">
      <w:start w:val="1"/>
      <w:numFmt w:val="chineseCounting"/>
      <w:suff w:val="nothing"/>
      <w:lvlText w:val="%1、"/>
      <w:lvlJc w:val="left"/>
      <w:pPr>
        <w:ind w:left="0" w:firstLine="420"/>
      </w:pPr>
      <w:rPr>
        <w:rFonts w:hint="eastAsia"/>
      </w:rPr>
    </w:lvl>
  </w:abstractNum>
  <w:abstractNum w:abstractNumId="12">
    <w:nsid w:val="1E7A3A95"/>
    <w:multiLevelType w:val="singleLevel"/>
    <w:tmpl w:val="1E7A3A95"/>
    <w:lvl w:ilvl="0" w:tentative="0">
      <w:start w:val="1"/>
      <w:numFmt w:val="chineseCounting"/>
      <w:suff w:val="nothing"/>
      <w:lvlText w:val="%1、"/>
      <w:lvlJc w:val="left"/>
      <w:pPr>
        <w:ind w:left="0" w:firstLine="420"/>
      </w:pPr>
      <w:rPr>
        <w:rFonts w:hint="eastAsia"/>
      </w:rPr>
    </w:lvl>
  </w:abstractNum>
  <w:abstractNum w:abstractNumId="13">
    <w:nsid w:val="47387465"/>
    <w:multiLevelType w:val="singleLevel"/>
    <w:tmpl w:val="47387465"/>
    <w:lvl w:ilvl="0" w:tentative="0">
      <w:start w:val="1"/>
      <w:numFmt w:val="chineseCounting"/>
      <w:suff w:val="nothing"/>
      <w:lvlText w:val="%1、"/>
      <w:lvlJc w:val="left"/>
      <w:pPr>
        <w:ind w:left="0" w:firstLine="420"/>
      </w:pPr>
      <w:rPr>
        <w:rFonts w:hint="eastAsia"/>
      </w:rPr>
    </w:lvl>
  </w:abstractNum>
  <w:abstractNum w:abstractNumId="14">
    <w:nsid w:val="47E4CFE3"/>
    <w:multiLevelType w:val="singleLevel"/>
    <w:tmpl w:val="47E4CFE3"/>
    <w:lvl w:ilvl="0" w:tentative="0">
      <w:start w:val="1"/>
      <w:numFmt w:val="chineseCounting"/>
      <w:suff w:val="nothing"/>
      <w:lvlText w:val="（%1）"/>
      <w:lvlJc w:val="left"/>
      <w:pPr>
        <w:ind w:left="0" w:firstLine="420"/>
      </w:pPr>
      <w:rPr>
        <w:rFonts w:hint="eastAsia"/>
      </w:rPr>
    </w:lvl>
  </w:abstractNum>
  <w:abstractNum w:abstractNumId="15">
    <w:nsid w:val="5075D4F5"/>
    <w:multiLevelType w:val="singleLevel"/>
    <w:tmpl w:val="5075D4F5"/>
    <w:lvl w:ilvl="0" w:tentative="0">
      <w:start w:val="1"/>
      <w:numFmt w:val="chineseCounting"/>
      <w:suff w:val="nothing"/>
      <w:lvlText w:val="%1、"/>
      <w:lvlJc w:val="left"/>
      <w:pPr>
        <w:ind w:left="0" w:firstLine="420"/>
      </w:pPr>
      <w:rPr>
        <w:rFonts w:hint="eastAsia"/>
      </w:rPr>
    </w:lvl>
  </w:abstractNum>
  <w:abstractNum w:abstractNumId="16">
    <w:nsid w:val="63CCD226"/>
    <w:multiLevelType w:val="singleLevel"/>
    <w:tmpl w:val="63CCD226"/>
    <w:lvl w:ilvl="0" w:tentative="0">
      <w:start w:val="1"/>
      <w:numFmt w:val="chineseCounting"/>
      <w:suff w:val="nothing"/>
      <w:lvlText w:val="%1、"/>
      <w:lvlJc w:val="left"/>
      <w:pPr>
        <w:ind w:left="0" w:firstLine="420"/>
      </w:pPr>
      <w:rPr>
        <w:rFonts w:hint="eastAsia"/>
      </w:rPr>
    </w:lvl>
  </w:abstractNum>
  <w:num w:numId="1">
    <w:abstractNumId w:val="10"/>
  </w:num>
  <w:num w:numId="2">
    <w:abstractNumId w:val="8"/>
  </w:num>
  <w:num w:numId="3">
    <w:abstractNumId w:val="5"/>
  </w:num>
  <w:num w:numId="4">
    <w:abstractNumId w:val="12"/>
  </w:num>
  <w:num w:numId="5">
    <w:abstractNumId w:val="11"/>
  </w:num>
  <w:num w:numId="6">
    <w:abstractNumId w:val="7"/>
  </w:num>
  <w:num w:numId="7">
    <w:abstractNumId w:val="16"/>
  </w:num>
  <w:num w:numId="8">
    <w:abstractNumId w:val="4"/>
  </w:num>
  <w:num w:numId="9">
    <w:abstractNumId w:val="15"/>
  </w:num>
  <w:num w:numId="10">
    <w:abstractNumId w:val="9"/>
  </w:num>
  <w:num w:numId="11">
    <w:abstractNumId w:val="0"/>
  </w:num>
  <w:num w:numId="12">
    <w:abstractNumId w:val="3"/>
  </w:num>
  <w:num w:numId="13">
    <w:abstractNumId w:val="13"/>
  </w:num>
  <w:num w:numId="14">
    <w:abstractNumId w:val="14"/>
  </w:num>
  <w:num w:numId="15">
    <w:abstractNumId w:val="2"/>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4Mzk4NjQyZGYyNzdmYWIyYTE4NThhZTBmMTg4MTYifQ=="/>
  </w:docVars>
  <w:rsids>
    <w:rsidRoot w:val="00000000"/>
    <w:rsid w:val="0BE27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1858" w:firstLineChars="200"/>
    </w:pPr>
    <w:rPr>
      <w:rFonts w:ascii="Times New Roman" w:hAnsi="Times New Roman" w:eastAsia="宋体" w:cs="Times New Roman"/>
      <w:kern w:val="2"/>
      <w:sz w:val="24"/>
      <w:szCs w:val="22"/>
      <w:lang w:val="en-US" w:eastAsia="zh-CN" w:bidi="ar-SA"/>
    </w:rPr>
  </w:style>
  <w:style w:type="paragraph" w:styleId="3">
    <w:name w:val="heading 1"/>
    <w:basedOn w:val="1"/>
    <w:next w:val="1"/>
    <w:qFormat/>
    <w:uiPriority w:val="0"/>
    <w:pPr>
      <w:keepNext/>
      <w:keepLines/>
      <w:numPr>
        <w:ilvl w:val="0"/>
        <w:numId w:val="1"/>
      </w:numPr>
      <w:spacing w:before="300" w:after="300"/>
      <w:ind w:left="0" w:firstLine="0" w:firstLineChars="0"/>
      <w:jc w:val="center"/>
      <w:outlineLvl w:val="0"/>
    </w:pPr>
    <w:rPr>
      <w:rFonts w:ascii="宋体" w:hAnsi="宋体"/>
      <w:b/>
      <w:bCs/>
      <w:spacing w:val="-20"/>
      <w:kern w:val="44"/>
      <w:sz w:val="32"/>
      <w:szCs w:val="32"/>
    </w:rPr>
  </w:style>
  <w:style w:type="paragraph" w:styleId="4">
    <w:name w:val="heading 2"/>
    <w:basedOn w:val="1"/>
    <w:next w:val="1"/>
    <w:qFormat/>
    <w:uiPriority w:val="0"/>
    <w:pPr>
      <w:keepNext/>
      <w:keepLines/>
      <w:numPr>
        <w:ilvl w:val="1"/>
        <w:numId w:val="1"/>
      </w:numPr>
      <w:ind w:left="0" w:firstLine="0" w:firstLineChars="0"/>
      <w:outlineLvl w:val="1"/>
    </w:pPr>
    <w:rPr>
      <w:rFonts w:ascii="宋体" w:hAnsi="宋体"/>
      <w:b/>
      <w:bCs/>
      <w:sz w:val="28"/>
      <w:szCs w:val="28"/>
    </w:rPr>
  </w:style>
  <w:style w:type="paragraph" w:styleId="5">
    <w:name w:val="heading 3"/>
    <w:basedOn w:val="1"/>
    <w:next w:val="1"/>
    <w:qFormat/>
    <w:uiPriority w:val="0"/>
    <w:pPr>
      <w:keepNext/>
      <w:keepLines/>
      <w:numPr>
        <w:ilvl w:val="2"/>
        <w:numId w:val="1"/>
      </w:numPr>
      <w:ind w:left="0" w:firstLine="658"/>
      <w:outlineLvl w:val="2"/>
    </w:pPr>
    <w:rPr>
      <w:rFonts w:ascii="宋体" w:hAnsi="宋体"/>
      <w:b/>
      <w:bCs/>
      <w:color w:val="000000"/>
      <w:kern w:val="0"/>
      <w:szCs w:val="28"/>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0"/>
    <w:pPr>
      <w:spacing w:line="240" w:lineRule="auto"/>
    </w:pPr>
  </w:style>
  <w:style w:type="paragraph" w:styleId="6">
    <w:name w:val="footer"/>
    <w:basedOn w:val="1"/>
    <w:qFormat/>
    <w:uiPriority w:val="0"/>
    <w:pPr>
      <w:tabs>
        <w:tab w:val="center" w:pos="4153"/>
        <w:tab w:val="right" w:pos="8306"/>
      </w:tabs>
      <w:snapToGrid w:val="0"/>
    </w:pPr>
    <w:rPr>
      <w:kern w:val="0"/>
      <w:sz w:val="18"/>
      <w:szCs w:val="18"/>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2022-06-21T08:29:49Z</dcterms:created>
  <dc:creator>Admin</dc:creator>
  <cp:lastModifiedBy>斤斤</cp:lastModifiedBy>
  <dcterms:modified xsi:type="dcterms:W3CDTF">2022-06-21T08:29:52Z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3CF18D8F11614EC4B72B176361E56363</vt:lpwstr>
  </property>
</Properties>
</file>