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3408" w14:textId="77777777" w:rsidR="00E26138" w:rsidRDefault="00E26138" w:rsidP="00E26138">
      <w:pPr>
        <w:keepNext/>
        <w:keepLines/>
        <w:pageBreakBefore/>
        <w:spacing w:before="340" w:after="330" w:line="240" w:lineRule="atLeast"/>
        <w:jc w:val="center"/>
        <w:outlineLvl w:val="0"/>
        <w:rPr>
          <w:rFonts w:ascii="宋体" w:hAnsi="宋体"/>
          <w:b/>
          <w:color w:val="000000"/>
          <w:sz w:val="36"/>
          <w:szCs w:val="36"/>
        </w:rPr>
      </w:pPr>
      <w:r>
        <w:rPr>
          <w:rFonts w:ascii="宋体" w:hAnsi="宋体" w:hint="eastAsia"/>
          <w:b/>
          <w:color w:val="000000"/>
          <w:sz w:val="36"/>
          <w:szCs w:val="36"/>
        </w:rPr>
        <w:t>采购项目技术、服务及其他要求</w:t>
      </w:r>
    </w:p>
    <w:p w14:paraId="5032C6C9" w14:textId="77777777" w:rsidR="00E26138" w:rsidRDefault="00E26138" w:rsidP="00E26138">
      <w:pPr>
        <w:rPr>
          <w:rFonts w:ascii="宋体" w:hAnsi="宋体"/>
          <w:b/>
          <w:color w:val="000000"/>
          <w:sz w:val="28"/>
          <w:szCs w:val="28"/>
        </w:rPr>
      </w:pPr>
      <w:r>
        <w:rPr>
          <w:rFonts w:ascii="宋体" w:hAnsi="宋体" w:hint="eastAsia"/>
          <w:b/>
          <w:color w:val="000000"/>
          <w:sz w:val="28"/>
          <w:szCs w:val="28"/>
        </w:rPr>
        <w:t>一、采购</w:t>
      </w:r>
      <w:proofErr w:type="gramStart"/>
      <w:r>
        <w:rPr>
          <w:rFonts w:ascii="宋体" w:hAnsi="宋体" w:hint="eastAsia"/>
          <w:b/>
          <w:color w:val="000000"/>
          <w:sz w:val="28"/>
          <w:szCs w:val="28"/>
        </w:rPr>
        <w:t>项目标</w:t>
      </w:r>
      <w:proofErr w:type="gramEnd"/>
      <w:r>
        <w:rPr>
          <w:rFonts w:ascii="宋体" w:hAnsi="宋体" w:hint="eastAsia"/>
          <w:b/>
          <w:color w:val="000000"/>
          <w:sz w:val="28"/>
          <w:szCs w:val="28"/>
        </w:rPr>
        <w:t>的清单</w:t>
      </w:r>
    </w:p>
    <w:p w14:paraId="4700E97B" w14:textId="77777777" w:rsidR="00E26138" w:rsidRDefault="00E26138" w:rsidP="00E26138">
      <w:pPr>
        <w:adjustRightInd w:val="0"/>
        <w:spacing w:line="300" w:lineRule="exact"/>
        <w:rPr>
          <w:rFonts w:ascii="宋体" w:hAnsi="宋体"/>
          <w:b/>
          <w:bCs/>
          <w:color w:val="000000"/>
          <w:spacing w:val="8"/>
          <w:sz w:val="28"/>
          <w:szCs w:val="28"/>
        </w:rPr>
      </w:pPr>
      <w:r>
        <w:rPr>
          <w:rFonts w:ascii="宋体" w:hAnsi="宋体"/>
          <w:b/>
          <w:bCs/>
          <w:color w:val="000000"/>
          <w:spacing w:val="8"/>
          <w:sz w:val="28"/>
          <w:szCs w:val="28"/>
        </w:rPr>
        <w:t>1</w:t>
      </w:r>
      <w:r>
        <w:rPr>
          <w:rFonts w:ascii="宋体" w:hAnsi="宋体" w:hint="eastAsia"/>
          <w:b/>
          <w:bCs/>
          <w:color w:val="000000"/>
          <w:spacing w:val="8"/>
          <w:sz w:val="28"/>
          <w:szCs w:val="28"/>
        </w:rPr>
        <w:t>、 项目名称、技术规格和配置要求、数量</w:t>
      </w:r>
    </w:p>
    <w:p w14:paraId="0909F312" w14:textId="77777777" w:rsidR="00E26138" w:rsidRDefault="00E26138" w:rsidP="00E26138">
      <w:pPr>
        <w:adjustRightInd w:val="0"/>
        <w:spacing w:line="300" w:lineRule="exact"/>
        <w:rPr>
          <w:rFonts w:ascii="宋体" w:hAnsi="宋体"/>
          <w:b/>
          <w:bCs/>
          <w:color w:val="000000"/>
          <w:spacing w:val="8"/>
          <w:sz w:val="28"/>
          <w:szCs w:val="28"/>
        </w:rPr>
      </w:pPr>
    </w:p>
    <w:p w14:paraId="5DBEB5C8" w14:textId="77777777" w:rsidR="00E26138" w:rsidRDefault="00E26138" w:rsidP="00E26138">
      <w:pPr>
        <w:snapToGrid w:val="0"/>
        <w:rPr>
          <w:rFonts w:eastAsia="仿宋"/>
          <w:sz w:val="28"/>
          <w:szCs w:val="28"/>
          <w:lang w:val="zh-CN"/>
        </w:rPr>
      </w:pPr>
      <w:bookmarkStart w:id="0" w:name="【Bobole_采购清单表格】"/>
      <w:r>
        <w:rPr>
          <w:rFonts w:eastAsia="仿宋"/>
          <w:sz w:val="28"/>
          <w:szCs w:val="28"/>
          <w:lang w:val="zh-CN"/>
        </w:rPr>
        <w:t xml:space="preserve"> </w:t>
      </w:r>
      <w:r>
        <w:rPr>
          <w:rFonts w:eastAsia="仿宋"/>
          <w:sz w:val="24"/>
          <w:szCs w:val="28"/>
          <w:lang w:val="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84"/>
        <w:gridCol w:w="673"/>
        <w:gridCol w:w="1965"/>
      </w:tblGrid>
      <w:tr w:rsidR="00E26138" w14:paraId="3DF279B1" w14:textId="77777777" w:rsidTr="00DD1A39">
        <w:tc>
          <w:tcPr>
            <w:tcW w:w="0" w:type="auto"/>
            <w:shd w:val="clear" w:color="auto" w:fill="FFFFFF"/>
            <w:vAlign w:val="center"/>
          </w:tcPr>
          <w:p w14:paraId="785094FE" w14:textId="77777777" w:rsidR="00E26138" w:rsidRDefault="00E26138" w:rsidP="00DD1A39">
            <w:pPr>
              <w:snapToGrid w:val="0"/>
              <w:jc w:val="center"/>
              <w:rPr>
                <w:rFonts w:eastAsia="仿宋"/>
                <w:b/>
                <w:sz w:val="24"/>
                <w:szCs w:val="28"/>
                <w:lang w:val="zh-CN"/>
              </w:rPr>
            </w:pPr>
            <w:r>
              <w:rPr>
                <w:rFonts w:eastAsia="仿宋"/>
                <w:b/>
                <w:sz w:val="24"/>
                <w:szCs w:val="28"/>
                <w:lang w:val="zh-CN"/>
              </w:rPr>
              <w:t>序号</w:t>
            </w:r>
          </w:p>
        </w:tc>
        <w:tc>
          <w:tcPr>
            <w:tcW w:w="0" w:type="auto"/>
            <w:shd w:val="clear" w:color="auto" w:fill="FFFFFF"/>
            <w:vAlign w:val="center"/>
          </w:tcPr>
          <w:p w14:paraId="4670BE39" w14:textId="77777777" w:rsidR="00E26138" w:rsidRDefault="00E26138" w:rsidP="00DD1A39">
            <w:pPr>
              <w:snapToGrid w:val="0"/>
              <w:jc w:val="center"/>
              <w:rPr>
                <w:rFonts w:eastAsia="仿宋"/>
                <w:b/>
                <w:sz w:val="24"/>
                <w:szCs w:val="28"/>
                <w:lang w:val="zh-CN"/>
              </w:rPr>
            </w:pPr>
            <w:r>
              <w:rPr>
                <w:rFonts w:eastAsia="仿宋"/>
                <w:b/>
                <w:sz w:val="24"/>
                <w:szCs w:val="28"/>
                <w:lang w:val="zh-CN"/>
              </w:rPr>
              <w:t>标的名称</w:t>
            </w:r>
          </w:p>
        </w:tc>
        <w:tc>
          <w:tcPr>
            <w:tcW w:w="0" w:type="auto"/>
            <w:shd w:val="clear" w:color="auto" w:fill="FFFFFF"/>
            <w:vAlign w:val="center"/>
          </w:tcPr>
          <w:p w14:paraId="6E3E648D" w14:textId="77777777" w:rsidR="00E26138" w:rsidRDefault="00E26138" w:rsidP="00DD1A39">
            <w:pPr>
              <w:snapToGrid w:val="0"/>
              <w:jc w:val="center"/>
              <w:rPr>
                <w:rFonts w:eastAsia="仿宋"/>
                <w:b/>
                <w:sz w:val="24"/>
                <w:szCs w:val="28"/>
                <w:lang w:val="zh-CN"/>
              </w:rPr>
            </w:pPr>
            <w:r>
              <w:rPr>
                <w:rFonts w:eastAsia="仿宋"/>
                <w:b/>
                <w:sz w:val="24"/>
                <w:szCs w:val="28"/>
                <w:lang w:val="zh-CN"/>
              </w:rPr>
              <w:t>数量</w:t>
            </w:r>
          </w:p>
        </w:tc>
        <w:tc>
          <w:tcPr>
            <w:tcW w:w="0" w:type="auto"/>
            <w:shd w:val="clear" w:color="auto" w:fill="FFFFFF"/>
            <w:vAlign w:val="center"/>
          </w:tcPr>
          <w:p w14:paraId="6AA458E0" w14:textId="77777777" w:rsidR="00E26138" w:rsidRDefault="00E26138" w:rsidP="00DD1A39">
            <w:pPr>
              <w:snapToGrid w:val="0"/>
              <w:jc w:val="center"/>
              <w:rPr>
                <w:rFonts w:eastAsia="仿宋"/>
                <w:sz w:val="24"/>
                <w:szCs w:val="28"/>
                <w:lang w:val="zh-CN"/>
              </w:rPr>
            </w:pPr>
            <w:r>
              <w:rPr>
                <w:rFonts w:eastAsia="仿宋"/>
                <w:b/>
                <w:sz w:val="24"/>
                <w:szCs w:val="28"/>
                <w:lang w:val="zh-CN"/>
              </w:rPr>
              <w:t>所属行业</w:t>
            </w:r>
          </w:p>
        </w:tc>
      </w:tr>
      <w:tr w:rsidR="00E26138" w14:paraId="75D69ADA" w14:textId="77777777" w:rsidTr="00DD1A39">
        <w:tc>
          <w:tcPr>
            <w:tcW w:w="0" w:type="auto"/>
            <w:shd w:val="clear" w:color="auto" w:fill="FFFFFF"/>
          </w:tcPr>
          <w:p w14:paraId="1A335FDB" w14:textId="77777777" w:rsidR="00E26138" w:rsidRDefault="00E26138" w:rsidP="00DD1A39">
            <w:pPr>
              <w:snapToGrid w:val="0"/>
              <w:jc w:val="center"/>
              <w:rPr>
                <w:rFonts w:eastAsia="仿宋"/>
                <w:sz w:val="24"/>
                <w:szCs w:val="28"/>
                <w:lang w:val="zh-CN"/>
              </w:rPr>
            </w:pPr>
            <w:r>
              <w:rPr>
                <w:rFonts w:eastAsia="仿宋"/>
                <w:sz w:val="24"/>
                <w:szCs w:val="28"/>
                <w:lang w:val="zh-CN"/>
              </w:rPr>
              <w:t>1</w:t>
            </w:r>
          </w:p>
        </w:tc>
        <w:tc>
          <w:tcPr>
            <w:tcW w:w="0" w:type="auto"/>
            <w:shd w:val="clear" w:color="auto" w:fill="FFFFFF"/>
          </w:tcPr>
          <w:p w14:paraId="3FF12542" w14:textId="77777777" w:rsidR="00E26138" w:rsidRDefault="00E26138" w:rsidP="00DD1A39">
            <w:pPr>
              <w:snapToGrid w:val="0"/>
              <w:jc w:val="center"/>
              <w:rPr>
                <w:rFonts w:eastAsia="仿宋"/>
                <w:sz w:val="24"/>
                <w:szCs w:val="28"/>
                <w:lang w:val="zh-CN"/>
              </w:rPr>
            </w:pPr>
            <w:r>
              <w:rPr>
                <w:rFonts w:eastAsia="仿宋"/>
                <w:sz w:val="24"/>
                <w:szCs w:val="28"/>
                <w:lang w:val="zh-CN"/>
              </w:rPr>
              <w:t>绵阳市城市更新专项规划及城市更新导则编制项目</w:t>
            </w:r>
          </w:p>
        </w:tc>
        <w:tc>
          <w:tcPr>
            <w:tcW w:w="0" w:type="auto"/>
            <w:shd w:val="clear" w:color="auto" w:fill="FFFFFF"/>
          </w:tcPr>
          <w:p w14:paraId="212F2082" w14:textId="77777777" w:rsidR="00E26138" w:rsidRDefault="00E26138" w:rsidP="00DD1A39">
            <w:pPr>
              <w:snapToGrid w:val="0"/>
              <w:jc w:val="center"/>
              <w:rPr>
                <w:rFonts w:eastAsia="仿宋"/>
                <w:sz w:val="24"/>
                <w:szCs w:val="28"/>
                <w:lang w:val="zh-CN"/>
              </w:rPr>
            </w:pPr>
            <w:r>
              <w:rPr>
                <w:rFonts w:eastAsia="仿宋"/>
                <w:sz w:val="24"/>
                <w:szCs w:val="28"/>
                <w:lang w:val="zh-CN"/>
              </w:rPr>
              <w:t>1</w:t>
            </w:r>
            <w:r>
              <w:rPr>
                <w:rFonts w:eastAsia="仿宋"/>
                <w:sz w:val="24"/>
                <w:szCs w:val="28"/>
                <w:lang w:val="zh-CN"/>
              </w:rPr>
              <w:t>项</w:t>
            </w:r>
          </w:p>
        </w:tc>
        <w:tc>
          <w:tcPr>
            <w:tcW w:w="0" w:type="auto"/>
            <w:shd w:val="clear" w:color="auto" w:fill="FFFFFF"/>
          </w:tcPr>
          <w:p w14:paraId="27FED24D" w14:textId="77777777" w:rsidR="00E26138" w:rsidRDefault="00E26138" w:rsidP="00DD1A39">
            <w:pPr>
              <w:snapToGrid w:val="0"/>
              <w:jc w:val="center"/>
              <w:rPr>
                <w:rFonts w:eastAsia="仿宋"/>
                <w:sz w:val="24"/>
                <w:szCs w:val="28"/>
                <w:lang w:val="zh-CN"/>
              </w:rPr>
            </w:pPr>
            <w:r>
              <w:rPr>
                <w:rFonts w:eastAsia="仿宋"/>
                <w:sz w:val="24"/>
                <w:szCs w:val="28"/>
                <w:lang w:val="zh-CN"/>
              </w:rPr>
              <w:t>租赁和商务服务业</w:t>
            </w:r>
          </w:p>
        </w:tc>
      </w:tr>
      <w:bookmarkEnd w:id="0"/>
    </w:tbl>
    <w:p w14:paraId="44FF96F4" w14:textId="77777777" w:rsidR="00E26138" w:rsidRDefault="00E26138" w:rsidP="00E26138"/>
    <w:p w14:paraId="1C4EEEED" w14:textId="77777777" w:rsidR="00E26138" w:rsidRDefault="00E26138" w:rsidP="00E26138">
      <w:pPr>
        <w:snapToGrid w:val="0"/>
        <w:rPr>
          <w:rFonts w:eastAsia="仿宋"/>
          <w:sz w:val="28"/>
          <w:szCs w:val="28"/>
          <w:lang w:val="zh-CN"/>
        </w:rPr>
      </w:pPr>
    </w:p>
    <w:p w14:paraId="1B30BD3C" w14:textId="77777777" w:rsidR="00E26138" w:rsidRDefault="00E26138" w:rsidP="00E26138">
      <w:pPr>
        <w:numPr>
          <w:ilvl w:val="0"/>
          <w:numId w:val="1"/>
        </w:numPr>
        <w:adjustRightInd w:val="0"/>
        <w:spacing w:line="300" w:lineRule="exact"/>
        <w:rPr>
          <w:rFonts w:ascii="宋体" w:hAnsi="宋体"/>
          <w:b/>
          <w:bCs/>
          <w:color w:val="000000"/>
          <w:spacing w:val="8"/>
          <w:sz w:val="28"/>
          <w:szCs w:val="28"/>
        </w:rPr>
      </w:pPr>
      <w:r>
        <w:rPr>
          <w:rFonts w:ascii="宋体" w:hAnsi="宋体" w:hint="eastAsia"/>
          <w:b/>
          <w:bCs/>
          <w:color w:val="000000"/>
          <w:spacing w:val="8"/>
          <w:sz w:val="28"/>
          <w:szCs w:val="28"/>
        </w:rPr>
        <w:t>技术、商务及其他要求</w:t>
      </w:r>
    </w:p>
    <w:p w14:paraId="37D8770C" w14:textId="77777777" w:rsidR="00E26138" w:rsidRDefault="00E26138" w:rsidP="00E26138">
      <w:pPr>
        <w:adjustRightInd w:val="0"/>
        <w:spacing w:line="300" w:lineRule="exact"/>
        <w:rPr>
          <w:rFonts w:ascii="宋体" w:hAnsi="宋体"/>
          <w:b/>
          <w:bCs/>
          <w:color w:val="000000"/>
          <w:spacing w:val="8"/>
          <w:sz w:val="28"/>
          <w:szCs w:val="28"/>
        </w:rPr>
      </w:pPr>
    </w:p>
    <w:p w14:paraId="065BCF72" w14:textId="77777777" w:rsidR="00E26138" w:rsidRDefault="00E26138" w:rsidP="00E26138">
      <w:pPr>
        <w:spacing w:line="360" w:lineRule="auto"/>
        <w:rPr>
          <w:rFonts w:ascii="宋体"/>
          <w:sz w:val="24"/>
        </w:rPr>
      </w:pPr>
      <w:r>
        <w:rPr>
          <w:rFonts w:eastAsia="仿宋"/>
          <w:sz w:val="28"/>
          <w:szCs w:val="28"/>
        </w:rPr>
        <w:t xml:space="preserve">  </w:t>
      </w:r>
      <w:r>
        <w:rPr>
          <w:rFonts w:ascii="宋体" w:hAnsi="宋体" w:cs="宋体" w:hint="eastAsia"/>
          <w:b/>
          <w:bCs/>
          <w:sz w:val="24"/>
        </w:rPr>
        <w:t>（一）项目概况</w:t>
      </w:r>
      <w:r>
        <w:rPr>
          <w:rFonts w:ascii="宋体" w:hAnsi="宋体" w:cs="宋体" w:hint="eastAsia"/>
          <w:sz w:val="24"/>
        </w:rPr>
        <w:t>：</w:t>
      </w:r>
      <w:r>
        <w:rPr>
          <w:rFonts w:ascii="宋体" w:hAnsi="宋体" w:cs="宋体"/>
          <w:sz w:val="24"/>
        </w:rPr>
        <w:t xml:space="preserve"> </w:t>
      </w:r>
    </w:p>
    <w:p w14:paraId="0B31F1DA" w14:textId="77777777" w:rsidR="00E26138" w:rsidRDefault="00E26138" w:rsidP="00E26138">
      <w:pPr>
        <w:adjustRightInd w:val="0"/>
        <w:snapToGrid w:val="0"/>
        <w:spacing w:line="360" w:lineRule="auto"/>
        <w:ind w:firstLine="600"/>
        <w:rPr>
          <w:rFonts w:ascii="宋体"/>
          <w:sz w:val="24"/>
        </w:rPr>
      </w:pPr>
      <w:r>
        <w:rPr>
          <w:rFonts w:ascii="宋体" w:hAnsi="宋体" w:cs="宋体" w:hint="eastAsia"/>
          <w:sz w:val="24"/>
        </w:rPr>
        <w:t>过去</w:t>
      </w:r>
      <w:r>
        <w:rPr>
          <w:rFonts w:ascii="宋体" w:hAnsi="宋体" w:cs="宋体"/>
          <w:sz w:val="24"/>
        </w:rPr>
        <w:t>20</w:t>
      </w:r>
      <w:r>
        <w:rPr>
          <w:rFonts w:ascii="宋体" w:hAnsi="宋体" w:cs="宋体" w:hint="eastAsia"/>
          <w:sz w:val="24"/>
        </w:rPr>
        <w:t>年，中国经历了快速的城镇化阶段，城市人口不断积聚、城市用地不断扩张，而在这段历史时期也出现了城市发展不充分、不平衡等问题。随着党中央关于生态文明建设和高质量发展理念的提出，十九大五中全会、中央经济工作会议及全国住房和城乡建设工作会议均强调了实施城市更新行动的重要性，城市的发展势必进入深度城镇化的发展阶段，是人民满足美好生活需求；理念实现五位一体全面推进；空间进行精细更新品质提升；治理模式多元共治长效运营的实现途径。而城市更新作为近几年城市建设中关注的重点，正是城市深度城镇化升级发展过程必经的新的历程，它包含政府与市场共塑、存量与增量共塑、历史与文化创新共塑、公共利益与私人利益共塑、城市升级与产业升级共塑，也是中国特色深度城镇化发展新阶段的必由之路。最终，将实现城市作为有机体，从过去爆发式、手术式的治疗，转变为持续性、常态化的代谢式更新。</w:t>
      </w:r>
    </w:p>
    <w:p w14:paraId="1617FCD5" w14:textId="77777777" w:rsidR="00E26138" w:rsidRDefault="00E26138" w:rsidP="00E26138">
      <w:pPr>
        <w:adjustRightInd w:val="0"/>
        <w:snapToGrid w:val="0"/>
        <w:spacing w:line="360" w:lineRule="auto"/>
        <w:ind w:firstLine="600"/>
        <w:rPr>
          <w:rFonts w:ascii="宋体"/>
          <w:sz w:val="24"/>
        </w:rPr>
      </w:pPr>
      <w:r>
        <w:rPr>
          <w:rFonts w:ascii="宋体" w:hAnsi="宋体" w:cs="宋体" w:hint="eastAsia"/>
          <w:sz w:val="24"/>
        </w:rPr>
        <w:t>基于此，为提升绵阳市城市竞争力和</w:t>
      </w:r>
      <w:proofErr w:type="gramStart"/>
      <w:r>
        <w:rPr>
          <w:rFonts w:ascii="宋体" w:hAnsi="宋体" w:cs="宋体" w:hint="eastAsia"/>
          <w:sz w:val="24"/>
        </w:rPr>
        <w:t>宜居</w:t>
      </w:r>
      <w:proofErr w:type="gramEnd"/>
      <w:r>
        <w:rPr>
          <w:rFonts w:ascii="宋体" w:hAnsi="宋体" w:cs="宋体" w:hint="eastAsia"/>
          <w:sz w:val="24"/>
        </w:rPr>
        <w:t>、</w:t>
      </w:r>
      <w:proofErr w:type="gramStart"/>
      <w:r>
        <w:rPr>
          <w:rFonts w:ascii="宋体" w:hAnsi="宋体" w:cs="宋体" w:hint="eastAsia"/>
          <w:sz w:val="24"/>
        </w:rPr>
        <w:t>宜业度</w:t>
      </w:r>
      <w:proofErr w:type="gramEnd"/>
      <w:r>
        <w:rPr>
          <w:rFonts w:ascii="宋体" w:hAnsi="宋体" w:cs="宋体" w:hint="eastAsia"/>
          <w:sz w:val="24"/>
        </w:rPr>
        <w:t>，统筹城市更新诉求，从关注个体利益向城市整体效益转变；从关注物质建设向人居环境转变；从以单个项目为主向片区综合更新转变；从大拆大建向渐进式更新转变；从粗放管理向精细治理转变，塑造绵阳市城市内在品质，提高城市建设管理水平，我</w:t>
      </w:r>
      <w:proofErr w:type="gramStart"/>
      <w:r>
        <w:rPr>
          <w:rFonts w:ascii="宋体" w:hAnsi="宋体" w:cs="宋体" w:hint="eastAsia"/>
          <w:sz w:val="24"/>
        </w:rPr>
        <w:t>委拟启动</w:t>
      </w:r>
      <w:proofErr w:type="gramEnd"/>
      <w:r>
        <w:rPr>
          <w:rFonts w:ascii="宋体" w:hAnsi="宋体" w:cs="宋体" w:hint="eastAsia"/>
          <w:sz w:val="24"/>
        </w:rPr>
        <w:t>本次《绵阳市城市更新专项规划及城市更新导则编制项目》编制工作。</w:t>
      </w:r>
      <w:r>
        <w:rPr>
          <w:rFonts w:ascii="宋体" w:hAnsi="宋体" w:cs="宋体"/>
          <w:sz w:val="24"/>
        </w:rPr>
        <w:t xml:space="preserve"> </w:t>
      </w:r>
    </w:p>
    <w:p w14:paraId="314B398B" w14:textId="77777777" w:rsidR="00E26138" w:rsidRDefault="00E26138" w:rsidP="00E26138">
      <w:pPr>
        <w:spacing w:line="360" w:lineRule="auto"/>
        <w:rPr>
          <w:rFonts w:ascii="宋体"/>
          <w:b/>
          <w:bCs/>
          <w:sz w:val="24"/>
        </w:rPr>
      </w:pPr>
      <w:bookmarkStart w:id="1" w:name="_Hlk68877262"/>
      <w:r>
        <w:rPr>
          <w:rFonts w:ascii="宋体" w:hAnsi="宋体" w:cs="宋体" w:hint="eastAsia"/>
          <w:b/>
          <w:bCs/>
          <w:sz w:val="24"/>
        </w:rPr>
        <w:t>（二）服务内容及要求</w:t>
      </w:r>
    </w:p>
    <w:bookmarkEnd w:id="1"/>
    <w:p w14:paraId="2DEB4BE2" w14:textId="77777777" w:rsidR="00E26138" w:rsidRDefault="00E26138" w:rsidP="00E26138">
      <w:pPr>
        <w:adjustRightInd w:val="0"/>
        <w:snapToGrid w:val="0"/>
        <w:spacing w:line="360" w:lineRule="auto"/>
        <w:ind w:firstLine="600"/>
        <w:rPr>
          <w:rFonts w:ascii="宋体"/>
          <w:sz w:val="24"/>
        </w:rPr>
      </w:pPr>
      <w:r>
        <w:rPr>
          <w:rFonts w:ascii="宋体" w:hAnsi="宋体" w:cs="宋体" w:hint="eastAsia"/>
          <w:sz w:val="24"/>
        </w:rPr>
        <w:lastRenderedPageBreak/>
        <w:t>《绵阳市城市更新专项规划及城市更新导则编制项目》编制工作由我委组织编制。</w:t>
      </w:r>
    </w:p>
    <w:p w14:paraId="36CAF465" w14:textId="77777777" w:rsidR="00E26138" w:rsidRDefault="00E26138" w:rsidP="00E26138">
      <w:pPr>
        <w:adjustRightInd w:val="0"/>
        <w:snapToGrid w:val="0"/>
        <w:spacing w:line="360" w:lineRule="auto"/>
        <w:ind w:firstLine="600"/>
        <w:rPr>
          <w:rFonts w:ascii="宋体"/>
          <w:sz w:val="24"/>
        </w:rPr>
      </w:pPr>
      <w:r>
        <w:rPr>
          <w:rFonts w:ascii="宋体" w:hAnsi="宋体" w:cs="宋体" w:hint="eastAsia"/>
          <w:sz w:val="24"/>
        </w:rPr>
        <w:t>本次更新专项规划及导则的成果内容、深度和数量按照城市更新相关要求执行，并切实贯彻落实绵阳市委市政府、相关职能部门及我委工作部署的相关要求。</w:t>
      </w:r>
    </w:p>
    <w:p w14:paraId="230E919F" w14:textId="77777777" w:rsidR="00E26138" w:rsidRDefault="00E26138" w:rsidP="00E26138">
      <w:pPr>
        <w:spacing w:line="360" w:lineRule="auto"/>
        <w:ind w:firstLineChars="200" w:firstLine="482"/>
        <w:rPr>
          <w:rFonts w:ascii="宋体"/>
          <w:b/>
          <w:bCs/>
          <w:sz w:val="24"/>
        </w:rPr>
      </w:pPr>
      <w:r>
        <w:rPr>
          <w:rFonts w:ascii="宋体" w:hAnsi="宋体" w:cs="宋体"/>
          <w:b/>
          <w:bCs/>
          <w:sz w:val="24"/>
        </w:rPr>
        <w:t>1</w:t>
      </w:r>
      <w:r>
        <w:rPr>
          <w:rFonts w:ascii="宋体" w:hAnsi="宋体" w:cs="宋体" w:hint="eastAsia"/>
          <w:b/>
          <w:bCs/>
          <w:sz w:val="24"/>
        </w:rPr>
        <w:t>、服务范围</w:t>
      </w:r>
    </w:p>
    <w:p w14:paraId="00F54CD1" w14:textId="77777777" w:rsidR="00E26138" w:rsidRDefault="00E26138" w:rsidP="00E26138">
      <w:pPr>
        <w:adjustRightInd w:val="0"/>
        <w:snapToGrid w:val="0"/>
        <w:spacing w:line="360" w:lineRule="auto"/>
        <w:ind w:firstLine="600"/>
        <w:rPr>
          <w:rFonts w:ascii="宋体"/>
          <w:sz w:val="24"/>
        </w:rPr>
      </w:pPr>
      <w:r>
        <w:rPr>
          <w:rFonts w:ascii="宋体" w:hAnsi="宋体" w:cs="宋体" w:hint="eastAsia"/>
          <w:sz w:val="24"/>
        </w:rPr>
        <w:t>本次《绵阳市城市更新专项规划及城市更新导则编制项目》其服务范围主要为绵阳市中心城区，其规划总用地面积为</w:t>
      </w:r>
      <w:r>
        <w:rPr>
          <w:rFonts w:ascii="宋体" w:hAnsi="宋体" w:cs="宋体"/>
          <w:sz w:val="24"/>
        </w:rPr>
        <w:t>167.58</w:t>
      </w:r>
      <w:r>
        <w:rPr>
          <w:rFonts w:ascii="宋体" w:hAnsi="宋体" w:cs="宋体" w:hint="eastAsia"/>
          <w:sz w:val="24"/>
        </w:rPr>
        <w:t>平方公里，常住人口</w:t>
      </w:r>
      <w:r>
        <w:rPr>
          <w:rFonts w:ascii="宋体" w:hAnsi="宋体" w:cs="宋体"/>
          <w:sz w:val="24"/>
        </w:rPr>
        <w:t>141.97</w:t>
      </w:r>
      <w:r>
        <w:rPr>
          <w:rFonts w:ascii="宋体" w:hAnsi="宋体" w:cs="宋体" w:hint="eastAsia"/>
          <w:sz w:val="24"/>
        </w:rPr>
        <w:t>万人。</w:t>
      </w:r>
    </w:p>
    <w:p w14:paraId="5D90AF69" w14:textId="77777777" w:rsidR="00E26138" w:rsidRDefault="00E26138" w:rsidP="00E26138">
      <w:pPr>
        <w:spacing w:line="360" w:lineRule="auto"/>
        <w:ind w:firstLineChars="200" w:firstLine="482"/>
        <w:rPr>
          <w:rFonts w:ascii="宋体"/>
          <w:b/>
          <w:bCs/>
          <w:sz w:val="24"/>
        </w:rPr>
      </w:pPr>
      <w:r>
        <w:rPr>
          <w:rFonts w:ascii="宋体" w:hAnsi="宋体" w:cs="宋体"/>
          <w:b/>
          <w:bCs/>
          <w:sz w:val="24"/>
        </w:rPr>
        <w:t>2</w:t>
      </w:r>
      <w:r>
        <w:rPr>
          <w:rFonts w:ascii="宋体" w:hAnsi="宋体" w:cs="宋体" w:hint="eastAsia"/>
          <w:b/>
          <w:bCs/>
          <w:sz w:val="24"/>
        </w:rPr>
        <w:t>、服务内容</w:t>
      </w:r>
    </w:p>
    <w:p w14:paraId="12A645E9" w14:textId="77777777" w:rsidR="00E26138" w:rsidRDefault="00E26138" w:rsidP="00E26138">
      <w:pPr>
        <w:spacing w:line="360" w:lineRule="auto"/>
        <w:ind w:firstLineChars="200" w:firstLine="480"/>
        <w:rPr>
          <w:rFonts w:ascii="宋体"/>
          <w:sz w:val="24"/>
        </w:rPr>
      </w:pPr>
      <w:r>
        <w:rPr>
          <w:rFonts w:ascii="宋体" w:hAnsi="宋体" w:cs="宋体" w:hint="eastAsia"/>
          <w:sz w:val="24"/>
        </w:rPr>
        <w:t>本次《绵阳市城市更新专项规划及城市更新导则编制项目》其服务内容包括城市更新专项规划及城市更新导则两部分内容。按照城市更新相关内容，结合本项目诉求，城市更新专项规划及城市更新导则整体共包括</w:t>
      </w:r>
      <w:r>
        <w:rPr>
          <w:rFonts w:ascii="宋体" w:hAnsi="宋体" w:cs="宋体"/>
          <w:sz w:val="24"/>
        </w:rPr>
        <w:t>6</w:t>
      </w:r>
      <w:r>
        <w:rPr>
          <w:rFonts w:ascii="宋体" w:hAnsi="宋体" w:cs="宋体" w:hint="eastAsia"/>
          <w:sz w:val="24"/>
        </w:rPr>
        <w:t>个方面的具体内容：</w:t>
      </w:r>
    </w:p>
    <w:p w14:paraId="0FD4B6C4" w14:textId="77777777" w:rsidR="00E26138" w:rsidRDefault="00E26138" w:rsidP="00E26138">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识别更新对象。通过对绵阳市中心城区的</w:t>
      </w:r>
      <w:proofErr w:type="gramStart"/>
      <w:r>
        <w:rPr>
          <w:rFonts w:ascii="宋体" w:hAnsi="宋体" w:cs="宋体" w:hint="eastAsia"/>
          <w:sz w:val="24"/>
        </w:rPr>
        <w:t>研</w:t>
      </w:r>
      <w:proofErr w:type="gramEnd"/>
      <w:r>
        <w:rPr>
          <w:rFonts w:ascii="宋体" w:hAnsi="宋体" w:cs="宋体" w:hint="eastAsia"/>
          <w:sz w:val="24"/>
        </w:rPr>
        <w:t>判，综合城市特色进行更新对象识别。</w:t>
      </w:r>
    </w:p>
    <w:p w14:paraId="6E743CBD" w14:textId="77777777" w:rsidR="00E26138" w:rsidRDefault="00E26138" w:rsidP="00E26138">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指引更新模式。针对不同的更新类别、对象，在统筹考虑绵阳市城市整体发展诉求及历程的基础上，针对性施策，形成分类指引要求。</w:t>
      </w:r>
    </w:p>
    <w:p w14:paraId="7C4B200F" w14:textId="77777777" w:rsidR="00E26138" w:rsidRDefault="00E26138" w:rsidP="00E26138">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划定更新单元。结合更新类别、对象，充分考虑城市更新相关指标的要求，以单元为单位划定城市更新单元。</w:t>
      </w:r>
    </w:p>
    <w:p w14:paraId="6919D3F6" w14:textId="77777777" w:rsidR="00E26138" w:rsidRDefault="00E26138" w:rsidP="00E26138">
      <w:pPr>
        <w:spacing w:line="360" w:lineRule="auto"/>
        <w:ind w:firstLineChars="200" w:firstLine="480"/>
        <w:rPr>
          <w:rFonts w:ascii="宋体"/>
          <w:sz w:val="24"/>
        </w:rPr>
      </w:pPr>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制定更新项目。以各更新单元为基础，按照更新模式，结合发展需求，充分</w:t>
      </w:r>
      <w:proofErr w:type="gramStart"/>
      <w:r>
        <w:rPr>
          <w:rFonts w:ascii="宋体" w:hAnsi="宋体" w:cs="宋体" w:hint="eastAsia"/>
          <w:sz w:val="24"/>
        </w:rPr>
        <w:t>考虑业</w:t>
      </w:r>
      <w:proofErr w:type="gramEnd"/>
      <w:r>
        <w:rPr>
          <w:rFonts w:ascii="宋体" w:hAnsi="宋体" w:cs="宋体" w:hint="eastAsia"/>
          <w:sz w:val="24"/>
        </w:rPr>
        <w:t>态、文化、人居、风貌等诸多因素，制定相应的更新目标及重点项目，指引下阶段工作开展。</w:t>
      </w:r>
    </w:p>
    <w:p w14:paraId="1EE56F98" w14:textId="77777777" w:rsidR="00E26138" w:rsidRDefault="00E26138" w:rsidP="00E26138">
      <w:pPr>
        <w:spacing w:line="360" w:lineRule="auto"/>
        <w:ind w:firstLineChars="200" w:firstLine="480"/>
        <w:rPr>
          <w:rFonts w:ascii="宋体"/>
          <w:sz w:val="24"/>
        </w:rPr>
      </w:pPr>
      <w:r>
        <w:rPr>
          <w:rFonts w:ascii="宋体" w:hAnsi="宋体" w:cs="宋体"/>
          <w:sz w:val="24"/>
        </w:rPr>
        <w:t>5</w:t>
      </w:r>
      <w:r>
        <w:rPr>
          <w:rFonts w:ascii="宋体" w:hAnsi="宋体" w:cs="宋体" w:hint="eastAsia"/>
          <w:sz w:val="24"/>
        </w:rPr>
        <w:t>）</w:t>
      </w:r>
      <w:r>
        <w:rPr>
          <w:rFonts w:ascii="宋体" w:hAnsi="宋体" w:cs="宋体"/>
          <w:sz w:val="24"/>
        </w:rPr>
        <w:t xml:space="preserve"> </w:t>
      </w:r>
      <w:r>
        <w:rPr>
          <w:rFonts w:ascii="宋体" w:hAnsi="宋体" w:cs="宋体" w:hint="eastAsia"/>
          <w:sz w:val="24"/>
        </w:rPr>
        <w:t>构建更新体系。将更新体系与制度相结合，实现与空间规划相匹配的更新体系，促进更新项目的开展、实施。</w:t>
      </w:r>
    </w:p>
    <w:p w14:paraId="62F6CAEC" w14:textId="77777777" w:rsidR="00E26138" w:rsidRDefault="00E26138" w:rsidP="00E26138">
      <w:pPr>
        <w:spacing w:line="360" w:lineRule="auto"/>
        <w:ind w:firstLineChars="200" w:firstLine="480"/>
        <w:rPr>
          <w:rFonts w:ascii="宋体"/>
          <w:sz w:val="24"/>
        </w:rPr>
      </w:pPr>
      <w:r>
        <w:rPr>
          <w:rFonts w:ascii="宋体" w:hAnsi="宋体" w:cs="宋体"/>
          <w:sz w:val="24"/>
        </w:rPr>
        <w:t>6</w:t>
      </w:r>
      <w:r>
        <w:rPr>
          <w:rFonts w:ascii="宋体" w:hAnsi="宋体" w:cs="宋体" w:hint="eastAsia"/>
          <w:sz w:val="24"/>
        </w:rPr>
        <w:t>）</w:t>
      </w:r>
      <w:r>
        <w:rPr>
          <w:rFonts w:ascii="宋体" w:hAnsi="宋体" w:cs="宋体"/>
          <w:sz w:val="24"/>
        </w:rPr>
        <w:t xml:space="preserve"> </w:t>
      </w:r>
      <w:r>
        <w:rPr>
          <w:rFonts w:ascii="宋体" w:hAnsi="宋体" w:cs="宋体" w:hint="eastAsia"/>
          <w:sz w:val="24"/>
        </w:rPr>
        <w:t>明确更新引导。制定城市更新导则，明确城市更新引导，将规划转变为管理逻辑，高效推进城市更新步伐。</w:t>
      </w:r>
    </w:p>
    <w:p w14:paraId="30D39C1F" w14:textId="77777777" w:rsidR="00E26138" w:rsidRDefault="00E26138" w:rsidP="00E26138">
      <w:pPr>
        <w:spacing w:line="360" w:lineRule="auto"/>
        <w:ind w:firstLineChars="200" w:firstLine="482"/>
        <w:rPr>
          <w:rFonts w:ascii="宋体"/>
          <w:b/>
          <w:bCs/>
          <w:sz w:val="24"/>
        </w:rPr>
      </w:pPr>
      <w:r>
        <w:rPr>
          <w:rFonts w:ascii="宋体" w:hAnsi="宋体" w:cs="宋体"/>
          <w:b/>
          <w:bCs/>
          <w:sz w:val="24"/>
        </w:rPr>
        <w:t>3</w:t>
      </w:r>
      <w:r>
        <w:rPr>
          <w:rFonts w:ascii="宋体" w:hAnsi="宋体" w:cs="宋体" w:hint="eastAsia"/>
          <w:b/>
          <w:bCs/>
          <w:sz w:val="24"/>
        </w:rPr>
        <w:t>、服务要求</w:t>
      </w:r>
    </w:p>
    <w:p w14:paraId="411929AD" w14:textId="77777777" w:rsidR="00E26138" w:rsidRDefault="00E26138" w:rsidP="00E26138">
      <w:pPr>
        <w:spacing w:line="360" w:lineRule="auto"/>
        <w:ind w:firstLineChars="200" w:firstLine="480"/>
        <w:rPr>
          <w:rFonts w:ascii="宋体"/>
          <w:sz w:val="24"/>
        </w:rPr>
      </w:pPr>
      <w:r>
        <w:rPr>
          <w:rFonts w:ascii="宋体" w:hAnsi="宋体" w:cs="宋体"/>
          <w:sz w:val="24"/>
        </w:rPr>
        <w:t xml:space="preserve">3.1  </w:t>
      </w:r>
      <w:r>
        <w:rPr>
          <w:rFonts w:ascii="宋体" w:hAnsi="宋体" w:cs="宋体" w:hint="eastAsia"/>
          <w:sz w:val="24"/>
        </w:rPr>
        <w:t>绵阳市城市更新专项规划服务要求</w:t>
      </w:r>
    </w:p>
    <w:p w14:paraId="7D60B892" w14:textId="77777777" w:rsidR="00E26138" w:rsidRDefault="00E26138" w:rsidP="00E26138">
      <w:pPr>
        <w:spacing w:line="360" w:lineRule="auto"/>
        <w:ind w:firstLineChars="200" w:firstLine="480"/>
        <w:rPr>
          <w:rFonts w:ascii="宋体"/>
          <w:sz w:val="24"/>
        </w:rPr>
      </w:pPr>
      <w:r>
        <w:rPr>
          <w:rFonts w:ascii="宋体" w:hAnsi="宋体" w:cs="宋体" w:hint="eastAsia"/>
          <w:sz w:val="24"/>
        </w:rPr>
        <w:t>绵阳市城市更新专项规划部分服务要求主要包括但不限于以下</w:t>
      </w:r>
      <w:r>
        <w:rPr>
          <w:rFonts w:ascii="宋体" w:hAnsi="宋体" w:cs="宋体"/>
          <w:sz w:val="24"/>
        </w:rPr>
        <w:t>8</w:t>
      </w:r>
      <w:r>
        <w:rPr>
          <w:rFonts w:ascii="宋体" w:hAnsi="宋体" w:cs="宋体" w:hint="eastAsia"/>
          <w:sz w:val="24"/>
        </w:rPr>
        <w:t>个方面：</w:t>
      </w:r>
    </w:p>
    <w:p w14:paraId="0295BA5F" w14:textId="77777777" w:rsidR="00E26138" w:rsidRDefault="00E26138" w:rsidP="00E26138">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区域现状</w:t>
      </w:r>
      <w:proofErr w:type="gramStart"/>
      <w:r>
        <w:rPr>
          <w:rFonts w:ascii="宋体" w:hAnsi="宋体" w:cs="宋体" w:hint="eastAsia"/>
          <w:sz w:val="24"/>
        </w:rPr>
        <w:t>研</w:t>
      </w:r>
      <w:proofErr w:type="gramEnd"/>
      <w:r>
        <w:rPr>
          <w:rFonts w:ascii="宋体" w:hAnsi="宋体" w:cs="宋体" w:hint="eastAsia"/>
          <w:sz w:val="24"/>
        </w:rPr>
        <w:t>判。通过对绵阳市现状城市建设情况的判别，找准主要问题</w:t>
      </w:r>
      <w:r>
        <w:rPr>
          <w:rFonts w:ascii="宋体" w:hAnsi="宋体" w:cs="宋体" w:hint="eastAsia"/>
          <w:sz w:val="24"/>
        </w:rPr>
        <w:lastRenderedPageBreak/>
        <w:t>及更新诉求，明确本次更新规划中须重点解决的难点。</w:t>
      </w:r>
    </w:p>
    <w:p w14:paraId="451B6F68" w14:textId="77777777" w:rsidR="00E26138" w:rsidRDefault="00E26138" w:rsidP="00E26138">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更新目标思路。按照城市更新的实际逻辑，结合现状的</w:t>
      </w:r>
      <w:proofErr w:type="gramStart"/>
      <w:r>
        <w:rPr>
          <w:rFonts w:ascii="宋体" w:hAnsi="宋体" w:cs="宋体" w:hint="eastAsia"/>
          <w:sz w:val="24"/>
        </w:rPr>
        <w:t>研判制定</w:t>
      </w:r>
      <w:proofErr w:type="gramEnd"/>
      <w:r>
        <w:rPr>
          <w:rFonts w:ascii="宋体" w:hAnsi="宋体" w:cs="宋体" w:hint="eastAsia"/>
          <w:sz w:val="24"/>
        </w:rPr>
        <w:t>出符合绵阳市自身的更新目标，确定相应的更新思路。</w:t>
      </w:r>
    </w:p>
    <w:p w14:paraId="488DB8A8" w14:textId="77777777" w:rsidR="00E26138" w:rsidRDefault="00E26138" w:rsidP="00E26138">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提出更新策略。基于目标的实现，按照功能、文化、人居、风貌、基础设施、综合治理等方面，提出相应的更新策略，以保证目标的分解实施，并能将策略高效的贯彻到城市更新规划中。</w:t>
      </w:r>
    </w:p>
    <w:p w14:paraId="7FF1E7A2" w14:textId="77777777" w:rsidR="00E26138" w:rsidRDefault="00E26138" w:rsidP="00E26138">
      <w:pPr>
        <w:spacing w:line="360" w:lineRule="auto"/>
        <w:ind w:firstLineChars="200" w:firstLine="480"/>
        <w:rPr>
          <w:rFonts w:ascii="宋体"/>
          <w:sz w:val="24"/>
        </w:rPr>
      </w:pPr>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界定更新对象。结合现状识别工作，明确基于绵阳市自身特色的成绩更新对象，包括但不限于老旧小区、低效商业、低效工业等，明确提出相应的识别方式、方法，对全市更新对象进行统计。</w:t>
      </w:r>
    </w:p>
    <w:p w14:paraId="7E50338D" w14:textId="77777777" w:rsidR="00E26138" w:rsidRDefault="00E26138" w:rsidP="00E26138">
      <w:pPr>
        <w:spacing w:line="360" w:lineRule="auto"/>
        <w:ind w:firstLineChars="200" w:firstLine="480"/>
        <w:rPr>
          <w:rFonts w:ascii="宋体"/>
          <w:sz w:val="24"/>
        </w:rPr>
      </w:pPr>
      <w:r>
        <w:rPr>
          <w:rFonts w:ascii="宋体" w:hAnsi="宋体" w:cs="宋体"/>
          <w:sz w:val="24"/>
        </w:rPr>
        <w:t>5</w:t>
      </w:r>
      <w:r>
        <w:rPr>
          <w:rFonts w:ascii="宋体" w:hAnsi="宋体" w:cs="宋体" w:hint="eastAsia"/>
          <w:sz w:val="24"/>
        </w:rPr>
        <w:t>）</w:t>
      </w:r>
      <w:r>
        <w:rPr>
          <w:rFonts w:ascii="宋体" w:hAnsi="宋体" w:cs="宋体"/>
          <w:sz w:val="24"/>
        </w:rPr>
        <w:t xml:space="preserve"> </w:t>
      </w:r>
      <w:r>
        <w:rPr>
          <w:rFonts w:ascii="宋体" w:hAnsi="宋体" w:cs="宋体" w:hint="eastAsia"/>
          <w:sz w:val="24"/>
        </w:rPr>
        <w:t>更新模式指引。按照“拆、改、留”三大类别，确定不同更新方式适用的更新对象，并提出相应的实施主体及更新重点模式，确定更新导向。</w:t>
      </w:r>
    </w:p>
    <w:p w14:paraId="65D6923F" w14:textId="77777777" w:rsidR="00E26138" w:rsidRDefault="00E26138" w:rsidP="00E26138">
      <w:pPr>
        <w:spacing w:line="360" w:lineRule="auto"/>
        <w:ind w:firstLineChars="200" w:firstLine="480"/>
        <w:rPr>
          <w:rFonts w:ascii="宋体"/>
          <w:sz w:val="24"/>
        </w:rPr>
      </w:pPr>
      <w:r>
        <w:rPr>
          <w:rFonts w:ascii="宋体" w:hAnsi="宋体" w:cs="宋体"/>
          <w:sz w:val="24"/>
        </w:rPr>
        <w:t>6</w:t>
      </w:r>
      <w:r>
        <w:rPr>
          <w:rFonts w:ascii="宋体" w:hAnsi="宋体" w:cs="宋体" w:hint="eastAsia"/>
          <w:sz w:val="24"/>
        </w:rPr>
        <w:t>）更新单元划定。通过“片区＋单元”的模式，根据更新对象特征，充分考虑经济、社会等因素，综合城市未来发展导向，按照有关技术规范划定相应的城市更新单元，并以更新单元为基础，综合特色、资源及要求，组成更新片区。</w:t>
      </w:r>
    </w:p>
    <w:p w14:paraId="73B5559F" w14:textId="77777777" w:rsidR="00E26138" w:rsidRDefault="00E26138" w:rsidP="00E26138">
      <w:pPr>
        <w:spacing w:line="360" w:lineRule="auto"/>
        <w:ind w:firstLineChars="200" w:firstLine="480"/>
        <w:rPr>
          <w:rFonts w:ascii="宋体"/>
          <w:sz w:val="24"/>
        </w:rPr>
      </w:pPr>
      <w:r>
        <w:rPr>
          <w:rFonts w:ascii="宋体" w:hAnsi="宋体" w:cs="宋体"/>
          <w:sz w:val="24"/>
        </w:rPr>
        <w:t>7</w:t>
      </w:r>
      <w:r>
        <w:rPr>
          <w:rFonts w:ascii="宋体" w:hAnsi="宋体" w:cs="宋体" w:hint="eastAsia"/>
          <w:sz w:val="24"/>
        </w:rPr>
        <w:t>）</w:t>
      </w:r>
      <w:r>
        <w:rPr>
          <w:rFonts w:ascii="宋体" w:hAnsi="宋体" w:cs="宋体"/>
          <w:sz w:val="24"/>
        </w:rPr>
        <w:t xml:space="preserve"> </w:t>
      </w:r>
      <w:r>
        <w:rPr>
          <w:rFonts w:ascii="宋体" w:hAnsi="宋体" w:cs="宋体" w:hint="eastAsia"/>
          <w:sz w:val="24"/>
        </w:rPr>
        <w:t>更新项目制定。基于更新片区是对于一定区域内特色、资源及要求较为集中的区域，故以更新片区为基础，在更新片区内确定相应的更新目标及项目体系，并通过产业、文化等资源的导入，以实现更新项目的有效指引。</w:t>
      </w:r>
    </w:p>
    <w:p w14:paraId="0EA2B3B2" w14:textId="77777777" w:rsidR="00E26138" w:rsidRDefault="00E26138" w:rsidP="00E26138">
      <w:pPr>
        <w:spacing w:line="360" w:lineRule="auto"/>
        <w:ind w:firstLineChars="200" w:firstLine="480"/>
        <w:rPr>
          <w:rFonts w:ascii="宋体"/>
          <w:sz w:val="24"/>
        </w:rPr>
      </w:pPr>
      <w:r>
        <w:rPr>
          <w:rFonts w:ascii="宋体" w:hAnsi="宋体" w:cs="宋体"/>
          <w:sz w:val="24"/>
        </w:rPr>
        <w:t>8</w:t>
      </w:r>
      <w:r>
        <w:rPr>
          <w:rFonts w:ascii="宋体" w:hAnsi="宋体" w:cs="宋体" w:hint="eastAsia"/>
          <w:sz w:val="24"/>
        </w:rPr>
        <w:t>）</w:t>
      </w:r>
      <w:r>
        <w:rPr>
          <w:rFonts w:ascii="宋体" w:hAnsi="宋体" w:cs="宋体"/>
          <w:sz w:val="24"/>
        </w:rPr>
        <w:t xml:space="preserve"> </w:t>
      </w:r>
      <w:r>
        <w:rPr>
          <w:rFonts w:ascii="宋体" w:hAnsi="宋体" w:cs="宋体" w:hint="eastAsia"/>
          <w:sz w:val="24"/>
        </w:rPr>
        <w:t>构建更新体系。将更新规划体系、政策法规体系、实施运维体系“三位一体”，形成绵阳市自身的城市更新体系。</w:t>
      </w:r>
    </w:p>
    <w:p w14:paraId="12D45BC1" w14:textId="77777777" w:rsidR="00E26138" w:rsidRDefault="00E26138" w:rsidP="00E26138">
      <w:pPr>
        <w:spacing w:line="360" w:lineRule="auto"/>
        <w:ind w:firstLineChars="200" w:firstLine="480"/>
        <w:rPr>
          <w:rFonts w:ascii="宋体"/>
          <w:sz w:val="24"/>
        </w:rPr>
      </w:pPr>
      <w:r>
        <w:rPr>
          <w:rFonts w:ascii="宋体" w:hAnsi="宋体" w:cs="宋体"/>
          <w:sz w:val="24"/>
        </w:rPr>
        <w:t xml:space="preserve">3.2  </w:t>
      </w:r>
      <w:r>
        <w:rPr>
          <w:rFonts w:ascii="宋体" w:hAnsi="宋体" w:cs="宋体" w:hint="eastAsia"/>
          <w:sz w:val="24"/>
        </w:rPr>
        <w:t>绵阳市城市更新导</w:t>
      </w:r>
      <w:proofErr w:type="gramStart"/>
      <w:r>
        <w:rPr>
          <w:rFonts w:ascii="宋体" w:hAnsi="宋体" w:cs="宋体" w:hint="eastAsia"/>
          <w:sz w:val="24"/>
        </w:rPr>
        <w:t>则服务</w:t>
      </w:r>
      <w:proofErr w:type="gramEnd"/>
      <w:r>
        <w:rPr>
          <w:rFonts w:ascii="宋体" w:hAnsi="宋体" w:cs="宋体" w:hint="eastAsia"/>
          <w:sz w:val="24"/>
        </w:rPr>
        <w:t>要求</w:t>
      </w:r>
    </w:p>
    <w:p w14:paraId="77D0B568" w14:textId="77777777" w:rsidR="00E26138" w:rsidRDefault="00E26138" w:rsidP="00E26138">
      <w:pPr>
        <w:spacing w:line="360" w:lineRule="auto"/>
        <w:ind w:firstLineChars="200" w:firstLine="480"/>
        <w:rPr>
          <w:rFonts w:ascii="宋体"/>
          <w:sz w:val="24"/>
        </w:rPr>
      </w:pPr>
      <w:r>
        <w:rPr>
          <w:rFonts w:ascii="宋体" w:hAnsi="宋体" w:cs="宋体" w:hint="eastAsia"/>
          <w:sz w:val="24"/>
        </w:rPr>
        <w:t>绵阳市城市更新导则是对城市更新专项规划的细化，以形成城市更新规划实施的有效依据，将重点依托城市更新规划重点实施性内容予以细化完善，并形成</w:t>
      </w:r>
      <w:proofErr w:type="gramStart"/>
      <w:r>
        <w:rPr>
          <w:rFonts w:ascii="宋体" w:hAnsi="宋体" w:cs="宋体" w:hint="eastAsia"/>
          <w:sz w:val="24"/>
        </w:rPr>
        <w:t>导则式管理</w:t>
      </w:r>
      <w:proofErr w:type="gramEnd"/>
      <w:r>
        <w:rPr>
          <w:rFonts w:ascii="宋体" w:hAnsi="宋体" w:cs="宋体" w:hint="eastAsia"/>
          <w:sz w:val="24"/>
        </w:rPr>
        <w:t>性文件，指导后期城市更新相关要求实施落地。</w:t>
      </w:r>
    </w:p>
    <w:p w14:paraId="1CCC3CC3" w14:textId="77777777" w:rsidR="00E26138" w:rsidRDefault="00E26138" w:rsidP="00E26138">
      <w:pPr>
        <w:spacing w:line="360" w:lineRule="auto"/>
        <w:ind w:firstLineChars="200" w:firstLine="482"/>
        <w:rPr>
          <w:rFonts w:ascii="宋体"/>
          <w:b/>
          <w:bCs/>
          <w:sz w:val="24"/>
        </w:rPr>
      </w:pPr>
      <w:r>
        <w:rPr>
          <w:rFonts w:ascii="宋体" w:hAnsi="宋体" w:cs="宋体"/>
          <w:b/>
          <w:bCs/>
          <w:sz w:val="24"/>
        </w:rPr>
        <w:t>4</w:t>
      </w:r>
      <w:r>
        <w:rPr>
          <w:rFonts w:ascii="宋体" w:hAnsi="宋体" w:cs="宋体" w:hint="eastAsia"/>
          <w:b/>
          <w:bCs/>
          <w:sz w:val="24"/>
        </w:rPr>
        <w:t>、成果要求</w:t>
      </w:r>
    </w:p>
    <w:p w14:paraId="6243C08E" w14:textId="77777777" w:rsidR="00E26138" w:rsidRDefault="00E26138" w:rsidP="00E26138">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绵阳市城市更新专项规划最终成果为图文并茂报告，并重点包括更新对象、更新单元等重点图纸。</w:t>
      </w:r>
    </w:p>
    <w:p w14:paraId="5C3EFEDF" w14:textId="77777777" w:rsidR="00E26138" w:rsidRDefault="00E26138" w:rsidP="00E26138">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绵阳市城市更新导</w:t>
      </w:r>
      <w:proofErr w:type="gramStart"/>
      <w:r>
        <w:rPr>
          <w:rFonts w:ascii="宋体" w:hAnsi="宋体" w:cs="宋体" w:hint="eastAsia"/>
          <w:sz w:val="24"/>
        </w:rPr>
        <w:t>则服务</w:t>
      </w:r>
      <w:proofErr w:type="gramEnd"/>
      <w:r>
        <w:rPr>
          <w:rFonts w:ascii="宋体" w:hAnsi="宋体" w:cs="宋体" w:hint="eastAsia"/>
          <w:sz w:val="24"/>
        </w:rPr>
        <w:t>要求最终成果为图文并茂报告。</w:t>
      </w:r>
    </w:p>
    <w:p w14:paraId="77C49171" w14:textId="77777777" w:rsidR="00E26138" w:rsidRDefault="00E26138" w:rsidP="00E26138">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最终成果提交纸质文件</w:t>
      </w:r>
      <w:r>
        <w:rPr>
          <w:rFonts w:ascii="宋体" w:hAnsi="宋体" w:cs="宋体"/>
          <w:sz w:val="24"/>
        </w:rPr>
        <w:t>8</w:t>
      </w:r>
      <w:r>
        <w:rPr>
          <w:rFonts w:ascii="宋体" w:hAnsi="宋体" w:cs="宋体" w:hint="eastAsia"/>
          <w:sz w:val="24"/>
        </w:rPr>
        <w:t>套（加盖供应商出图章）、电子文件光盘</w:t>
      </w:r>
      <w:r>
        <w:rPr>
          <w:rFonts w:ascii="宋体" w:hAnsi="宋体" w:cs="宋体"/>
          <w:sz w:val="24"/>
        </w:rPr>
        <w:t>2</w:t>
      </w:r>
      <w:r>
        <w:rPr>
          <w:rFonts w:ascii="宋体" w:hAnsi="宋体" w:cs="宋体" w:hint="eastAsia"/>
          <w:sz w:val="24"/>
        </w:rPr>
        <w:t>套。</w:t>
      </w:r>
    </w:p>
    <w:p w14:paraId="4B0C937C" w14:textId="77777777" w:rsidR="00E26138" w:rsidRDefault="00E26138" w:rsidP="00E26138">
      <w:pPr>
        <w:spacing w:line="360" w:lineRule="auto"/>
        <w:ind w:firstLineChars="200" w:firstLine="482"/>
        <w:rPr>
          <w:rFonts w:ascii="宋体"/>
          <w:b/>
          <w:bCs/>
          <w:sz w:val="24"/>
        </w:rPr>
      </w:pPr>
      <w:r>
        <w:rPr>
          <w:rFonts w:ascii="宋体" w:hAnsi="宋体" w:cs="宋体"/>
          <w:b/>
          <w:bCs/>
          <w:sz w:val="24"/>
        </w:rPr>
        <w:t>5</w:t>
      </w:r>
      <w:r>
        <w:rPr>
          <w:rFonts w:ascii="宋体" w:hAnsi="宋体" w:cs="宋体" w:hint="eastAsia"/>
          <w:b/>
          <w:bCs/>
          <w:sz w:val="24"/>
        </w:rPr>
        <w:t>、进度安排</w:t>
      </w:r>
    </w:p>
    <w:p w14:paraId="3C82EA91" w14:textId="77777777" w:rsidR="00E26138" w:rsidRDefault="00E26138" w:rsidP="00E26138">
      <w:pPr>
        <w:spacing w:line="360" w:lineRule="auto"/>
        <w:ind w:firstLineChars="200" w:firstLine="480"/>
        <w:rPr>
          <w:rFonts w:ascii="宋体"/>
          <w:sz w:val="24"/>
        </w:rPr>
      </w:pPr>
      <w:r>
        <w:rPr>
          <w:rFonts w:ascii="宋体" w:hAnsi="宋体" w:cs="宋体" w:hint="eastAsia"/>
          <w:sz w:val="24"/>
        </w:rPr>
        <w:lastRenderedPageBreak/>
        <w:t>规划工作自合同签订后计算，</w:t>
      </w:r>
      <w:r>
        <w:rPr>
          <w:rFonts w:ascii="宋体" w:hAnsi="宋体" w:cs="宋体"/>
          <w:sz w:val="24"/>
        </w:rPr>
        <w:t>150</w:t>
      </w:r>
      <w:r>
        <w:rPr>
          <w:rFonts w:ascii="宋体" w:hAnsi="宋体" w:cs="宋体" w:hint="eastAsia"/>
          <w:sz w:val="24"/>
        </w:rPr>
        <w:t>个</w:t>
      </w:r>
      <w:proofErr w:type="gramStart"/>
      <w:r>
        <w:rPr>
          <w:rFonts w:ascii="宋体" w:hAnsi="宋体" w:cs="宋体" w:hint="eastAsia"/>
          <w:sz w:val="24"/>
        </w:rPr>
        <w:t>日历天</w:t>
      </w:r>
      <w:proofErr w:type="gramEnd"/>
      <w:r>
        <w:rPr>
          <w:rFonts w:ascii="宋体" w:hAnsi="宋体" w:cs="宋体" w:hint="eastAsia"/>
          <w:sz w:val="24"/>
        </w:rPr>
        <w:t>内完成规划编制工作并提交最终成果。</w:t>
      </w:r>
    </w:p>
    <w:p w14:paraId="056D9372" w14:textId="77777777" w:rsidR="00E26138" w:rsidRDefault="00E26138" w:rsidP="00E26138">
      <w:pPr>
        <w:spacing w:line="360" w:lineRule="auto"/>
        <w:rPr>
          <w:rFonts w:ascii="宋体"/>
          <w:b/>
          <w:bCs/>
          <w:sz w:val="24"/>
        </w:rPr>
      </w:pPr>
      <w:r>
        <w:rPr>
          <w:rFonts w:eastAsia="仿宋"/>
          <w:sz w:val="28"/>
          <w:szCs w:val="28"/>
        </w:rPr>
        <w:t xml:space="preserve"> </w:t>
      </w:r>
      <w:r>
        <w:rPr>
          <w:rFonts w:ascii="宋体" w:hAnsi="宋体" w:cs="宋体" w:hint="eastAsia"/>
          <w:b/>
          <w:bCs/>
          <w:sz w:val="24"/>
        </w:rPr>
        <w:t>（三）商务要求</w:t>
      </w:r>
    </w:p>
    <w:p w14:paraId="57BE3CED" w14:textId="77777777" w:rsidR="00E26138" w:rsidRDefault="00E26138" w:rsidP="00E26138">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、合同服务期限：合同签订后</w:t>
      </w:r>
      <w:r>
        <w:rPr>
          <w:rFonts w:ascii="宋体" w:hAnsi="宋体" w:cs="宋体"/>
          <w:sz w:val="24"/>
        </w:rPr>
        <w:t>150</w:t>
      </w:r>
      <w:r>
        <w:rPr>
          <w:rFonts w:ascii="宋体" w:hAnsi="宋体" w:cs="宋体" w:hint="eastAsia"/>
          <w:sz w:val="24"/>
        </w:rPr>
        <w:t>个日历天。</w:t>
      </w:r>
    </w:p>
    <w:p w14:paraId="38343900" w14:textId="77777777" w:rsidR="00E26138" w:rsidRDefault="00E26138" w:rsidP="00E26138">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、付款方法和条件：</w:t>
      </w:r>
    </w:p>
    <w:p w14:paraId="467B73DD" w14:textId="77777777" w:rsidR="00E26138" w:rsidRDefault="00E26138" w:rsidP="00E26138">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w:t>
      </w:r>
      <w:r>
        <w:rPr>
          <w:rFonts w:ascii="宋体" w:hAnsi="宋体" w:cs="宋体"/>
          <w:sz w:val="24"/>
        </w:rPr>
        <w:t xml:space="preserve"> </w:t>
      </w:r>
      <w:r>
        <w:rPr>
          <w:rFonts w:ascii="宋体" w:hAnsi="宋体" w:cs="宋体" w:hint="eastAsia"/>
          <w:sz w:val="24"/>
        </w:rPr>
        <w:t>合同签订后</w:t>
      </w:r>
      <w:r>
        <w:rPr>
          <w:rFonts w:ascii="宋体" w:hAnsi="宋体" w:cs="宋体"/>
          <w:sz w:val="24"/>
        </w:rPr>
        <w:t>5</w:t>
      </w:r>
      <w:r>
        <w:rPr>
          <w:rFonts w:ascii="宋体" w:hAnsi="宋体" w:cs="宋体" w:hint="eastAsia"/>
          <w:sz w:val="24"/>
        </w:rPr>
        <w:t>个日历日内，甲方向乙方支付合同总额的</w:t>
      </w:r>
      <w:r>
        <w:rPr>
          <w:rFonts w:ascii="宋体" w:hAnsi="宋体" w:cs="宋体"/>
          <w:sz w:val="24"/>
        </w:rPr>
        <w:t>30%</w:t>
      </w:r>
      <w:r>
        <w:rPr>
          <w:rFonts w:ascii="宋体" w:hAnsi="宋体" w:cs="宋体" w:hint="eastAsia"/>
          <w:sz w:val="24"/>
        </w:rPr>
        <w:t>；</w:t>
      </w:r>
    </w:p>
    <w:p w14:paraId="0918CE57" w14:textId="77777777" w:rsidR="00E26138" w:rsidRDefault="00E26138" w:rsidP="00E26138">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w:t>
      </w:r>
      <w:r>
        <w:rPr>
          <w:rFonts w:ascii="宋体" w:hAnsi="宋体" w:cs="宋体"/>
          <w:sz w:val="24"/>
        </w:rPr>
        <w:t xml:space="preserve"> </w:t>
      </w:r>
      <w:r>
        <w:rPr>
          <w:rFonts w:ascii="宋体" w:hAnsi="宋体" w:cs="宋体" w:hint="eastAsia"/>
          <w:sz w:val="24"/>
        </w:rPr>
        <w:t>乙方向甲方提交初步方案经甲方认可后</w:t>
      </w:r>
      <w:r>
        <w:rPr>
          <w:rFonts w:ascii="宋体" w:hAnsi="宋体" w:cs="宋体"/>
          <w:sz w:val="24"/>
        </w:rPr>
        <w:t>5</w:t>
      </w:r>
      <w:r>
        <w:rPr>
          <w:rFonts w:ascii="宋体" w:hAnsi="宋体" w:cs="宋体" w:hint="eastAsia"/>
          <w:sz w:val="24"/>
        </w:rPr>
        <w:t>个日历日内，甲方向乙方支付合同总额的</w:t>
      </w:r>
      <w:r>
        <w:rPr>
          <w:rFonts w:ascii="宋体" w:hAnsi="宋体" w:cs="宋体"/>
          <w:sz w:val="24"/>
        </w:rPr>
        <w:t>30%</w:t>
      </w:r>
      <w:r>
        <w:rPr>
          <w:rFonts w:ascii="宋体" w:hAnsi="宋体" w:cs="宋体" w:hint="eastAsia"/>
          <w:sz w:val="24"/>
        </w:rPr>
        <w:t>；</w:t>
      </w:r>
    </w:p>
    <w:p w14:paraId="17B0860C" w14:textId="77777777" w:rsidR="00E26138" w:rsidRDefault="00E26138" w:rsidP="00E26138">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w:t>
      </w:r>
      <w:r>
        <w:rPr>
          <w:rFonts w:ascii="宋体" w:hAnsi="宋体" w:cs="宋体"/>
          <w:sz w:val="24"/>
        </w:rPr>
        <w:t xml:space="preserve"> </w:t>
      </w:r>
      <w:r>
        <w:rPr>
          <w:rFonts w:ascii="宋体" w:hAnsi="宋体" w:cs="宋体" w:hint="eastAsia"/>
          <w:sz w:val="24"/>
        </w:rPr>
        <w:t>乙方向甲方提交正式方案经相关部门审查通过后</w:t>
      </w:r>
      <w:r>
        <w:rPr>
          <w:rFonts w:ascii="宋体" w:hAnsi="宋体" w:cs="宋体"/>
          <w:sz w:val="24"/>
        </w:rPr>
        <w:t>5</w:t>
      </w:r>
      <w:r>
        <w:rPr>
          <w:rFonts w:ascii="宋体" w:hAnsi="宋体" w:cs="宋体" w:hint="eastAsia"/>
          <w:sz w:val="24"/>
        </w:rPr>
        <w:t>个日历日内，甲方向乙方支付合同总额的</w:t>
      </w:r>
      <w:r>
        <w:rPr>
          <w:rFonts w:ascii="宋体" w:hAnsi="宋体" w:cs="宋体"/>
          <w:sz w:val="24"/>
        </w:rPr>
        <w:t>30%</w:t>
      </w:r>
      <w:r>
        <w:rPr>
          <w:rFonts w:ascii="宋体" w:hAnsi="宋体" w:cs="宋体" w:hint="eastAsia"/>
          <w:sz w:val="24"/>
        </w:rPr>
        <w:t>；</w:t>
      </w:r>
    </w:p>
    <w:p w14:paraId="6A1334CD" w14:textId="77777777" w:rsidR="00E26138" w:rsidRDefault="00E26138" w:rsidP="00E26138">
      <w:pPr>
        <w:spacing w:line="360" w:lineRule="auto"/>
        <w:ind w:firstLineChars="200" w:firstLine="480"/>
        <w:rPr>
          <w:rFonts w:ascii="宋体"/>
          <w:sz w:val="24"/>
        </w:rPr>
      </w:pPr>
      <w:r>
        <w:rPr>
          <w:rFonts w:ascii="宋体" w:hAnsi="宋体" w:cs="宋体"/>
          <w:sz w:val="24"/>
        </w:rPr>
        <w:t>4</w:t>
      </w:r>
      <w:r>
        <w:rPr>
          <w:rFonts w:ascii="宋体" w:hAnsi="宋体" w:cs="宋体" w:hint="eastAsia"/>
          <w:sz w:val="24"/>
        </w:rPr>
        <w:t>）</w:t>
      </w:r>
      <w:r>
        <w:rPr>
          <w:rFonts w:ascii="宋体" w:hAnsi="宋体" w:cs="宋体"/>
          <w:sz w:val="24"/>
        </w:rPr>
        <w:t xml:space="preserve"> </w:t>
      </w:r>
      <w:r>
        <w:rPr>
          <w:rFonts w:ascii="宋体" w:hAnsi="宋体" w:cs="宋体" w:hint="eastAsia"/>
          <w:sz w:val="24"/>
        </w:rPr>
        <w:t>乙方向甲方提交最终成果后</w:t>
      </w:r>
      <w:r>
        <w:rPr>
          <w:rFonts w:ascii="宋体" w:hAnsi="宋体" w:cs="宋体"/>
          <w:sz w:val="24"/>
        </w:rPr>
        <w:t>5</w:t>
      </w:r>
      <w:r>
        <w:rPr>
          <w:rFonts w:ascii="宋体" w:hAnsi="宋体" w:cs="宋体" w:hint="eastAsia"/>
          <w:sz w:val="24"/>
        </w:rPr>
        <w:t>个日历日内，甲方向乙方支付合同总额的</w:t>
      </w:r>
      <w:r>
        <w:rPr>
          <w:rFonts w:ascii="宋体" w:hAnsi="宋体" w:cs="宋体"/>
          <w:sz w:val="24"/>
        </w:rPr>
        <w:t>10%</w:t>
      </w:r>
      <w:r>
        <w:rPr>
          <w:rFonts w:ascii="宋体" w:hAnsi="宋体" w:cs="宋体" w:hint="eastAsia"/>
          <w:sz w:val="24"/>
        </w:rPr>
        <w:t>。</w:t>
      </w:r>
    </w:p>
    <w:p w14:paraId="7DDD9062" w14:textId="77777777" w:rsidR="00E26138" w:rsidRDefault="00E26138" w:rsidP="00E26138">
      <w:pPr>
        <w:spacing w:line="360" w:lineRule="auto"/>
        <w:ind w:firstLineChars="200" w:firstLine="480"/>
        <w:rPr>
          <w:rFonts w:ascii="宋体"/>
          <w:sz w:val="24"/>
        </w:rPr>
      </w:pPr>
      <w:r>
        <w:rPr>
          <w:rFonts w:ascii="宋体" w:hAnsi="宋体" w:cs="宋体"/>
          <w:sz w:val="24"/>
        </w:rPr>
        <w:t>3</w:t>
      </w:r>
      <w:r>
        <w:rPr>
          <w:rFonts w:ascii="宋体" w:hAnsi="宋体" w:cs="宋体" w:hint="eastAsia"/>
          <w:sz w:val="24"/>
        </w:rPr>
        <w:t>、验收方法和标准</w:t>
      </w:r>
    </w:p>
    <w:p w14:paraId="37F8FFBB" w14:textId="77777777" w:rsidR="00E26138" w:rsidRDefault="00E26138" w:rsidP="00E26138">
      <w:pPr>
        <w:spacing w:line="360" w:lineRule="auto"/>
        <w:ind w:firstLineChars="200" w:firstLine="480"/>
        <w:rPr>
          <w:rFonts w:ascii="宋体"/>
          <w:sz w:val="24"/>
        </w:rPr>
      </w:pPr>
      <w:r>
        <w:rPr>
          <w:rFonts w:ascii="宋体" w:hAnsi="宋体" w:cs="宋体" w:hint="eastAsia"/>
          <w:sz w:val="24"/>
        </w:rPr>
        <w:t>严格按照政府采购相关法律法规以及《财政部关于进一步加强政府采购需求和履约验收管理的指导意见》（财库〔2016〕205号）、《绵阳市财政局关于进一步加强履约验收管理的通知》</w:t>
      </w:r>
      <w:r>
        <w:rPr>
          <w:rFonts w:ascii="宋体" w:hAnsi="宋体" w:cs="宋体"/>
          <w:sz w:val="24"/>
        </w:rPr>
        <w:t>(</w:t>
      </w:r>
      <w:proofErr w:type="gramStart"/>
      <w:r>
        <w:rPr>
          <w:rFonts w:ascii="宋体" w:hAnsi="宋体" w:cs="宋体" w:hint="eastAsia"/>
          <w:sz w:val="24"/>
        </w:rPr>
        <w:t>绵财采</w:t>
      </w:r>
      <w:proofErr w:type="gramEnd"/>
      <w:r>
        <w:rPr>
          <w:rFonts w:ascii="宋体" w:hAnsi="宋体" w:cs="宋体" w:hint="eastAsia"/>
          <w:sz w:val="24"/>
        </w:rPr>
        <w:t>〔</w:t>
      </w:r>
      <w:r>
        <w:rPr>
          <w:rFonts w:ascii="宋体" w:hAnsi="宋体" w:cs="宋体"/>
          <w:sz w:val="24"/>
        </w:rPr>
        <w:t>20</w:t>
      </w:r>
      <w:r>
        <w:rPr>
          <w:rFonts w:ascii="宋体" w:hAnsi="宋体" w:cs="宋体" w:hint="eastAsia"/>
          <w:sz w:val="24"/>
        </w:rPr>
        <w:t>21〕15号</w:t>
      </w:r>
      <w:r>
        <w:rPr>
          <w:rFonts w:ascii="宋体" w:hAnsi="宋体" w:cs="宋体"/>
          <w:sz w:val="24"/>
        </w:rPr>
        <w:t>)</w:t>
      </w:r>
      <w:r>
        <w:rPr>
          <w:rFonts w:ascii="宋体" w:hAnsi="宋体" w:cs="宋体" w:hint="eastAsia"/>
          <w:sz w:val="24"/>
        </w:rPr>
        <w:t>的要求、采购文件的质量要求和技术指标、成交供应商的响应文件及承诺以及合同约定标准进行验收。</w:t>
      </w:r>
    </w:p>
    <w:p w14:paraId="667773C9" w14:textId="77777777" w:rsidR="00E26138" w:rsidRDefault="00E26138" w:rsidP="00E26138">
      <w:pPr>
        <w:spacing w:line="360" w:lineRule="auto"/>
        <w:ind w:firstLineChars="200" w:firstLine="480"/>
        <w:rPr>
          <w:rFonts w:ascii="宋体"/>
          <w:sz w:val="24"/>
        </w:rPr>
      </w:pPr>
      <w:r>
        <w:rPr>
          <w:rFonts w:ascii="宋体" w:hAnsi="宋体" w:cs="宋体"/>
          <w:sz w:val="24"/>
        </w:rPr>
        <w:t>4</w:t>
      </w:r>
      <w:r>
        <w:rPr>
          <w:rFonts w:ascii="宋体" w:hAnsi="宋体" w:cs="宋体" w:hint="eastAsia"/>
          <w:sz w:val="24"/>
        </w:rPr>
        <w:t>、履约保证金：</w:t>
      </w:r>
    </w:p>
    <w:p w14:paraId="0FA1D178" w14:textId="77777777" w:rsidR="00E26138" w:rsidRDefault="00E26138" w:rsidP="00E26138">
      <w:pPr>
        <w:spacing w:line="360" w:lineRule="auto"/>
        <w:ind w:firstLineChars="200" w:firstLine="480"/>
        <w:rPr>
          <w:rFonts w:ascii="宋体" w:hAnsi="宋体" w:cs="宋体"/>
          <w:sz w:val="24"/>
        </w:rPr>
      </w:pPr>
      <w:r>
        <w:rPr>
          <w:rFonts w:ascii="宋体" w:hAnsi="宋体" w:cs="宋体" w:hint="eastAsia"/>
          <w:sz w:val="24"/>
        </w:rPr>
        <w:t>成交供应商在与采购人</w:t>
      </w:r>
      <w:proofErr w:type="gramStart"/>
      <w:r>
        <w:rPr>
          <w:rFonts w:ascii="宋体" w:hAnsi="宋体" w:cs="宋体" w:hint="eastAsia"/>
          <w:sz w:val="24"/>
        </w:rPr>
        <w:t>签定</w:t>
      </w:r>
      <w:proofErr w:type="gramEnd"/>
      <w:r>
        <w:rPr>
          <w:rFonts w:ascii="宋体" w:hAnsi="宋体" w:cs="宋体" w:hint="eastAsia"/>
          <w:sz w:val="24"/>
        </w:rPr>
        <w:t>政府采购合同前无须向采购人缴纳政府采购履约保证金。</w:t>
      </w:r>
    </w:p>
    <w:p w14:paraId="7A5CEB3F" w14:textId="77777777" w:rsidR="00283B91" w:rsidRPr="00E26138" w:rsidRDefault="00283B91"/>
    <w:sectPr w:rsidR="00283B91" w:rsidRPr="00E261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49C800"/>
    <w:multiLevelType w:val="singleLevel"/>
    <w:tmpl w:val="FE49C800"/>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38"/>
    <w:rsid w:val="00283B91"/>
    <w:rsid w:val="00E2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5F19"/>
  <w15:chartTrackingRefBased/>
  <w15:docId w15:val="{79164919-E00D-4459-8333-2C2F01FC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613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E26138"/>
    <w:pPr>
      <w:spacing w:after="120"/>
    </w:pPr>
  </w:style>
  <w:style w:type="character" w:customStyle="1" w:styleId="a4">
    <w:name w:val="正文文本 字符"/>
    <w:basedOn w:val="a1"/>
    <w:link w:val="a0"/>
    <w:uiPriority w:val="99"/>
    <w:semiHidden/>
    <w:rsid w:val="00E2613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SyDnie</dc:creator>
  <cp:keywords/>
  <dc:description/>
  <cp:lastModifiedBy>SyDnie</cp:lastModifiedBy>
  <cp:revision>1</cp:revision>
  <dcterms:created xsi:type="dcterms:W3CDTF">2022-06-28T07:37:00Z</dcterms:created>
  <dcterms:modified xsi:type="dcterms:W3CDTF">2022-06-28T07:38:00Z</dcterms:modified>
</cp:coreProperties>
</file>