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bidi w:val="0"/>
        <w:spacing w:line="360" w:lineRule="auto"/>
        <w:jc w:val="center"/>
        <w:rPr>
          <w:rFonts w:hint="eastAsia" w:ascii="黑体" w:hAnsi="黑体" w:eastAsia="黑体" w:cs="黑体"/>
          <w:bCs w:val="0"/>
          <w:sz w:val="32"/>
          <w:szCs w:val="32"/>
          <w:highlight w:val="none"/>
        </w:rPr>
      </w:pPr>
      <w:bookmarkStart w:id="0" w:name="_Toc512606724"/>
      <w:bookmarkStart w:id="1" w:name="_Toc4243"/>
      <w:r>
        <w:rPr>
          <w:rFonts w:hint="eastAsia" w:ascii="黑体" w:hAnsi="黑体" w:eastAsia="黑体" w:cs="黑体"/>
          <w:bCs w:val="0"/>
          <w:sz w:val="32"/>
          <w:szCs w:val="32"/>
          <w:highlight w:val="none"/>
        </w:rPr>
        <w:t>项目采购内容及要求</w:t>
      </w:r>
      <w:bookmarkEnd w:id="0"/>
      <w:bookmarkEnd w:id="1"/>
    </w:p>
    <w:p>
      <w:pPr>
        <w:pStyle w:val="5"/>
        <w:bidi w:val="0"/>
        <w:jc w:val="left"/>
        <w:rPr>
          <w:rFonts w:hint="eastAsia"/>
          <w:highlight w:val="none"/>
        </w:rPr>
      </w:pPr>
      <w:r>
        <w:rPr>
          <w:rFonts w:hint="eastAsia"/>
          <w:highlight w:val="none"/>
        </w:rPr>
        <w:t>一、项目概述</w:t>
      </w:r>
    </w:p>
    <w:p>
      <w:pPr>
        <w:bidi w:val="0"/>
        <w:rPr>
          <w:color w:val="auto"/>
          <w:highlight w:val="none"/>
        </w:rPr>
      </w:pPr>
      <w:bookmarkStart w:id="2" w:name="【Bobole_项目简介_1】"/>
      <w:r>
        <w:rPr>
          <w:color w:val="auto"/>
          <w:highlight w:val="none"/>
        </w:rPr>
        <w:t>根据《中共巴中市委办公室巴中市人民政府办公室印发&lt;关于统筹推进县域内片区划分和乡村国土空间规划编制的实施方案&gt;的通知》（巴委办字〔2021〕68号）巴中市国土空间规划委员会办公室《关于印发&lt;关于以片区为单元编制乡村国土空间规划和相关专项规划的工作方案&gt;的通知》文件要求以及区委区政府相关工作安排，我局拟启动</w:t>
      </w:r>
      <w:r>
        <w:rPr>
          <w:rFonts w:hint="eastAsia" w:ascii="仿宋_GB2312" w:hAnsi="仿宋_GB2312" w:cs="仿宋_GB2312"/>
          <w:color w:val="auto"/>
          <w:highlight w:val="none"/>
          <w:lang w:val="en-US" w:eastAsia="zh-CN"/>
        </w:rPr>
        <w:t>巴州区“清江药旅融合发展片区”、“曾口三产融合发展片区”、“鼎山优质粮油发展片区”3个片区乡镇级片区国土空间规划</w:t>
      </w:r>
      <w:r>
        <w:rPr>
          <w:color w:val="auto"/>
          <w:highlight w:val="none"/>
        </w:rPr>
        <w:t>编制工作，规划范围为</w:t>
      </w:r>
      <w:r>
        <w:rPr>
          <w:rFonts w:hint="eastAsia" w:cs="Times New Roman"/>
          <w:color w:val="auto"/>
          <w:highlight w:val="none"/>
          <w:lang w:val="en-US" w:eastAsia="zh-CN"/>
        </w:rPr>
        <w:t>清江镇、水宁寺镇、大和乡、白庙乡、</w:t>
      </w:r>
      <w:r>
        <w:rPr>
          <w:rFonts w:hint="eastAsia" w:cs="Times New Roman"/>
          <w:color w:val="auto"/>
          <w:highlight w:val="none"/>
        </w:rPr>
        <w:t>曾口</w:t>
      </w:r>
      <w:r>
        <w:rPr>
          <w:rFonts w:hint="eastAsia" w:cs="Times New Roman"/>
          <w:color w:val="auto"/>
          <w:highlight w:val="none"/>
          <w:lang w:eastAsia="zh-CN"/>
        </w:rPr>
        <w:t>镇</w:t>
      </w:r>
      <w:r>
        <w:rPr>
          <w:rFonts w:hint="eastAsia" w:cs="Times New Roman"/>
          <w:color w:val="auto"/>
          <w:highlight w:val="none"/>
        </w:rPr>
        <w:t>、三江</w:t>
      </w:r>
      <w:r>
        <w:rPr>
          <w:rFonts w:hint="eastAsia" w:cs="Times New Roman"/>
          <w:color w:val="auto"/>
          <w:highlight w:val="none"/>
          <w:lang w:eastAsia="zh-CN"/>
        </w:rPr>
        <w:t>镇、</w:t>
      </w:r>
      <w:r>
        <w:rPr>
          <w:rFonts w:hint="eastAsia" w:cs="Times New Roman"/>
          <w:color w:val="auto"/>
          <w:highlight w:val="none"/>
        </w:rPr>
        <w:t>大茅坪</w:t>
      </w:r>
      <w:r>
        <w:rPr>
          <w:rFonts w:hint="eastAsia" w:cs="Times New Roman"/>
          <w:color w:val="auto"/>
          <w:highlight w:val="none"/>
          <w:lang w:eastAsia="zh-CN"/>
        </w:rPr>
        <w:t>镇</w:t>
      </w:r>
      <w:r>
        <w:rPr>
          <w:rFonts w:hint="eastAsia" w:cs="Times New Roman"/>
          <w:color w:val="auto"/>
          <w:highlight w:val="none"/>
        </w:rPr>
        <w:t>、梁永</w:t>
      </w:r>
      <w:r>
        <w:rPr>
          <w:rFonts w:hint="eastAsia" w:cs="Times New Roman"/>
          <w:color w:val="auto"/>
          <w:highlight w:val="none"/>
          <w:lang w:eastAsia="zh-CN"/>
        </w:rPr>
        <w:t>镇</w:t>
      </w:r>
      <w:r>
        <w:rPr>
          <w:rFonts w:hint="eastAsia" w:cs="Times New Roman"/>
          <w:color w:val="auto"/>
          <w:highlight w:val="none"/>
        </w:rPr>
        <w:t>、鼎山</w:t>
      </w:r>
      <w:r>
        <w:rPr>
          <w:rFonts w:hint="eastAsia" w:cs="Times New Roman"/>
          <w:color w:val="auto"/>
          <w:highlight w:val="none"/>
          <w:lang w:eastAsia="zh-CN"/>
        </w:rPr>
        <w:t>镇</w:t>
      </w:r>
      <w:r>
        <w:rPr>
          <w:rFonts w:hint="eastAsia" w:cs="Times New Roman"/>
          <w:color w:val="auto"/>
          <w:highlight w:val="none"/>
        </w:rPr>
        <w:t>、大罗</w:t>
      </w:r>
      <w:r>
        <w:rPr>
          <w:rFonts w:hint="eastAsia" w:cs="Times New Roman"/>
          <w:color w:val="auto"/>
          <w:highlight w:val="none"/>
          <w:lang w:eastAsia="zh-CN"/>
        </w:rPr>
        <w:t>镇</w:t>
      </w:r>
      <w:r>
        <w:rPr>
          <w:rFonts w:hint="eastAsia" w:cs="Times New Roman"/>
          <w:color w:val="auto"/>
          <w:highlight w:val="none"/>
        </w:rPr>
        <w:t>、凤溪</w:t>
      </w:r>
      <w:r>
        <w:rPr>
          <w:rFonts w:hint="eastAsia" w:cs="Times New Roman"/>
          <w:color w:val="auto"/>
          <w:highlight w:val="none"/>
          <w:lang w:eastAsia="zh-CN"/>
        </w:rPr>
        <w:t>镇共</w:t>
      </w:r>
      <w:r>
        <w:rPr>
          <w:rFonts w:hint="eastAsia" w:cs="Times New Roman"/>
          <w:color w:val="auto"/>
          <w:highlight w:val="none"/>
          <w:lang w:val="en-US" w:eastAsia="zh-CN"/>
        </w:rPr>
        <w:t>11个乡镇</w:t>
      </w:r>
      <w:r>
        <w:rPr>
          <w:color w:val="auto"/>
          <w:highlight w:val="none"/>
        </w:rPr>
        <w:t>行政范围。</w:t>
      </w:r>
      <w:bookmarkEnd w:id="2"/>
    </w:p>
    <w:p>
      <w:pPr>
        <w:bidi w:val="0"/>
        <w:rPr>
          <w:b/>
          <w:bCs/>
          <w:color w:val="auto"/>
          <w:highlight w:val="none"/>
        </w:rPr>
      </w:pPr>
      <w:r>
        <w:rPr>
          <w:b/>
          <w:bCs/>
          <w:color w:val="auto"/>
          <w:highlight w:val="none"/>
        </w:rPr>
        <w:t>（</w:t>
      </w:r>
      <w:r>
        <w:rPr>
          <w:rFonts w:hint="eastAsia"/>
          <w:b/>
          <w:bCs/>
          <w:color w:val="auto"/>
          <w:highlight w:val="none"/>
        </w:rPr>
        <w:t>一</w:t>
      </w:r>
      <w:r>
        <w:rPr>
          <w:b/>
          <w:bCs/>
          <w:color w:val="auto"/>
          <w:highlight w:val="none"/>
        </w:rPr>
        <w:t>）采购内容及其数量</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5491"/>
        <w:gridCol w:w="1139"/>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bookmarkStart w:id="3" w:name="【bobole_采购清单表格】"/>
            <w:r>
              <w:rPr>
                <w:color w:val="auto"/>
                <w:highlight w:val="none"/>
              </w:rPr>
              <w:t>序号</w:t>
            </w:r>
          </w:p>
        </w:tc>
        <w:tc>
          <w:tcPr>
            <w:tcW w:w="3221"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r>
              <w:rPr>
                <w:color w:val="auto"/>
                <w:highlight w:val="none"/>
              </w:rPr>
              <w:t>采购内容</w:t>
            </w:r>
          </w:p>
        </w:tc>
        <w:tc>
          <w:tcPr>
            <w:tcW w:w="668"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r>
              <w:rPr>
                <w:color w:val="auto"/>
                <w:highlight w:val="none"/>
              </w:rPr>
              <w:t>数量</w:t>
            </w:r>
          </w:p>
        </w:tc>
        <w:tc>
          <w:tcPr>
            <w:tcW w:w="672"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r>
              <w:rPr>
                <w:color w:val="auto"/>
                <w:highlight w:val="none"/>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r>
              <w:rPr>
                <w:color w:val="auto"/>
                <w:highlight w:val="none"/>
              </w:rPr>
              <w:t>1</w:t>
            </w:r>
          </w:p>
        </w:tc>
        <w:tc>
          <w:tcPr>
            <w:tcW w:w="3221"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巴州区“清江药旅融合发展片区”、“曾口三产融合发展片区”、“鼎山优质粮油发展片区”3个片区乡镇级片区国土空间规划采购项目</w:t>
            </w:r>
          </w:p>
        </w:tc>
        <w:tc>
          <w:tcPr>
            <w:tcW w:w="668"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eastAsia="仿宋_GB2312"/>
                <w:color w:val="auto"/>
                <w:highlight w:val="none"/>
                <w:lang w:eastAsia="zh-CN"/>
              </w:rPr>
            </w:pPr>
            <w:r>
              <w:rPr>
                <w:color w:val="auto"/>
                <w:highlight w:val="none"/>
              </w:rPr>
              <w:t>1</w:t>
            </w:r>
            <w:r>
              <w:rPr>
                <w:rFonts w:hint="eastAsia"/>
                <w:color w:val="auto"/>
                <w:highlight w:val="none"/>
                <w:lang w:eastAsia="zh-CN"/>
              </w:rPr>
              <w:t>项</w:t>
            </w:r>
          </w:p>
        </w:tc>
        <w:tc>
          <w:tcPr>
            <w:tcW w:w="672" w:type="pct"/>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color w:val="auto"/>
                <w:highlight w:val="none"/>
              </w:rPr>
            </w:pPr>
            <w:r>
              <w:rPr>
                <w:color w:val="auto"/>
                <w:highlight w:val="none"/>
              </w:rPr>
              <w:t>否</w:t>
            </w:r>
          </w:p>
        </w:tc>
      </w:tr>
      <w:bookmarkEnd w:id="3"/>
    </w:tbl>
    <w:p>
      <w:pPr>
        <w:bidi w:val="0"/>
        <w:rPr>
          <w:rFonts w:hint="eastAsia"/>
          <w:color w:val="auto"/>
          <w:highlight w:val="none"/>
          <w:lang w:eastAsia="zh-CN"/>
        </w:rPr>
      </w:pPr>
    </w:p>
    <w:p>
      <w:pPr>
        <w:pStyle w:val="5"/>
        <w:bidi w:val="0"/>
        <w:jc w:val="left"/>
        <w:rPr>
          <w:rFonts w:hint="eastAsia"/>
          <w:color w:val="auto"/>
          <w:highlight w:val="none"/>
          <w:lang w:eastAsia="zh-CN"/>
        </w:rPr>
      </w:pPr>
      <w:r>
        <w:rPr>
          <w:rFonts w:hint="eastAsia"/>
          <w:color w:val="auto"/>
          <w:highlight w:val="none"/>
          <w:lang w:eastAsia="zh-CN"/>
        </w:rPr>
        <w:t>二、服务内容及要求</w:t>
      </w:r>
    </w:p>
    <w:p>
      <w:pPr>
        <w:bidi w:val="0"/>
        <w:rPr>
          <w:rFonts w:hint="eastAsia"/>
          <w:b/>
          <w:bCs/>
          <w:color w:val="auto"/>
          <w:highlight w:val="none"/>
        </w:rPr>
      </w:pPr>
      <w:r>
        <w:rPr>
          <w:rFonts w:hint="eastAsia"/>
          <w:b/>
          <w:bCs/>
          <w:color w:val="auto"/>
          <w:highlight w:val="none"/>
        </w:rPr>
        <w:t>（一）项目规划范围</w:t>
      </w:r>
    </w:p>
    <w:p>
      <w:pPr>
        <w:bidi w:val="0"/>
        <w:rPr>
          <w:rFonts w:hint="eastAsia" w:eastAsia="仿宋_GB2312"/>
          <w:color w:val="auto"/>
          <w:highlight w:val="none"/>
          <w:lang w:eastAsia="zh-CN"/>
        </w:rPr>
      </w:pPr>
      <w:r>
        <w:rPr>
          <w:rFonts w:hint="eastAsia"/>
          <w:color w:val="auto"/>
          <w:highlight w:val="none"/>
        </w:rPr>
        <w:t>本项目为乡镇级国土空间总体规划，即“清江药旅融合发展片区”（清江镇、水宁寺镇、大和乡、白庙乡）、“曾口三产融合发展片区”（曾口镇、三江镇、大茅坪镇、梁永镇）、“鼎山优质粮油发展片区”（鼎山镇、凤溪镇、大罗镇）3个片区</w:t>
      </w:r>
      <w:r>
        <w:rPr>
          <w:rFonts w:hint="eastAsia"/>
          <w:color w:val="auto"/>
          <w:highlight w:val="none"/>
          <w:lang w:eastAsia="zh-CN"/>
        </w:rPr>
        <w:t>。</w:t>
      </w:r>
    </w:p>
    <w:p>
      <w:pPr>
        <w:bidi w:val="0"/>
        <w:rPr>
          <w:rFonts w:hint="eastAsia"/>
          <w:b/>
          <w:bCs/>
          <w:color w:val="auto"/>
          <w:highlight w:val="none"/>
        </w:rPr>
      </w:pPr>
      <w:r>
        <w:rPr>
          <w:rFonts w:hint="eastAsia"/>
          <w:b/>
          <w:bCs/>
          <w:color w:val="auto"/>
          <w:highlight w:val="none"/>
        </w:rPr>
        <w:t>（</w:t>
      </w:r>
      <w:r>
        <w:rPr>
          <w:rFonts w:hint="eastAsia"/>
          <w:b/>
          <w:bCs/>
          <w:color w:val="auto"/>
          <w:highlight w:val="none"/>
          <w:lang w:eastAsia="zh-CN"/>
        </w:rPr>
        <w:t>二</w:t>
      </w:r>
      <w:r>
        <w:rPr>
          <w:rFonts w:hint="eastAsia"/>
          <w:b/>
          <w:bCs/>
          <w:color w:val="auto"/>
          <w:highlight w:val="none"/>
        </w:rPr>
        <w:t>）技术服务和工作内容</w:t>
      </w:r>
    </w:p>
    <w:p>
      <w:pPr>
        <w:bidi w:val="0"/>
        <w:rPr>
          <w:rFonts w:hint="eastAsia"/>
          <w:color w:val="auto"/>
          <w:highlight w:val="none"/>
        </w:rPr>
      </w:pPr>
      <w:r>
        <w:rPr>
          <w:rFonts w:hint="eastAsia"/>
          <w:color w:val="auto"/>
          <w:highlight w:val="none"/>
        </w:rPr>
        <w:t>根据《四川省乡镇级国土空间总体规划编制指南（2021修订完善版）》等相关技术规范，规划主要内容是乡镇级片区规划。按照《四川省乡镇国土空间总体规划编制指南（2021修订完善版）》要求，以乡镇级片区为单元全覆盖编制乡镇级国土空间总体规划，本次规划共涉及</w:t>
      </w:r>
      <w:r>
        <w:rPr>
          <w:rFonts w:hint="eastAsia"/>
          <w:color w:val="auto"/>
          <w:highlight w:val="none"/>
          <w:lang w:val="en-US" w:eastAsia="zh-CN"/>
        </w:rPr>
        <w:t>3</w:t>
      </w:r>
      <w:r>
        <w:rPr>
          <w:rFonts w:hint="eastAsia"/>
          <w:color w:val="auto"/>
          <w:highlight w:val="none"/>
        </w:rPr>
        <w:t>个乡镇级片区。主要工作内容包括乡镇级国土空间总体规划和</w:t>
      </w:r>
      <w:r>
        <w:rPr>
          <w:rFonts w:hint="eastAsia"/>
          <w:color w:val="auto"/>
          <w:highlight w:val="none"/>
          <w:lang w:val="en-US" w:eastAsia="zh-CN"/>
        </w:rPr>
        <w:t>镇区</w:t>
      </w:r>
      <w:r>
        <w:rPr>
          <w:rFonts w:hint="eastAsia"/>
          <w:color w:val="auto"/>
          <w:highlight w:val="none"/>
        </w:rPr>
        <w:t>1:500地形图测绘</w:t>
      </w:r>
      <w:r>
        <w:rPr>
          <w:rFonts w:hint="eastAsia"/>
          <w:color w:val="auto"/>
          <w:highlight w:val="none"/>
          <w:lang w:eastAsia="zh-CN"/>
        </w:rPr>
        <w:t>（</w:t>
      </w:r>
      <w:r>
        <w:rPr>
          <w:rFonts w:hint="eastAsia"/>
          <w:color w:val="auto"/>
          <w:highlight w:val="none"/>
          <w:lang w:val="en-US" w:eastAsia="zh-CN"/>
        </w:rPr>
        <w:t>中心镇</w:t>
      </w:r>
      <w:r>
        <w:rPr>
          <w:rFonts w:hint="eastAsia"/>
          <w:color w:val="auto"/>
          <w:highlight w:val="none"/>
          <w:lang w:eastAsia="zh-CN"/>
        </w:rPr>
        <w:t>）</w:t>
      </w:r>
      <w:r>
        <w:rPr>
          <w:rFonts w:hint="eastAsia"/>
          <w:color w:val="auto"/>
          <w:highlight w:val="none"/>
        </w:rPr>
        <w:t>工作内容。</w:t>
      </w:r>
    </w:p>
    <w:p>
      <w:pPr>
        <w:bidi w:val="0"/>
        <w:rPr>
          <w:rFonts w:hint="eastAsia"/>
          <w:b/>
          <w:bCs/>
          <w:color w:val="auto"/>
          <w:highlight w:val="none"/>
        </w:rPr>
      </w:pPr>
      <w:r>
        <w:rPr>
          <w:rFonts w:hint="eastAsia"/>
          <w:b/>
          <w:bCs/>
          <w:color w:val="auto"/>
          <w:highlight w:val="none"/>
        </w:rPr>
        <w:t>（</w:t>
      </w:r>
      <w:r>
        <w:rPr>
          <w:rFonts w:hint="eastAsia"/>
          <w:b/>
          <w:bCs/>
          <w:color w:val="auto"/>
          <w:highlight w:val="none"/>
          <w:lang w:eastAsia="zh-CN"/>
        </w:rPr>
        <w:t>三</w:t>
      </w:r>
      <w:r>
        <w:rPr>
          <w:rFonts w:hint="eastAsia"/>
          <w:b/>
          <w:bCs/>
          <w:color w:val="auto"/>
          <w:highlight w:val="none"/>
        </w:rPr>
        <w:t>）乡镇级国土空间总体规划工作内容</w:t>
      </w:r>
    </w:p>
    <w:p>
      <w:pPr>
        <w:bidi w:val="0"/>
        <w:rPr>
          <w:rFonts w:hint="eastAsia"/>
          <w:color w:val="auto"/>
          <w:highlight w:val="none"/>
        </w:rPr>
      </w:pPr>
      <w:r>
        <w:rPr>
          <w:rFonts w:hint="eastAsia"/>
          <w:color w:val="auto"/>
          <w:highlight w:val="none"/>
        </w:rPr>
        <w:t>1、底数底图</w:t>
      </w:r>
    </w:p>
    <w:p>
      <w:pPr>
        <w:bidi w:val="0"/>
        <w:rPr>
          <w:rFonts w:hint="eastAsia"/>
          <w:color w:val="auto"/>
          <w:highlight w:val="none"/>
        </w:rPr>
      </w:pPr>
      <w:r>
        <w:rPr>
          <w:rFonts w:hint="eastAsia"/>
          <w:color w:val="auto"/>
          <w:highlight w:val="none"/>
        </w:rPr>
        <w:t>以第三次国土调查成果数据为基础，结合最新年度国土变更调查成果数据，在衔接县级国土空间总体规划底数底图，综合考虑“批而未用”等土地管理数据的基础上，按《国土空间调查、规划、用途管制用地用海分类指南（试行）》的要求确定工作底数底图。</w:t>
      </w:r>
    </w:p>
    <w:p>
      <w:pPr>
        <w:bidi w:val="0"/>
        <w:rPr>
          <w:rFonts w:hint="eastAsia"/>
          <w:color w:val="auto"/>
          <w:highlight w:val="none"/>
        </w:rPr>
      </w:pPr>
      <w:r>
        <w:rPr>
          <w:rFonts w:hint="eastAsia"/>
          <w:color w:val="auto"/>
          <w:highlight w:val="none"/>
        </w:rPr>
        <w:t>2、现状分析</w:t>
      </w:r>
    </w:p>
    <w:p>
      <w:pPr>
        <w:bidi w:val="0"/>
        <w:rPr>
          <w:rFonts w:hint="eastAsia"/>
          <w:color w:val="auto"/>
          <w:highlight w:val="none"/>
        </w:rPr>
      </w:pPr>
      <w:r>
        <w:rPr>
          <w:rFonts w:hint="eastAsia"/>
          <w:color w:val="auto"/>
          <w:highlight w:val="none"/>
        </w:rPr>
        <w:t>在完成前期准备和实地调研的基础上，分析片区所处区位关系、资源环境、空间利用、产业基础和镇村建设等基本情况。在县级“双评价”成果基础上，结合乡镇级数据精度，进一步深化国土空间适宜性评价内容。剖析乡村人口流动趋势，梳理经济社会、产业发展、空间利用、农房建设和设施配套等特征问题。</w:t>
      </w:r>
    </w:p>
    <w:p>
      <w:pPr>
        <w:bidi w:val="0"/>
        <w:rPr>
          <w:rFonts w:hint="eastAsia"/>
          <w:color w:val="auto"/>
          <w:highlight w:val="none"/>
        </w:rPr>
      </w:pPr>
      <w:r>
        <w:rPr>
          <w:rFonts w:hint="eastAsia"/>
          <w:color w:val="auto"/>
          <w:highlight w:val="none"/>
        </w:rPr>
        <w:t>3、功能定位</w:t>
      </w:r>
    </w:p>
    <w:p>
      <w:pPr>
        <w:bidi w:val="0"/>
        <w:rPr>
          <w:rFonts w:hint="eastAsia"/>
          <w:color w:val="auto"/>
          <w:highlight w:val="none"/>
        </w:rPr>
      </w:pPr>
      <w:r>
        <w:rPr>
          <w:rFonts w:hint="eastAsia"/>
          <w:color w:val="auto"/>
          <w:highlight w:val="none"/>
        </w:rPr>
        <w:t>依据上位规划和当地经济社会发展实际，按照尊重乡村发展规律和“宜农则农、宜林则林、宜工则工、宜商则商、宜游则游”的思路，综合确定片区功能定位、发展思路和规划目标，同步建立符合当地实际的规划指标体系。</w:t>
      </w:r>
    </w:p>
    <w:p>
      <w:pPr>
        <w:bidi w:val="0"/>
        <w:rPr>
          <w:rFonts w:hint="eastAsia"/>
          <w:color w:val="auto"/>
          <w:highlight w:val="none"/>
        </w:rPr>
      </w:pPr>
      <w:r>
        <w:rPr>
          <w:rFonts w:hint="eastAsia"/>
          <w:color w:val="auto"/>
          <w:highlight w:val="none"/>
        </w:rPr>
        <w:t>4、底线约束</w:t>
      </w:r>
    </w:p>
    <w:p>
      <w:pPr>
        <w:bidi w:val="0"/>
        <w:rPr>
          <w:rFonts w:hint="eastAsia"/>
          <w:color w:val="auto"/>
          <w:highlight w:val="none"/>
        </w:rPr>
      </w:pPr>
      <w:r>
        <w:rPr>
          <w:rFonts w:hint="eastAsia"/>
          <w:color w:val="auto"/>
          <w:highlight w:val="none"/>
        </w:rPr>
        <w:t>统筹安排各类空间，切实做到适地适用、协调好保护和发展的关系。划定农业空间、生态空间、城镇空间三类空间，深化细化永久基本农田、生态保护红线、城镇开发边界三条控制线，划定灾害安全防护范围、历史文化保护线等其他管控底线。</w:t>
      </w:r>
    </w:p>
    <w:p>
      <w:pPr>
        <w:bidi w:val="0"/>
        <w:rPr>
          <w:rFonts w:hint="eastAsia"/>
          <w:color w:val="auto"/>
          <w:highlight w:val="none"/>
        </w:rPr>
      </w:pPr>
      <w:r>
        <w:rPr>
          <w:rFonts w:hint="eastAsia"/>
          <w:color w:val="auto"/>
          <w:highlight w:val="none"/>
        </w:rPr>
        <w:t>5、用地布局</w:t>
      </w:r>
    </w:p>
    <w:p>
      <w:pPr>
        <w:bidi w:val="0"/>
        <w:rPr>
          <w:rFonts w:hint="eastAsia"/>
          <w:color w:val="auto"/>
          <w:highlight w:val="none"/>
        </w:rPr>
      </w:pPr>
      <w:r>
        <w:rPr>
          <w:rFonts w:hint="eastAsia"/>
          <w:color w:val="auto"/>
          <w:highlight w:val="none"/>
        </w:rPr>
        <w:t>落实上位规划要求，紧紧围绕发展定位，优化各类用地布局，并落实到具体图斑。依据各类用地优化布局，制定片区国土空间用途结构调整表，明确各类用地规划目标年与基期年、规划目标年与规划目标的增减情况。</w:t>
      </w:r>
    </w:p>
    <w:p>
      <w:pPr>
        <w:bidi w:val="0"/>
        <w:rPr>
          <w:rFonts w:hint="eastAsia"/>
          <w:color w:val="auto"/>
          <w:highlight w:val="none"/>
        </w:rPr>
      </w:pPr>
      <w:r>
        <w:rPr>
          <w:rFonts w:hint="eastAsia"/>
          <w:color w:val="auto"/>
          <w:highlight w:val="none"/>
        </w:rPr>
        <w:t>6、产业发展</w:t>
      </w:r>
    </w:p>
    <w:p>
      <w:pPr>
        <w:bidi w:val="0"/>
        <w:rPr>
          <w:rFonts w:hint="eastAsia"/>
          <w:color w:val="auto"/>
          <w:highlight w:val="none"/>
        </w:rPr>
      </w:pPr>
      <w:r>
        <w:rPr>
          <w:rFonts w:hint="eastAsia"/>
          <w:color w:val="auto"/>
          <w:highlight w:val="none"/>
        </w:rPr>
        <w:t>根据片区自然资源禀赋、现有产业基础和片区功能定位，推进关联度较高的产业连线成片、规模发展，培育壮大特色优势产业，促进乡村一二三产业融合发展。根据片区产业的不同特点，采取不同的空间布局和用地保障模式，推动工业向园区集中，合理规划预留农村新产业新业态发展用地，引导农村电商、冷链物流等产业结合农村居民点集中布局，方便居民生产生活。</w:t>
      </w:r>
    </w:p>
    <w:p>
      <w:pPr>
        <w:bidi w:val="0"/>
        <w:rPr>
          <w:rFonts w:hint="eastAsia"/>
          <w:color w:val="auto"/>
          <w:highlight w:val="none"/>
        </w:rPr>
      </w:pPr>
      <w:r>
        <w:rPr>
          <w:rFonts w:hint="eastAsia"/>
          <w:color w:val="auto"/>
          <w:highlight w:val="none"/>
        </w:rPr>
        <w:t>7、设施配套</w:t>
      </w:r>
    </w:p>
    <w:p>
      <w:pPr>
        <w:bidi w:val="0"/>
        <w:rPr>
          <w:rFonts w:hint="eastAsia"/>
          <w:color w:val="auto"/>
          <w:highlight w:val="none"/>
        </w:rPr>
      </w:pPr>
      <w:r>
        <w:rPr>
          <w:rFonts w:hint="eastAsia"/>
          <w:color w:val="auto"/>
          <w:highlight w:val="none"/>
        </w:rPr>
        <w:t>围绕镇村功能定位，充分衔接两项改革“后半篇”文章专项工作方案及专项规划，合理确定公共服务设施、交通设施、市政设施和防灾设施的布局和规模。</w:t>
      </w:r>
    </w:p>
    <w:p>
      <w:pPr>
        <w:bidi w:val="0"/>
        <w:rPr>
          <w:rFonts w:hint="eastAsia"/>
          <w:color w:val="auto"/>
          <w:highlight w:val="none"/>
        </w:rPr>
      </w:pPr>
      <w:r>
        <w:rPr>
          <w:rFonts w:hint="eastAsia"/>
          <w:color w:val="auto"/>
          <w:highlight w:val="none"/>
        </w:rPr>
        <w:t>8、品质提升</w:t>
      </w:r>
    </w:p>
    <w:p>
      <w:pPr>
        <w:bidi w:val="0"/>
        <w:rPr>
          <w:rFonts w:hint="eastAsia"/>
          <w:color w:val="auto"/>
          <w:highlight w:val="none"/>
        </w:rPr>
      </w:pPr>
      <w:r>
        <w:rPr>
          <w:rFonts w:hint="eastAsia"/>
          <w:color w:val="auto"/>
          <w:highlight w:val="none"/>
        </w:rPr>
        <w:t>提出空间形态塑造、居民点聚居、乡村建筑风貌管控、农村人居环境整治措施，提升乡村人居环境品质。明确农用地整理、建设用地整治、生态修复的规模和范围，为土地整治与生态修复奠定基础。</w:t>
      </w:r>
    </w:p>
    <w:p>
      <w:pPr>
        <w:bidi w:val="0"/>
        <w:rPr>
          <w:rFonts w:hint="eastAsia"/>
          <w:color w:val="auto"/>
          <w:highlight w:val="none"/>
        </w:rPr>
      </w:pPr>
      <w:r>
        <w:rPr>
          <w:rFonts w:hint="eastAsia"/>
          <w:color w:val="auto"/>
          <w:highlight w:val="none"/>
        </w:rPr>
        <w:t>9、规划传导</w:t>
      </w:r>
    </w:p>
    <w:p>
      <w:pPr>
        <w:bidi w:val="0"/>
        <w:rPr>
          <w:rFonts w:hint="eastAsia"/>
          <w:color w:val="auto"/>
          <w:highlight w:val="none"/>
        </w:rPr>
      </w:pPr>
      <w:r>
        <w:rPr>
          <w:rFonts w:hint="eastAsia"/>
          <w:color w:val="auto"/>
          <w:highlight w:val="none"/>
        </w:rPr>
        <w:t>划分村级片区，明确村级片区的范围边界、功能定位、建设用地总规模、设施配建标准和空间布局要求。明确村级片区规划应当落实的永久基本农田、生态保护红线、历史文化保护等约束性指标和要求；明确农村居民点选址、用地和风貌管控等其他需要传导的内容要求。制定片区（乡镇域）规划指标分解表。</w:t>
      </w:r>
    </w:p>
    <w:p>
      <w:pPr>
        <w:bidi w:val="0"/>
        <w:rPr>
          <w:rFonts w:hint="eastAsia"/>
          <w:color w:val="auto"/>
          <w:highlight w:val="none"/>
        </w:rPr>
      </w:pPr>
      <w:r>
        <w:rPr>
          <w:rFonts w:hint="eastAsia"/>
          <w:color w:val="auto"/>
          <w:highlight w:val="none"/>
        </w:rPr>
        <w:t>10、镇区规划</w:t>
      </w:r>
    </w:p>
    <w:p>
      <w:pPr>
        <w:bidi w:val="0"/>
        <w:rPr>
          <w:rFonts w:hint="eastAsia"/>
          <w:color w:val="auto"/>
          <w:highlight w:val="none"/>
        </w:rPr>
      </w:pPr>
      <w:r>
        <w:rPr>
          <w:rFonts w:hint="eastAsia"/>
          <w:color w:val="auto"/>
          <w:highlight w:val="none"/>
        </w:rPr>
        <w:t>分析镇区现状、明确性质规划，统筹安排各类用地布局，合理确定镇区公共服务设施、道路交通设施、市政与防灾基础设施布局和规模，明确镇区历史文化与景观风貌管控要求。本次规划中的镇区规划内容将达到详细规划深度。</w:t>
      </w:r>
    </w:p>
    <w:p>
      <w:pPr>
        <w:bidi w:val="0"/>
        <w:rPr>
          <w:rFonts w:hint="eastAsia"/>
          <w:color w:val="auto"/>
          <w:highlight w:val="none"/>
        </w:rPr>
      </w:pPr>
      <w:r>
        <w:rPr>
          <w:rFonts w:hint="eastAsia"/>
          <w:color w:val="auto"/>
          <w:highlight w:val="none"/>
        </w:rPr>
        <w:t>11、规划实施措施</w:t>
      </w:r>
    </w:p>
    <w:p>
      <w:pPr>
        <w:bidi w:val="0"/>
        <w:rPr>
          <w:rFonts w:hint="eastAsia"/>
          <w:color w:val="auto"/>
          <w:highlight w:val="none"/>
        </w:rPr>
      </w:pPr>
      <w:r>
        <w:rPr>
          <w:rFonts w:hint="eastAsia"/>
          <w:color w:val="auto"/>
          <w:highlight w:val="none"/>
        </w:rPr>
        <w:t>提出组织保障、实施计划、配套政策、监督评估方面的规划实施措施。</w:t>
      </w:r>
    </w:p>
    <w:p>
      <w:pPr>
        <w:bidi w:val="0"/>
        <w:rPr>
          <w:rFonts w:hint="eastAsia"/>
          <w:color w:val="auto"/>
          <w:highlight w:val="none"/>
        </w:rPr>
      </w:pPr>
      <w:r>
        <w:rPr>
          <w:rFonts w:hint="eastAsia"/>
          <w:color w:val="auto"/>
          <w:highlight w:val="none"/>
        </w:rPr>
        <w:t>规划编制期间，若相关技术规范调整，应根据最新规范要求进行内容调整。</w:t>
      </w:r>
    </w:p>
    <w:p>
      <w:pPr>
        <w:bidi w:val="0"/>
        <w:rPr>
          <w:rFonts w:hint="eastAsia"/>
          <w:b/>
          <w:bCs/>
          <w:color w:val="auto"/>
          <w:highlight w:val="none"/>
        </w:rPr>
      </w:pPr>
      <w:r>
        <w:rPr>
          <w:rFonts w:hint="eastAsia"/>
          <w:b/>
          <w:bCs/>
          <w:color w:val="auto"/>
          <w:highlight w:val="none"/>
        </w:rPr>
        <w:t>（</w:t>
      </w:r>
      <w:r>
        <w:rPr>
          <w:rFonts w:hint="eastAsia"/>
          <w:b/>
          <w:bCs/>
          <w:color w:val="auto"/>
          <w:highlight w:val="none"/>
          <w:lang w:eastAsia="zh-CN"/>
        </w:rPr>
        <w:t>四</w:t>
      </w:r>
      <w:r>
        <w:rPr>
          <w:rFonts w:hint="eastAsia"/>
          <w:b/>
          <w:bCs/>
          <w:color w:val="auto"/>
          <w:highlight w:val="none"/>
        </w:rPr>
        <w:t>）1:500地形图测绘</w:t>
      </w:r>
      <w:r>
        <w:rPr>
          <w:rFonts w:hint="eastAsia"/>
          <w:b/>
          <w:bCs/>
          <w:color w:val="auto"/>
          <w:highlight w:val="none"/>
          <w:lang w:eastAsia="zh-CN"/>
        </w:rPr>
        <w:t>（</w:t>
      </w:r>
      <w:r>
        <w:rPr>
          <w:rFonts w:hint="eastAsia"/>
          <w:b/>
          <w:bCs/>
          <w:color w:val="auto"/>
          <w:highlight w:val="none"/>
          <w:lang w:val="en-US" w:eastAsia="zh-CN"/>
        </w:rPr>
        <w:t>中心镇</w:t>
      </w:r>
      <w:r>
        <w:rPr>
          <w:rFonts w:hint="eastAsia"/>
          <w:b/>
          <w:bCs/>
          <w:color w:val="auto"/>
          <w:highlight w:val="none"/>
          <w:lang w:eastAsia="zh-CN"/>
        </w:rPr>
        <w:t>）</w:t>
      </w:r>
      <w:r>
        <w:rPr>
          <w:rFonts w:hint="eastAsia"/>
          <w:b/>
          <w:bCs/>
          <w:color w:val="auto"/>
          <w:highlight w:val="none"/>
        </w:rPr>
        <w:t>工作内容</w:t>
      </w:r>
    </w:p>
    <w:p>
      <w:pPr>
        <w:bidi w:val="0"/>
        <w:rPr>
          <w:rFonts w:hint="eastAsia"/>
          <w:color w:val="auto"/>
          <w:highlight w:val="none"/>
        </w:rPr>
      </w:pPr>
      <w:r>
        <w:rPr>
          <w:rFonts w:hint="eastAsia"/>
          <w:color w:val="auto"/>
          <w:highlight w:val="none"/>
        </w:rPr>
        <w:t>根据采购方确定的范围进行1:500地形图测绘</w:t>
      </w:r>
      <w:r>
        <w:rPr>
          <w:rFonts w:hint="eastAsia"/>
          <w:color w:val="auto"/>
          <w:highlight w:val="none"/>
          <w:lang w:eastAsia="zh-CN"/>
        </w:rPr>
        <w:t>（</w:t>
      </w:r>
      <w:r>
        <w:rPr>
          <w:rFonts w:hint="eastAsia"/>
          <w:color w:val="auto"/>
          <w:highlight w:val="none"/>
          <w:lang w:val="en-US" w:eastAsia="zh-CN"/>
        </w:rPr>
        <w:t>中心镇</w:t>
      </w:r>
      <w:r>
        <w:rPr>
          <w:rFonts w:hint="eastAsia"/>
          <w:color w:val="auto"/>
          <w:highlight w:val="none"/>
          <w:lang w:eastAsia="zh-CN"/>
        </w:rPr>
        <w:t>）</w:t>
      </w:r>
      <w:r>
        <w:rPr>
          <w:rFonts w:hint="eastAsia"/>
          <w:color w:val="auto"/>
          <w:highlight w:val="none"/>
        </w:rPr>
        <w:t>。测绘内容应包括测量控制点、水系、居民地及设施、交通、管线、地貌、植被与土质等要素，并应着重表示与城市规划、建设有关的各项要素。</w:t>
      </w:r>
    </w:p>
    <w:p>
      <w:pPr>
        <w:bidi w:val="0"/>
        <w:rPr>
          <w:rFonts w:hint="eastAsia"/>
          <w:b/>
          <w:bCs/>
          <w:color w:val="auto"/>
          <w:highlight w:val="none"/>
        </w:rPr>
      </w:pPr>
      <w:r>
        <w:rPr>
          <w:rFonts w:hint="eastAsia"/>
          <w:b/>
          <w:bCs/>
          <w:color w:val="auto"/>
          <w:highlight w:val="none"/>
          <w:lang w:eastAsia="zh-CN"/>
        </w:rPr>
        <w:t>（五）</w:t>
      </w:r>
      <w:r>
        <w:rPr>
          <w:rFonts w:hint="eastAsia"/>
          <w:b/>
          <w:bCs/>
          <w:color w:val="auto"/>
          <w:highlight w:val="none"/>
        </w:rPr>
        <w:t>成果要求</w:t>
      </w:r>
    </w:p>
    <w:p>
      <w:pPr>
        <w:bidi w:val="0"/>
        <w:rPr>
          <w:rFonts w:hint="eastAsia"/>
          <w:color w:val="auto"/>
          <w:highlight w:val="none"/>
        </w:rPr>
      </w:pPr>
      <w:r>
        <w:rPr>
          <w:rFonts w:hint="eastAsia"/>
          <w:color w:val="auto"/>
          <w:highlight w:val="none"/>
          <w:lang w:val="en-US" w:eastAsia="zh-CN"/>
        </w:rPr>
        <w:t>1、</w:t>
      </w:r>
      <w:r>
        <w:rPr>
          <w:rFonts w:hint="eastAsia"/>
          <w:color w:val="auto"/>
          <w:highlight w:val="none"/>
        </w:rPr>
        <w:t>规划成果要求</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规划成果包括文本、图件、数据库和规划附件。</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rPr>
        <w:t>规划成果文档包括纸质文档和电子文档两种形式。纸质文档应采用A4竖向排版，图集采用A3幅面印折叠成册。电子文档需包括所有规划成果矢量数据，电子文档采用光盘刻录，其中，规划文本和说明采用*.docx或*.pdf格式，规划图纸采用*.jpg格式，规划矢量数据采用*.shp和*.dwg等格式。</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rPr>
        <w:t>规划成果须达到国家、省市相关法律、法规、规范和技术规定要求。片区（镇域）规划以及镇区规划以四川省自然资源厅《关于印发四川省乡镇级</w:t>
      </w:r>
      <w:r>
        <w:rPr>
          <w:rFonts w:hint="eastAsia"/>
          <w:color w:val="auto"/>
          <w:highlight w:val="none"/>
          <w:lang w:eastAsia="zh-CN"/>
        </w:rPr>
        <w:t>、村级规划编制指南和备案审查要点的通知</w:t>
      </w:r>
      <w:r>
        <w:rPr>
          <w:rFonts w:hint="eastAsia"/>
          <w:color w:val="auto"/>
          <w:highlight w:val="none"/>
        </w:rPr>
        <w:t>》（川自然资发（2021）</w:t>
      </w:r>
      <w:r>
        <w:rPr>
          <w:rFonts w:hint="eastAsia"/>
          <w:color w:val="auto"/>
          <w:highlight w:val="none"/>
          <w:lang w:val="en-US" w:eastAsia="zh-CN"/>
        </w:rPr>
        <w:t>70</w:t>
      </w:r>
      <w:r>
        <w:rPr>
          <w:rFonts w:hint="eastAsia"/>
          <w:color w:val="auto"/>
          <w:highlight w:val="none"/>
        </w:rPr>
        <w:t>号）的要求为准。</w:t>
      </w:r>
    </w:p>
    <w:p>
      <w:pPr>
        <w:bidi w:val="0"/>
        <w:rPr>
          <w:rFonts w:hint="eastAsia"/>
          <w:color w:val="auto"/>
          <w:highlight w:val="none"/>
        </w:rPr>
      </w:pPr>
      <w:r>
        <w:rPr>
          <w:rFonts w:hint="eastAsia"/>
          <w:color w:val="auto"/>
          <w:highlight w:val="none"/>
          <w:lang w:val="en-US" w:eastAsia="zh-CN"/>
        </w:rPr>
        <w:t>2、</w:t>
      </w:r>
      <w:r>
        <w:rPr>
          <w:rFonts w:hint="eastAsia"/>
          <w:color w:val="auto"/>
          <w:highlight w:val="none"/>
        </w:rPr>
        <w:t>测绘成果要求</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本项目的测绘成果应是经具备相应资质的质监站检查通过的1:500数字化地形图测绘成果,包括：控制成果表；技术设计书、技术总结报告、质量检查报告；图形文件数据。</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rPr>
        <w:t>全套电子成果，文本为Word、Excel、Pdf格式，图纸为JPG格式，数据成果格式：地形图格式（AutoCAD2006版DWG格式，</w:t>
      </w:r>
      <w:r>
        <w:rPr>
          <w:color w:val="auto"/>
          <w:highlight w:val="none"/>
        </w:rPr>
        <w:fldChar w:fldCharType="begin"/>
      </w:r>
      <w:r>
        <w:rPr>
          <w:color w:val="auto"/>
          <w:highlight w:val="none"/>
        </w:rPr>
        <w:instrText xml:space="preserve"> HYPERLINK "https://baike.so.com/doc/5292399-5526945.html" </w:instrText>
      </w:r>
      <w:r>
        <w:rPr>
          <w:color w:val="auto"/>
          <w:highlight w:val="none"/>
        </w:rPr>
        <w:fldChar w:fldCharType="separate"/>
      </w:r>
      <w:r>
        <w:rPr>
          <w:rFonts w:hint="eastAsia"/>
          <w:color w:val="auto"/>
          <w:highlight w:val="none"/>
        </w:rPr>
        <w:t>CGCS2000</w:t>
      </w:r>
      <w:r>
        <w:rPr>
          <w:rFonts w:hint="eastAsia"/>
          <w:color w:val="auto"/>
          <w:highlight w:val="none"/>
        </w:rPr>
        <w:fldChar w:fldCharType="end"/>
      </w:r>
      <w:r>
        <w:rPr>
          <w:rFonts w:hint="eastAsia"/>
          <w:color w:val="auto"/>
          <w:highlight w:val="none"/>
        </w:rPr>
        <w:t>坐标）格式成果。</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rPr>
        <w:t>保密要求：此项工作中属于保密的数据，履约过程中须严格按照国家保密工作规程操作，因未按照要求操作造成的泄密，后果由</w:t>
      </w:r>
      <w:r>
        <w:rPr>
          <w:rFonts w:hint="eastAsia"/>
          <w:color w:val="auto"/>
          <w:highlight w:val="none"/>
          <w:lang w:eastAsia="zh-CN"/>
        </w:rPr>
        <w:t>中标人</w:t>
      </w:r>
      <w:r>
        <w:rPr>
          <w:rFonts w:hint="eastAsia"/>
          <w:color w:val="auto"/>
          <w:highlight w:val="none"/>
        </w:rPr>
        <w:t>负责。</w:t>
      </w:r>
    </w:p>
    <w:p>
      <w:pPr>
        <w:pStyle w:val="5"/>
        <w:jc w:val="left"/>
        <w:rPr>
          <w:rFonts w:hint="eastAsia" w:eastAsia="楷体"/>
          <w:color w:val="auto"/>
          <w:highlight w:val="none"/>
          <w:lang w:eastAsia="zh-CN"/>
        </w:rPr>
      </w:pPr>
      <w:r>
        <w:rPr>
          <w:rFonts w:hint="eastAsia"/>
          <w:color w:val="auto"/>
          <w:highlight w:val="none"/>
        </w:rPr>
        <w:t>三、</w:t>
      </w:r>
      <w:r>
        <w:rPr>
          <w:rFonts w:hint="eastAsia"/>
          <w:color w:val="auto"/>
          <w:highlight w:val="none"/>
          <w:lang w:eastAsia="zh-CN"/>
        </w:rPr>
        <w:t>商务</w:t>
      </w:r>
      <w:r>
        <w:rPr>
          <w:rFonts w:hint="eastAsia"/>
          <w:color w:val="auto"/>
          <w:highlight w:val="none"/>
        </w:rPr>
        <w:t>要求</w:t>
      </w:r>
      <w:r>
        <w:rPr>
          <w:rFonts w:hint="eastAsia"/>
          <w:color w:val="auto"/>
          <w:highlight w:val="none"/>
          <w:lang w:eastAsia="zh-CN"/>
        </w:rPr>
        <w:t>（实质性要求）</w:t>
      </w:r>
    </w:p>
    <w:p>
      <w:pPr>
        <w:bidi w:val="0"/>
        <w:rPr>
          <w:rFonts w:hint="eastAsia"/>
          <w:b/>
          <w:bCs/>
          <w:color w:val="auto"/>
          <w:highlight w:val="none"/>
        </w:rPr>
      </w:pPr>
      <w:r>
        <w:rPr>
          <w:rFonts w:hint="eastAsia"/>
          <w:b/>
          <w:bCs/>
          <w:color w:val="auto"/>
          <w:highlight w:val="none"/>
        </w:rPr>
        <w:t>1、报价构成</w:t>
      </w:r>
    </w:p>
    <w:p>
      <w:pPr>
        <w:pStyle w:val="13"/>
        <w:ind w:firstLine="640"/>
        <w:rPr>
          <w:rFonts w:hint="eastAsia"/>
          <w:color w:val="auto"/>
          <w:highlight w:val="none"/>
        </w:rPr>
      </w:pPr>
      <w:r>
        <w:rPr>
          <w:rFonts w:hint="eastAsia"/>
          <w:color w:val="auto"/>
          <w:highlight w:val="none"/>
        </w:rPr>
        <w:t>此项目报价应是最终用户验收合格后的总价，</w:t>
      </w:r>
      <w:r>
        <w:rPr>
          <w:rFonts w:hint="eastAsia" w:ascii="仿宋_GB2312" w:hAnsi="仿宋_GB2312" w:cs="仿宋_GB2312"/>
          <w:color w:val="auto"/>
          <w:szCs w:val="32"/>
          <w:highlight w:val="none"/>
        </w:rPr>
        <w:t>所报价格包括服务费、保险、售后服务费、税费和</w:t>
      </w:r>
      <w:r>
        <w:rPr>
          <w:rFonts w:hint="eastAsia" w:ascii="仿宋_GB2312" w:hAnsi="仿宋_GB2312" w:cs="仿宋_GB2312"/>
          <w:color w:val="auto"/>
          <w:szCs w:val="32"/>
          <w:highlight w:val="none"/>
          <w:lang w:eastAsia="zh-CN"/>
        </w:rPr>
        <w:t>招标</w:t>
      </w:r>
      <w:r>
        <w:rPr>
          <w:rFonts w:hint="eastAsia" w:ascii="仿宋_GB2312" w:hAnsi="仿宋_GB2312" w:cs="仿宋_GB2312"/>
          <w:color w:val="auto"/>
          <w:szCs w:val="32"/>
          <w:highlight w:val="none"/>
        </w:rPr>
        <w:t>文件规定以外的其它未涉及费用。</w:t>
      </w:r>
      <w:r>
        <w:rPr>
          <w:rFonts w:hint="eastAsia"/>
          <w:color w:val="auto"/>
          <w:highlight w:val="none"/>
        </w:rPr>
        <w:t>采购人不再另行支付其他一切费用。</w:t>
      </w:r>
    </w:p>
    <w:p>
      <w:pPr>
        <w:bidi w:val="0"/>
        <w:rPr>
          <w:rFonts w:hint="eastAsia"/>
          <w:b/>
          <w:bCs/>
          <w:color w:val="auto"/>
          <w:highlight w:val="none"/>
        </w:rPr>
      </w:pPr>
      <w:r>
        <w:rPr>
          <w:rFonts w:hint="eastAsia"/>
          <w:b/>
          <w:bCs/>
          <w:color w:val="auto"/>
          <w:highlight w:val="none"/>
        </w:rPr>
        <w:t>2、合同实质性条款</w:t>
      </w:r>
    </w:p>
    <w:p>
      <w:pPr>
        <w:pStyle w:val="13"/>
        <w:ind w:firstLine="640"/>
        <w:rPr>
          <w:rFonts w:hint="eastAsia" w:ascii="仿宋_GB2312" w:hAnsi="仿宋_GB2312" w:cs="仿宋_GB2312"/>
          <w:bCs/>
          <w:color w:val="auto"/>
          <w:szCs w:val="32"/>
          <w:highlight w:val="none"/>
        </w:rPr>
      </w:pPr>
      <w:r>
        <w:rPr>
          <w:rFonts w:hint="eastAsia" w:ascii="仿宋_GB2312" w:hAnsi="仿宋_GB2312" w:cs="仿宋_GB2312"/>
          <w:bCs/>
          <w:color w:val="auto"/>
          <w:szCs w:val="32"/>
          <w:highlight w:val="none"/>
        </w:rPr>
        <w:t>甲乙双方应根据本采购项目的特点，在不违背</w:t>
      </w:r>
      <w:r>
        <w:rPr>
          <w:rFonts w:hint="eastAsia" w:ascii="仿宋_GB2312" w:hAnsi="仿宋_GB2312" w:cs="仿宋_GB2312"/>
          <w:bCs/>
          <w:color w:val="auto"/>
          <w:szCs w:val="32"/>
          <w:highlight w:val="none"/>
          <w:lang w:eastAsia="zh-CN"/>
        </w:rPr>
        <w:t>招标</w:t>
      </w:r>
      <w:r>
        <w:rPr>
          <w:rFonts w:hint="eastAsia" w:ascii="仿宋_GB2312" w:hAnsi="仿宋_GB2312" w:cs="仿宋_GB2312"/>
          <w:bCs/>
          <w:color w:val="auto"/>
          <w:szCs w:val="32"/>
          <w:highlight w:val="none"/>
        </w:rPr>
        <w:t>文件要求、采购承诺的原则下，就具体条款进行修改和增减。</w:t>
      </w:r>
    </w:p>
    <w:p>
      <w:pPr>
        <w:pStyle w:val="13"/>
        <w:bidi w:val="0"/>
        <w:rPr>
          <w:rFonts w:hint="eastAsia"/>
          <w:b/>
          <w:bCs/>
          <w:color w:val="auto"/>
          <w:highlight w:val="none"/>
        </w:rPr>
      </w:pPr>
      <w:r>
        <w:rPr>
          <w:rFonts w:hint="eastAsia"/>
          <w:b/>
          <w:bCs/>
          <w:color w:val="auto"/>
          <w:highlight w:val="none"/>
          <w:lang w:val="en-US" w:eastAsia="zh-CN"/>
        </w:rPr>
        <w:t>3</w:t>
      </w:r>
      <w:r>
        <w:rPr>
          <w:rFonts w:hint="eastAsia"/>
          <w:b/>
          <w:bCs/>
          <w:color w:val="auto"/>
          <w:highlight w:val="none"/>
        </w:rPr>
        <w:t>、</w:t>
      </w:r>
      <w:r>
        <w:rPr>
          <w:rFonts w:hint="eastAsia"/>
          <w:b/>
          <w:bCs/>
          <w:color w:val="auto"/>
          <w:highlight w:val="none"/>
          <w:lang w:eastAsia="zh-CN"/>
        </w:rPr>
        <w:t>服务</w:t>
      </w:r>
      <w:r>
        <w:rPr>
          <w:rFonts w:hint="eastAsia"/>
          <w:b/>
          <w:bCs/>
          <w:color w:val="auto"/>
          <w:highlight w:val="none"/>
        </w:rPr>
        <w:t>时间：</w:t>
      </w:r>
    </w:p>
    <w:p>
      <w:pPr>
        <w:bidi w:val="0"/>
        <w:rPr>
          <w:rFonts w:hint="eastAsia" w:eastAsia="仿宋_GB2312"/>
          <w:color w:val="auto"/>
          <w:highlight w:val="none"/>
          <w:lang w:eastAsia="zh-CN"/>
        </w:rPr>
      </w:pPr>
      <w:r>
        <w:rPr>
          <w:rFonts w:hint="eastAsia"/>
          <w:color w:val="auto"/>
          <w:highlight w:val="none"/>
        </w:rPr>
        <w:t>在满足上级进度要求的前提下，聚焦基层所急所需，统筹推进乡镇级规划编制。项目成果自合同签订之日起</w:t>
      </w:r>
      <w:bookmarkStart w:id="4" w:name="OLE_LINK1"/>
      <w:r>
        <w:rPr>
          <w:rFonts w:hint="eastAsia"/>
          <w:color w:val="auto"/>
          <w:highlight w:val="none"/>
        </w:rPr>
        <w:t>250个工作日内完成</w:t>
      </w:r>
      <w:bookmarkEnd w:id="4"/>
      <w:r>
        <w:rPr>
          <w:rFonts w:hint="eastAsia"/>
          <w:color w:val="auto"/>
          <w:highlight w:val="none"/>
        </w:rPr>
        <w:t>，其中各阶段工期安排如下</w:t>
      </w:r>
      <w:r>
        <w:rPr>
          <w:rFonts w:hint="eastAsia"/>
          <w:color w:val="auto"/>
          <w:highlight w:val="none"/>
          <w:lang w:eastAsia="zh-CN"/>
        </w:rPr>
        <w:t>：</w:t>
      </w:r>
    </w:p>
    <w:p>
      <w:pPr>
        <w:bidi w:val="0"/>
        <w:rPr>
          <w:rFonts w:hint="eastAsia"/>
          <w:color w:val="auto"/>
          <w:highlight w:val="none"/>
        </w:rPr>
      </w:pPr>
      <w:r>
        <w:rPr>
          <w:rFonts w:hint="eastAsia"/>
          <w:color w:val="auto"/>
          <w:highlight w:val="none"/>
        </w:rPr>
        <w:t>合同签订一个月内，开展前期现状调研、基础资料收集、实地踏勘，与县级层面共同组建乡村国土空间规划编制工作专班。</w:t>
      </w:r>
    </w:p>
    <w:p>
      <w:pPr>
        <w:bidi w:val="0"/>
        <w:rPr>
          <w:rFonts w:hint="eastAsia"/>
          <w:color w:val="auto"/>
          <w:highlight w:val="none"/>
        </w:rPr>
      </w:pPr>
      <w:r>
        <w:rPr>
          <w:rFonts w:hint="eastAsia"/>
          <w:color w:val="auto"/>
          <w:highlight w:val="none"/>
        </w:rPr>
        <w:t>2022年</w:t>
      </w:r>
      <w:r>
        <w:rPr>
          <w:rFonts w:hint="eastAsia"/>
          <w:color w:val="auto"/>
          <w:highlight w:val="none"/>
          <w:lang w:val="en-US" w:eastAsia="zh-CN"/>
        </w:rPr>
        <w:t>7</w:t>
      </w:r>
      <w:r>
        <w:rPr>
          <w:rFonts w:hint="eastAsia"/>
          <w:color w:val="auto"/>
          <w:highlight w:val="none"/>
        </w:rPr>
        <w:t>月，在县级领导小组统筹下，与规划编制专班做好对接。并充分与县级国土空间总体规划、乡镇级片区专项规划做好衔接，完成本项目所在乡镇片区的国土空间总体规划初步成果的编制。</w:t>
      </w:r>
    </w:p>
    <w:p>
      <w:pPr>
        <w:bidi w:val="0"/>
        <w:rPr>
          <w:rFonts w:hint="eastAsia"/>
          <w:color w:val="auto"/>
          <w:highlight w:val="none"/>
        </w:rPr>
      </w:pPr>
      <w:r>
        <w:rPr>
          <w:rFonts w:hint="eastAsia"/>
          <w:color w:val="auto"/>
          <w:highlight w:val="none"/>
        </w:rPr>
        <w:t>在合同规定时间范围之内，完成本项目所在乡镇片区的全部规划成果，送相关乡镇、村征求意见并修改完善。</w:t>
      </w:r>
    </w:p>
    <w:p>
      <w:pPr>
        <w:pStyle w:val="13"/>
        <w:bidi w:val="0"/>
        <w:rPr>
          <w:rFonts w:hint="eastAsia"/>
          <w:b w:val="0"/>
          <w:bCs w:val="0"/>
          <w:color w:val="auto"/>
          <w:highlight w:val="none"/>
        </w:rPr>
      </w:pPr>
      <w:r>
        <w:rPr>
          <w:rFonts w:hint="eastAsia"/>
          <w:b/>
          <w:bCs/>
          <w:color w:val="auto"/>
          <w:highlight w:val="none"/>
          <w:lang w:val="en-US" w:eastAsia="zh-CN"/>
        </w:rPr>
        <w:t>4</w:t>
      </w:r>
      <w:r>
        <w:rPr>
          <w:rFonts w:hint="eastAsia"/>
          <w:b/>
          <w:bCs/>
          <w:color w:val="auto"/>
          <w:highlight w:val="none"/>
        </w:rPr>
        <w:t>、</w:t>
      </w:r>
      <w:r>
        <w:rPr>
          <w:rFonts w:hint="eastAsia"/>
          <w:b/>
          <w:bCs/>
          <w:color w:val="auto"/>
          <w:highlight w:val="none"/>
          <w:lang w:eastAsia="zh-CN"/>
        </w:rPr>
        <w:t>服务</w:t>
      </w:r>
      <w:r>
        <w:rPr>
          <w:rFonts w:hint="eastAsia"/>
          <w:b/>
          <w:bCs/>
          <w:color w:val="auto"/>
          <w:highlight w:val="none"/>
        </w:rPr>
        <w:t>地点：</w:t>
      </w:r>
      <w:r>
        <w:rPr>
          <w:rFonts w:hint="eastAsia"/>
          <w:b w:val="0"/>
          <w:bCs w:val="0"/>
          <w:color w:val="auto"/>
          <w:highlight w:val="none"/>
        </w:rPr>
        <w:t>采购人指定地点。</w:t>
      </w:r>
    </w:p>
    <w:p>
      <w:pPr>
        <w:bidi w:val="0"/>
        <w:rPr>
          <w:rFonts w:hint="eastAsia"/>
          <w:b/>
          <w:bCs/>
          <w:color w:val="auto"/>
          <w:highlight w:val="none"/>
          <w:lang w:val="en-US" w:eastAsia="zh-CN"/>
        </w:rPr>
      </w:pPr>
      <w:r>
        <w:rPr>
          <w:rFonts w:hint="eastAsia"/>
          <w:b/>
          <w:bCs/>
          <w:color w:val="auto"/>
          <w:highlight w:val="none"/>
          <w:lang w:val="en-US" w:eastAsia="zh-CN"/>
        </w:rPr>
        <w:t>5、付款方式：</w:t>
      </w:r>
    </w:p>
    <w:p>
      <w:pPr>
        <w:bidi w:val="0"/>
        <w:rPr>
          <w:rFonts w:hint="eastAsia"/>
          <w:color w:val="auto"/>
          <w:highlight w:val="none"/>
          <w:lang w:val="en-US" w:eastAsia="zh-CN"/>
        </w:rPr>
      </w:pPr>
      <w:r>
        <w:rPr>
          <w:rFonts w:hint="eastAsia"/>
          <w:color w:val="auto"/>
          <w:highlight w:val="none"/>
          <w:lang w:val="en-US" w:eastAsia="zh-CN"/>
        </w:rPr>
        <w:t>合同签订生效后，中标人完成现场调研及分析后10个工作日内，采购人支付中标人合同款项的20%；规划方案通过相应层级自然资源行政主管部门组织的专家评审后10个工作日内，采购人支付中标人合同款的30%；规划方案成果按照要求进行审批（备案）并向采购人交付成果时，采购人支付中标人合同款40%，中标人应承担半年内的后续成果使用技术支撑及保障工作、期满支付合同款的10%。</w:t>
      </w:r>
    </w:p>
    <w:p>
      <w:pPr>
        <w:pStyle w:val="13"/>
        <w:bidi w:val="0"/>
        <w:rPr>
          <w:rFonts w:hint="eastAsia"/>
          <w:b/>
          <w:bCs/>
          <w:color w:val="auto"/>
          <w:highlight w:val="none"/>
        </w:rPr>
      </w:pPr>
      <w:r>
        <w:rPr>
          <w:rFonts w:hint="eastAsia"/>
          <w:b/>
          <w:bCs/>
          <w:color w:val="auto"/>
          <w:highlight w:val="none"/>
          <w:lang w:val="en-US" w:eastAsia="zh-CN"/>
        </w:rPr>
        <w:t>6</w:t>
      </w:r>
      <w:r>
        <w:rPr>
          <w:rFonts w:hint="eastAsia"/>
          <w:b/>
          <w:bCs/>
          <w:color w:val="auto"/>
          <w:highlight w:val="none"/>
        </w:rPr>
        <w:t>、验收标准和方法：</w:t>
      </w:r>
    </w:p>
    <w:p>
      <w:pPr>
        <w:pStyle w:val="13"/>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成果内容深度按照《四川省乡镇级国土空间总体规划编制指南》（2021年修订版）规定要求，若编制规范有调整以最新版本为准。</w:t>
      </w:r>
    </w:p>
    <w:p>
      <w:pPr>
        <w:pStyle w:val="13"/>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中标人</w:t>
      </w:r>
      <w:r>
        <w:rPr>
          <w:rFonts w:hint="eastAsia"/>
          <w:color w:val="auto"/>
          <w:highlight w:val="none"/>
        </w:rPr>
        <w:t>与采购人应严格按照《财政部关于进一步加强采购需求和履约验收管理的指导意见》的通知（财库[2016]205号）及《巴中市财政局关于进一步加强政府采购项目合同履约验收管理工作的通知》（巴财采[2021]21号）的要求、文件规定的要求和响应文件及合同承诺的内容进行验收。</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政府采购项目履约验收工作由采购人负责。采购人可以根据采购项目具体情况自行组织验收，或者委托采购代理机构组织验收，但委托验收不能免除采购人应当承担的法律责任。采购人可以邀请参加本项目的其他竞标人或者第三方机构参与验收。参与验收的竞标人或者第三方机构的意见作为验收书的参考资料一并存档。采购人委托采购代理机构组织验收的，验收服务费及验收过程中发生的有关费用不得由供应商支付。</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采购人在收到中标人提交的项目成果后，组织本单位或邀请专家对成果进行检查。中标人应当于项目完工之日起</w:t>
      </w:r>
      <w:r>
        <w:rPr>
          <w:rFonts w:hint="default" w:ascii="Times New Roman" w:hAnsi="Times New Roman" w:cs="Times New Roman"/>
          <w:color w:val="auto"/>
          <w:highlight w:val="none"/>
          <w:lang w:val="en-US" w:eastAsia="zh-CN"/>
        </w:rPr>
        <w:t>10</w:t>
      </w:r>
      <w:r>
        <w:rPr>
          <w:rFonts w:hint="eastAsia" w:ascii="Times New Roman" w:hAnsi="Times New Roman" w:cs="Times New Roman"/>
          <w:color w:val="auto"/>
          <w:highlight w:val="none"/>
          <w:lang w:val="en-US" w:eastAsia="zh-CN"/>
        </w:rPr>
        <w:t>日内书面通知采购人检查，采购人应当自接到完工通知之日起</w:t>
      </w:r>
      <w:r>
        <w:rPr>
          <w:rFonts w:hint="default" w:ascii="Times New Roman" w:hAnsi="Times New Roman" w:cs="Times New Roman"/>
          <w:color w:val="auto"/>
          <w:highlight w:val="none"/>
          <w:lang w:val="en-US" w:eastAsia="zh-CN"/>
        </w:rPr>
        <w:t>15</w:t>
      </w:r>
      <w:r>
        <w:rPr>
          <w:rFonts w:hint="eastAsia" w:ascii="Times New Roman" w:hAnsi="Times New Roman" w:cs="Times New Roman"/>
          <w:color w:val="auto"/>
          <w:highlight w:val="none"/>
          <w:lang w:val="en-US" w:eastAsia="zh-CN"/>
        </w:rPr>
        <w:t>日内，组织本单位或专家，依据本合同约定使用的技术标准和技术要求，采购人对中标人阶段性工作检查，并出据项目成果检查报告或采购人正常使用的报告。当中标人完成阶段性工作，若</w:t>
      </w:r>
      <w:r>
        <w:rPr>
          <w:rFonts w:hint="default" w:ascii="Times New Roman" w:hAnsi="Times New Roman" w:cs="Times New Roman"/>
          <w:color w:val="auto"/>
          <w:highlight w:val="none"/>
          <w:lang w:val="en-US" w:eastAsia="zh-CN"/>
        </w:rPr>
        <w:t>15</w:t>
      </w:r>
      <w:r>
        <w:rPr>
          <w:rFonts w:hint="eastAsia" w:ascii="Times New Roman" w:hAnsi="Times New Roman" w:cs="Times New Roman"/>
          <w:color w:val="auto"/>
          <w:highlight w:val="none"/>
          <w:lang w:val="en-US" w:eastAsia="zh-CN"/>
        </w:rPr>
        <w:t>日内采购人未组织检查，视为中标人通过检查。</w:t>
      </w:r>
    </w:p>
    <w:p>
      <w:pPr>
        <w:pStyle w:val="13"/>
        <w:bidi w:val="0"/>
        <w:rPr>
          <w:rFonts w:hint="eastAsia"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val="en-US" w:eastAsia="zh-CN"/>
        </w:rPr>
        <w:t>其他要求：</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采购人因部、省、市、县出台的新的技术标准和要求或规程规范时，变更委托项目工作内容、压缩工期、修改项目实质性工作内容（如要求中标人提供超出质量标准以外的质量要求等）或因其他原因导致中标人工作返工或增加工作量的，双方应另行协商签订补充协议增加工作经费。中标人应按采购人要求的时间节点及质量要求，完成相应工作，若因中标人技术力量等其它因素致使未能完成的，采购人有权追究中标人相应责任。</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2）项目完成备案后，如采购人需要打印图件或文本资料，中标人应第一时间响应，但所涉及费用由采购人自行支付。</w:t>
      </w:r>
    </w:p>
    <w:p>
      <w:pPr>
        <w:pStyle w:val="13"/>
        <w:bidi w:val="0"/>
        <w:rPr>
          <w:rFonts w:hint="eastAsia"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8.</w:t>
      </w:r>
      <w:r>
        <w:rPr>
          <w:rFonts w:hint="eastAsia" w:ascii="Times New Roman" w:hAnsi="Times New Roman" w:cs="Times New Roman"/>
          <w:b/>
          <w:bCs/>
          <w:color w:val="auto"/>
          <w:highlight w:val="none"/>
          <w:lang w:val="en-US" w:eastAsia="zh-CN"/>
        </w:rPr>
        <w:t>合同实质性条款</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1）知识产权</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中标人应保证所提供的服务或其任何一部分均不会侵犯任何第三方的专利权、商标权或著作权。</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2）无产权瑕疵条款</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中标人保证所提供的服务的所有权完全属于中标人且无任何抵押、查封等产权瑕疵。如有产权瑕疵的，视为中标人违约。中标人应负担由此而产生的一切损失。</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3）违约责任</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3.1双方必须遵守本合同并执行合同中的各项规定，保证本合同的正常履行。</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4）解决合同纠纷的方式</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4.1 在执行本合同中发生的或与本合同有关的争端，双方应通过友好协商解决，经协商在60天内不能达成协议时，应提交有管辖权法院进行诉讼解决。</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4.2 法院判决结果应为最终决定，并对双方具有约束力。</w:t>
      </w:r>
    </w:p>
    <w:p>
      <w:pPr>
        <w:pStyle w:val="13"/>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 xml:space="preserve">4.3 除另有诉讼外，诉讼费应由败诉方负担。 </w:t>
      </w:r>
    </w:p>
    <w:p>
      <w:pPr>
        <w:pStyle w:val="13"/>
        <w:bidi w:val="0"/>
        <w:rPr>
          <w:rFonts w:hint="eastAsia" w:ascii="Times New Roman" w:hAnsi="Times New Roman" w:cs="Times New Roman"/>
          <w:color w:val="FF0000"/>
          <w:highlight w:val="none"/>
          <w:lang w:eastAsia="zh-CN"/>
        </w:rPr>
      </w:pPr>
      <w:r>
        <w:rPr>
          <w:rFonts w:hint="eastAsia" w:ascii="Times New Roman" w:hAnsi="Times New Roman" w:cs="Times New Roman"/>
          <w:color w:val="auto"/>
          <w:highlight w:val="none"/>
          <w:lang w:val="en-US" w:eastAsia="zh-CN"/>
        </w:rPr>
        <w:t>4.4 在诉讼期间，除正在进行诉讼部分外，合同其他部分继续执行。</w:t>
      </w:r>
    </w:p>
    <w:p>
      <w:pPr>
        <w:rPr>
          <w:rFonts w:hint="eastAsia"/>
          <w:highlight w:val="none"/>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9FF96"/>
    <w:multiLevelType w:val="multilevel"/>
    <w:tmpl w:val="9559FF96"/>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jk4MjZjODMwNjY2YjkxMDA0Y2VkYTg2NzE0MGUifQ=="/>
  </w:docVars>
  <w:rsids>
    <w:rsidRoot w:val="1EE21807"/>
    <w:rsid w:val="003532FE"/>
    <w:rsid w:val="003C1BA7"/>
    <w:rsid w:val="00654D89"/>
    <w:rsid w:val="00883D10"/>
    <w:rsid w:val="009E02B3"/>
    <w:rsid w:val="00D47C33"/>
    <w:rsid w:val="00DC6664"/>
    <w:rsid w:val="00FC0141"/>
    <w:rsid w:val="012009DA"/>
    <w:rsid w:val="015F34B4"/>
    <w:rsid w:val="016C6B33"/>
    <w:rsid w:val="017D4192"/>
    <w:rsid w:val="01831C5D"/>
    <w:rsid w:val="020F3A0A"/>
    <w:rsid w:val="024178D8"/>
    <w:rsid w:val="02564327"/>
    <w:rsid w:val="025A64E5"/>
    <w:rsid w:val="02B11C79"/>
    <w:rsid w:val="03394EB3"/>
    <w:rsid w:val="03E57186"/>
    <w:rsid w:val="0431276C"/>
    <w:rsid w:val="046269DF"/>
    <w:rsid w:val="0466404D"/>
    <w:rsid w:val="051401A4"/>
    <w:rsid w:val="05411C5D"/>
    <w:rsid w:val="05423074"/>
    <w:rsid w:val="055C31C7"/>
    <w:rsid w:val="06146DEA"/>
    <w:rsid w:val="06337EB2"/>
    <w:rsid w:val="063D620E"/>
    <w:rsid w:val="065963BD"/>
    <w:rsid w:val="06A35A3F"/>
    <w:rsid w:val="06D01908"/>
    <w:rsid w:val="06DB3A17"/>
    <w:rsid w:val="07761066"/>
    <w:rsid w:val="081F42A7"/>
    <w:rsid w:val="08B92245"/>
    <w:rsid w:val="08F40B33"/>
    <w:rsid w:val="09310F40"/>
    <w:rsid w:val="096F0162"/>
    <w:rsid w:val="097506FA"/>
    <w:rsid w:val="09B60471"/>
    <w:rsid w:val="09C10B88"/>
    <w:rsid w:val="09DD6CC3"/>
    <w:rsid w:val="09FB615E"/>
    <w:rsid w:val="0A2108A5"/>
    <w:rsid w:val="0A593D7E"/>
    <w:rsid w:val="0A692C3A"/>
    <w:rsid w:val="0AAD025A"/>
    <w:rsid w:val="0B7F349D"/>
    <w:rsid w:val="0BDB585B"/>
    <w:rsid w:val="0BEA6FD0"/>
    <w:rsid w:val="0C460C8A"/>
    <w:rsid w:val="0C47234A"/>
    <w:rsid w:val="0C4F4BC7"/>
    <w:rsid w:val="0D004699"/>
    <w:rsid w:val="0D6355C4"/>
    <w:rsid w:val="0D7E07C2"/>
    <w:rsid w:val="0D9A32F3"/>
    <w:rsid w:val="0DAD5100"/>
    <w:rsid w:val="0DE47C62"/>
    <w:rsid w:val="0E0E218F"/>
    <w:rsid w:val="0F0D32A0"/>
    <w:rsid w:val="0F765788"/>
    <w:rsid w:val="0F8D4AA2"/>
    <w:rsid w:val="0F9C6E5A"/>
    <w:rsid w:val="1039107B"/>
    <w:rsid w:val="106346F4"/>
    <w:rsid w:val="108F1B1B"/>
    <w:rsid w:val="10C06236"/>
    <w:rsid w:val="11CB6AFA"/>
    <w:rsid w:val="11D731B4"/>
    <w:rsid w:val="12A10CC7"/>
    <w:rsid w:val="12B06922"/>
    <w:rsid w:val="12BE3627"/>
    <w:rsid w:val="12F74B11"/>
    <w:rsid w:val="1367325C"/>
    <w:rsid w:val="13954BFA"/>
    <w:rsid w:val="140275DF"/>
    <w:rsid w:val="14271CEB"/>
    <w:rsid w:val="147D693B"/>
    <w:rsid w:val="14C43926"/>
    <w:rsid w:val="14D93C59"/>
    <w:rsid w:val="14FC0D3F"/>
    <w:rsid w:val="152028AE"/>
    <w:rsid w:val="15924B5F"/>
    <w:rsid w:val="15F07EF8"/>
    <w:rsid w:val="1630213C"/>
    <w:rsid w:val="169B53EC"/>
    <w:rsid w:val="16BE2227"/>
    <w:rsid w:val="16D370AB"/>
    <w:rsid w:val="17056E8A"/>
    <w:rsid w:val="170E260C"/>
    <w:rsid w:val="18BD7D47"/>
    <w:rsid w:val="18CA163C"/>
    <w:rsid w:val="192C1526"/>
    <w:rsid w:val="196A3139"/>
    <w:rsid w:val="19EB5FF4"/>
    <w:rsid w:val="1A0118B6"/>
    <w:rsid w:val="1A125A60"/>
    <w:rsid w:val="1AEB7602"/>
    <w:rsid w:val="1B27718B"/>
    <w:rsid w:val="1B79406C"/>
    <w:rsid w:val="1B8A58E9"/>
    <w:rsid w:val="1BBB1F5C"/>
    <w:rsid w:val="1BD2431D"/>
    <w:rsid w:val="1BE5227F"/>
    <w:rsid w:val="1C380E71"/>
    <w:rsid w:val="1C5A0FB7"/>
    <w:rsid w:val="1C673B6E"/>
    <w:rsid w:val="1C7B5895"/>
    <w:rsid w:val="1CA8157A"/>
    <w:rsid w:val="1D016553"/>
    <w:rsid w:val="1D1628D5"/>
    <w:rsid w:val="1D324C1C"/>
    <w:rsid w:val="1D4426BF"/>
    <w:rsid w:val="1D537AF1"/>
    <w:rsid w:val="1DF42F55"/>
    <w:rsid w:val="1DF75C3F"/>
    <w:rsid w:val="1E15476E"/>
    <w:rsid w:val="1E204028"/>
    <w:rsid w:val="1E2E59B5"/>
    <w:rsid w:val="1E742635"/>
    <w:rsid w:val="1E8339BD"/>
    <w:rsid w:val="1E8E2E42"/>
    <w:rsid w:val="1EAB6296"/>
    <w:rsid w:val="1EC60035"/>
    <w:rsid w:val="1ED775C5"/>
    <w:rsid w:val="1EE21807"/>
    <w:rsid w:val="1F19275A"/>
    <w:rsid w:val="1F85197E"/>
    <w:rsid w:val="1FBD47B7"/>
    <w:rsid w:val="1FD91AA0"/>
    <w:rsid w:val="20B971DB"/>
    <w:rsid w:val="210B3F58"/>
    <w:rsid w:val="21273F3F"/>
    <w:rsid w:val="222137CD"/>
    <w:rsid w:val="224D13EA"/>
    <w:rsid w:val="22753353"/>
    <w:rsid w:val="22E80281"/>
    <w:rsid w:val="22EB48A3"/>
    <w:rsid w:val="236C44BA"/>
    <w:rsid w:val="23A542DF"/>
    <w:rsid w:val="23CE28D8"/>
    <w:rsid w:val="23E968D8"/>
    <w:rsid w:val="24114E5C"/>
    <w:rsid w:val="242543C3"/>
    <w:rsid w:val="24747FE9"/>
    <w:rsid w:val="2482644D"/>
    <w:rsid w:val="24CA61BC"/>
    <w:rsid w:val="250E6AF4"/>
    <w:rsid w:val="251F6CF4"/>
    <w:rsid w:val="25C74809"/>
    <w:rsid w:val="265E437B"/>
    <w:rsid w:val="26B20EA7"/>
    <w:rsid w:val="26EC6338"/>
    <w:rsid w:val="27033A6A"/>
    <w:rsid w:val="27284975"/>
    <w:rsid w:val="27390089"/>
    <w:rsid w:val="278B1E4E"/>
    <w:rsid w:val="28270B66"/>
    <w:rsid w:val="28586736"/>
    <w:rsid w:val="287C00FB"/>
    <w:rsid w:val="28AE4351"/>
    <w:rsid w:val="28FC0C59"/>
    <w:rsid w:val="29465472"/>
    <w:rsid w:val="298A01BC"/>
    <w:rsid w:val="298F5292"/>
    <w:rsid w:val="29D460CA"/>
    <w:rsid w:val="29FE6512"/>
    <w:rsid w:val="2A1B3829"/>
    <w:rsid w:val="2A45764B"/>
    <w:rsid w:val="2AED05BF"/>
    <w:rsid w:val="2B7A0E2A"/>
    <w:rsid w:val="2BCB6C93"/>
    <w:rsid w:val="2BF5596C"/>
    <w:rsid w:val="2C0948C2"/>
    <w:rsid w:val="2D243C01"/>
    <w:rsid w:val="2D2B6191"/>
    <w:rsid w:val="2D3500AB"/>
    <w:rsid w:val="2D7D56F2"/>
    <w:rsid w:val="2DAA2C55"/>
    <w:rsid w:val="2E5F6B14"/>
    <w:rsid w:val="2E9D5913"/>
    <w:rsid w:val="2EC73B5D"/>
    <w:rsid w:val="2F002B74"/>
    <w:rsid w:val="2FA15A0A"/>
    <w:rsid w:val="2FA43AC7"/>
    <w:rsid w:val="2FEB68F0"/>
    <w:rsid w:val="2FFA2049"/>
    <w:rsid w:val="2FFE5D85"/>
    <w:rsid w:val="300947FF"/>
    <w:rsid w:val="305B260F"/>
    <w:rsid w:val="30852003"/>
    <w:rsid w:val="30936254"/>
    <w:rsid w:val="30E12FEE"/>
    <w:rsid w:val="31413117"/>
    <w:rsid w:val="3142736D"/>
    <w:rsid w:val="31AD68E8"/>
    <w:rsid w:val="31FE772D"/>
    <w:rsid w:val="320E5675"/>
    <w:rsid w:val="323D06A1"/>
    <w:rsid w:val="32B21045"/>
    <w:rsid w:val="32E7571B"/>
    <w:rsid w:val="330E7DE4"/>
    <w:rsid w:val="3331394C"/>
    <w:rsid w:val="33813828"/>
    <w:rsid w:val="339B2007"/>
    <w:rsid w:val="33EB7F44"/>
    <w:rsid w:val="3465467A"/>
    <w:rsid w:val="3509246B"/>
    <w:rsid w:val="35146D83"/>
    <w:rsid w:val="35327316"/>
    <w:rsid w:val="35635F0C"/>
    <w:rsid w:val="35DE16FE"/>
    <w:rsid w:val="36322BA4"/>
    <w:rsid w:val="36A86B31"/>
    <w:rsid w:val="36AB2406"/>
    <w:rsid w:val="36FA6CC9"/>
    <w:rsid w:val="37695084"/>
    <w:rsid w:val="37BC5BFB"/>
    <w:rsid w:val="38AE5161"/>
    <w:rsid w:val="39857175"/>
    <w:rsid w:val="39D97E72"/>
    <w:rsid w:val="3A0104AF"/>
    <w:rsid w:val="3A767384"/>
    <w:rsid w:val="3B274754"/>
    <w:rsid w:val="3B2A7EC5"/>
    <w:rsid w:val="3B7C2623"/>
    <w:rsid w:val="3BA15C6B"/>
    <w:rsid w:val="3C87294C"/>
    <w:rsid w:val="3CB25C86"/>
    <w:rsid w:val="3CE4525C"/>
    <w:rsid w:val="3D633932"/>
    <w:rsid w:val="3DA34214"/>
    <w:rsid w:val="3DCB794E"/>
    <w:rsid w:val="3DF701AD"/>
    <w:rsid w:val="3E0D24B8"/>
    <w:rsid w:val="3E985934"/>
    <w:rsid w:val="3F1677AE"/>
    <w:rsid w:val="3F6977DF"/>
    <w:rsid w:val="3F836E9B"/>
    <w:rsid w:val="3FD55595"/>
    <w:rsid w:val="3FE61459"/>
    <w:rsid w:val="40481A68"/>
    <w:rsid w:val="40580B99"/>
    <w:rsid w:val="40734714"/>
    <w:rsid w:val="408F3EF4"/>
    <w:rsid w:val="411B004E"/>
    <w:rsid w:val="41275AA6"/>
    <w:rsid w:val="416A403E"/>
    <w:rsid w:val="419B176C"/>
    <w:rsid w:val="41C86479"/>
    <w:rsid w:val="41EB1B39"/>
    <w:rsid w:val="42252FC9"/>
    <w:rsid w:val="424D6905"/>
    <w:rsid w:val="42A210E3"/>
    <w:rsid w:val="42C65363"/>
    <w:rsid w:val="42CE1EED"/>
    <w:rsid w:val="42E02D53"/>
    <w:rsid w:val="43023BD4"/>
    <w:rsid w:val="430736E6"/>
    <w:rsid w:val="43D13F6D"/>
    <w:rsid w:val="44636EA1"/>
    <w:rsid w:val="44FC4789"/>
    <w:rsid w:val="45434CF2"/>
    <w:rsid w:val="4559350C"/>
    <w:rsid w:val="45A32E70"/>
    <w:rsid w:val="46072075"/>
    <w:rsid w:val="460B64B2"/>
    <w:rsid w:val="46235DC0"/>
    <w:rsid w:val="47176BB5"/>
    <w:rsid w:val="47341C60"/>
    <w:rsid w:val="47CB345D"/>
    <w:rsid w:val="482056D0"/>
    <w:rsid w:val="48282490"/>
    <w:rsid w:val="489874AA"/>
    <w:rsid w:val="489A2C59"/>
    <w:rsid w:val="48C540C0"/>
    <w:rsid w:val="48F669EB"/>
    <w:rsid w:val="48FF29FE"/>
    <w:rsid w:val="49852759"/>
    <w:rsid w:val="49BE7DC6"/>
    <w:rsid w:val="4A6506BA"/>
    <w:rsid w:val="4A6F3F10"/>
    <w:rsid w:val="4A801079"/>
    <w:rsid w:val="4AB3479A"/>
    <w:rsid w:val="4AF468CD"/>
    <w:rsid w:val="4B584195"/>
    <w:rsid w:val="4BC4209C"/>
    <w:rsid w:val="4BD34EA0"/>
    <w:rsid w:val="4BDB5EE7"/>
    <w:rsid w:val="4BE9704E"/>
    <w:rsid w:val="4CD56BDC"/>
    <w:rsid w:val="4CF13034"/>
    <w:rsid w:val="4D72333A"/>
    <w:rsid w:val="4D9F6633"/>
    <w:rsid w:val="4DD77BEA"/>
    <w:rsid w:val="4DE1533C"/>
    <w:rsid w:val="4E512B20"/>
    <w:rsid w:val="4EE4121E"/>
    <w:rsid w:val="4EF44235"/>
    <w:rsid w:val="4F064896"/>
    <w:rsid w:val="4F426022"/>
    <w:rsid w:val="4F4C216A"/>
    <w:rsid w:val="4F92314A"/>
    <w:rsid w:val="4FB43A1A"/>
    <w:rsid w:val="4FBF58C6"/>
    <w:rsid w:val="4FF834CE"/>
    <w:rsid w:val="5034137F"/>
    <w:rsid w:val="508A37C6"/>
    <w:rsid w:val="50E04D8A"/>
    <w:rsid w:val="50FD7BDD"/>
    <w:rsid w:val="51467BB0"/>
    <w:rsid w:val="5173600A"/>
    <w:rsid w:val="517800FE"/>
    <w:rsid w:val="51E647F7"/>
    <w:rsid w:val="52416C2D"/>
    <w:rsid w:val="53003704"/>
    <w:rsid w:val="53D658CA"/>
    <w:rsid w:val="53D923FB"/>
    <w:rsid w:val="541C6FD0"/>
    <w:rsid w:val="546C203E"/>
    <w:rsid w:val="547F4823"/>
    <w:rsid w:val="54B20663"/>
    <w:rsid w:val="54C104AA"/>
    <w:rsid w:val="54C67479"/>
    <w:rsid w:val="54E52010"/>
    <w:rsid w:val="55AB3EA2"/>
    <w:rsid w:val="55F17453"/>
    <w:rsid w:val="560A6B30"/>
    <w:rsid w:val="5681510B"/>
    <w:rsid w:val="56892F0D"/>
    <w:rsid w:val="56E95C10"/>
    <w:rsid w:val="577B14F1"/>
    <w:rsid w:val="57F33791"/>
    <w:rsid w:val="583E382E"/>
    <w:rsid w:val="584012C4"/>
    <w:rsid w:val="58812220"/>
    <w:rsid w:val="58880F6C"/>
    <w:rsid w:val="58AA004F"/>
    <w:rsid w:val="58F41BBE"/>
    <w:rsid w:val="594F4501"/>
    <w:rsid w:val="59B40450"/>
    <w:rsid w:val="59C02576"/>
    <w:rsid w:val="59C140BC"/>
    <w:rsid w:val="59CD3503"/>
    <w:rsid w:val="59F20493"/>
    <w:rsid w:val="59F277DC"/>
    <w:rsid w:val="5A953069"/>
    <w:rsid w:val="5AC73CE7"/>
    <w:rsid w:val="5B10566E"/>
    <w:rsid w:val="5B185B21"/>
    <w:rsid w:val="5B2F4E17"/>
    <w:rsid w:val="5B370945"/>
    <w:rsid w:val="5B375E81"/>
    <w:rsid w:val="5B7646DA"/>
    <w:rsid w:val="5C2D6228"/>
    <w:rsid w:val="5C2F5FC8"/>
    <w:rsid w:val="5C8B259C"/>
    <w:rsid w:val="5CB26C9D"/>
    <w:rsid w:val="5CDB5BF9"/>
    <w:rsid w:val="5DE54FBB"/>
    <w:rsid w:val="5DE74DAC"/>
    <w:rsid w:val="5DFE6E2B"/>
    <w:rsid w:val="5E1C6F5D"/>
    <w:rsid w:val="5EA057F4"/>
    <w:rsid w:val="5EB20DA6"/>
    <w:rsid w:val="5F13557B"/>
    <w:rsid w:val="5FBD6C8F"/>
    <w:rsid w:val="5FD0156D"/>
    <w:rsid w:val="5FDC7E6D"/>
    <w:rsid w:val="5FF83E1C"/>
    <w:rsid w:val="6020045A"/>
    <w:rsid w:val="606E5C79"/>
    <w:rsid w:val="60A73D09"/>
    <w:rsid w:val="610E245B"/>
    <w:rsid w:val="61A30DEA"/>
    <w:rsid w:val="61D157C1"/>
    <w:rsid w:val="61D261EF"/>
    <w:rsid w:val="61DF37A4"/>
    <w:rsid w:val="61E85414"/>
    <w:rsid w:val="621450DD"/>
    <w:rsid w:val="62316040"/>
    <w:rsid w:val="62453A4C"/>
    <w:rsid w:val="62506CDB"/>
    <w:rsid w:val="62547E69"/>
    <w:rsid w:val="628D24AF"/>
    <w:rsid w:val="62A110AC"/>
    <w:rsid w:val="62A73DCF"/>
    <w:rsid w:val="63505976"/>
    <w:rsid w:val="65925F8F"/>
    <w:rsid w:val="65A14C0D"/>
    <w:rsid w:val="65AD4C7F"/>
    <w:rsid w:val="660D2ED6"/>
    <w:rsid w:val="662E140F"/>
    <w:rsid w:val="66B84331"/>
    <w:rsid w:val="66CA65AF"/>
    <w:rsid w:val="66FF66D1"/>
    <w:rsid w:val="675E4A37"/>
    <w:rsid w:val="67763458"/>
    <w:rsid w:val="67CE2C6B"/>
    <w:rsid w:val="68314FB0"/>
    <w:rsid w:val="693C60E2"/>
    <w:rsid w:val="694B1BAB"/>
    <w:rsid w:val="69C43206"/>
    <w:rsid w:val="6A590DE0"/>
    <w:rsid w:val="6A5B2CDE"/>
    <w:rsid w:val="6AB32CFC"/>
    <w:rsid w:val="6ABF6769"/>
    <w:rsid w:val="6ACE57F5"/>
    <w:rsid w:val="6ADE1F7E"/>
    <w:rsid w:val="6B1116BB"/>
    <w:rsid w:val="6B56139F"/>
    <w:rsid w:val="6B735ED1"/>
    <w:rsid w:val="6B76151E"/>
    <w:rsid w:val="6C3333F4"/>
    <w:rsid w:val="6C7C0DB6"/>
    <w:rsid w:val="6D0B3A5D"/>
    <w:rsid w:val="6D485A06"/>
    <w:rsid w:val="6D974226"/>
    <w:rsid w:val="6DA26CF6"/>
    <w:rsid w:val="6DE84A40"/>
    <w:rsid w:val="6DFC2D78"/>
    <w:rsid w:val="6E2514C8"/>
    <w:rsid w:val="6E857CCC"/>
    <w:rsid w:val="6E8F22A0"/>
    <w:rsid w:val="6E982396"/>
    <w:rsid w:val="6EE608F2"/>
    <w:rsid w:val="6F0E1B17"/>
    <w:rsid w:val="6F2374A8"/>
    <w:rsid w:val="6F331A83"/>
    <w:rsid w:val="6F562929"/>
    <w:rsid w:val="6FBD1F52"/>
    <w:rsid w:val="6FCA2676"/>
    <w:rsid w:val="6FEF1E0F"/>
    <w:rsid w:val="70164E9B"/>
    <w:rsid w:val="70763652"/>
    <w:rsid w:val="70A05E40"/>
    <w:rsid w:val="70DC1E23"/>
    <w:rsid w:val="7107418F"/>
    <w:rsid w:val="714903C9"/>
    <w:rsid w:val="71CE65D8"/>
    <w:rsid w:val="72EC3CE3"/>
    <w:rsid w:val="730565DF"/>
    <w:rsid w:val="73A03C9E"/>
    <w:rsid w:val="73BC05CA"/>
    <w:rsid w:val="741945F5"/>
    <w:rsid w:val="747A15DB"/>
    <w:rsid w:val="7485433A"/>
    <w:rsid w:val="74865ED4"/>
    <w:rsid w:val="74942A15"/>
    <w:rsid w:val="749D7B1B"/>
    <w:rsid w:val="74A9506F"/>
    <w:rsid w:val="74AD0FE9"/>
    <w:rsid w:val="74EC6556"/>
    <w:rsid w:val="75F5624A"/>
    <w:rsid w:val="76026C07"/>
    <w:rsid w:val="76087975"/>
    <w:rsid w:val="76205230"/>
    <w:rsid w:val="76471023"/>
    <w:rsid w:val="764B20E0"/>
    <w:rsid w:val="764D6569"/>
    <w:rsid w:val="76BB1A44"/>
    <w:rsid w:val="77040040"/>
    <w:rsid w:val="77333A70"/>
    <w:rsid w:val="774953F3"/>
    <w:rsid w:val="775D2AA8"/>
    <w:rsid w:val="77D9522E"/>
    <w:rsid w:val="77DE3551"/>
    <w:rsid w:val="78055644"/>
    <w:rsid w:val="787E5EB6"/>
    <w:rsid w:val="79157B35"/>
    <w:rsid w:val="792749DE"/>
    <w:rsid w:val="793C5CDD"/>
    <w:rsid w:val="795C12C1"/>
    <w:rsid w:val="7985046F"/>
    <w:rsid w:val="79975AC4"/>
    <w:rsid w:val="79CD49B9"/>
    <w:rsid w:val="79EC67AA"/>
    <w:rsid w:val="79F26B2A"/>
    <w:rsid w:val="7A2B747B"/>
    <w:rsid w:val="7A8504C5"/>
    <w:rsid w:val="7A916417"/>
    <w:rsid w:val="7A9419C0"/>
    <w:rsid w:val="7A9C51B7"/>
    <w:rsid w:val="7B2649A1"/>
    <w:rsid w:val="7B420A4D"/>
    <w:rsid w:val="7B71191C"/>
    <w:rsid w:val="7BA25EB3"/>
    <w:rsid w:val="7BB21E46"/>
    <w:rsid w:val="7BB423D1"/>
    <w:rsid w:val="7BB44BA1"/>
    <w:rsid w:val="7BB65090"/>
    <w:rsid w:val="7BD3648A"/>
    <w:rsid w:val="7BDA2B36"/>
    <w:rsid w:val="7BEF3C91"/>
    <w:rsid w:val="7C7541A8"/>
    <w:rsid w:val="7CA25FF2"/>
    <w:rsid w:val="7CB67D70"/>
    <w:rsid w:val="7CEE55A7"/>
    <w:rsid w:val="7D5D078F"/>
    <w:rsid w:val="7E037927"/>
    <w:rsid w:val="7E5B7E8E"/>
    <w:rsid w:val="7E650783"/>
    <w:rsid w:val="7EC67CD1"/>
    <w:rsid w:val="7EEF3669"/>
    <w:rsid w:val="7EFE1348"/>
    <w:rsid w:val="7EFE326B"/>
    <w:rsid w:val="7F154B28"/>
    <w:rsid w:val="7F434C1D"/>
    <w:rsid w:val="7FC972A2"/>
    <w:rsid w:val="7FD87D3C"/>
    <w:rsid w:val="7FFD1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
    <w:qFormat/>
    <w:uiPriority w:val="0"/>
    <w:pPr>
      <w:widowControl w:val="0"/>
      <w:spacing w:line="360" w:lineRule="auto"/>
      <w:ind w:firstLine="723" w:firstLineChars="200"/>
      <w:jc w:val="left"/>
    </w:pPr>
    <w:rPr>
      <w:rFonts w:ascii="Calibri" w:hAnsi="Calibri" w:eastAsia="仿宋_GB2312" w:cs="Times New Roman"/>
      <w:kern w:val="2"/>
      <w:sz w:val="24"/>
      <w:szCs w:val="24"/>
      <w:lang w:val="en-US" w:eastAsia="zh-CN" w:bidi="ar-SA"/>
    </w:rPr>
  </w:style>
  <w:style w:type="paragraph" w:styleId="4">
    <w:name w:val="heading 1"/>
    <w:basedOn w:val="1"/>
    <w:next w:val="1"/>
    <w:link w:val="33"/>
    <w:qFormat/>
    <w:uiPriority w:val="0"/>
    <w:pPr>
      <w:keepNext/>
      <w:keepLines/>
      <w:spacing w:line="360" w:lineRule="auto"/>
      <w:jc w:val="center"/>
      <w:outlineLvl w:val="0"/>
    </w:pPr>
    <w:rPr>
      <w:rFonts w:ascii="Times New Roman" w:hAnsi="Times New Roman" w:eastAsia="黑体" w:cs="Times New Roman"/>
      <w:b/>
      <w:kern w:val="44"/>
      <w:sz w:val="28"/>
      <w:szCs w:val="20"/>
    </w:rPr>
  </w:style>
  <w:style w:type="paragraph" w:styleId="5">
    <w:name w:val="heading 2"/>
    <w:basedOn w:val="1"/>
    <w:next w:val="1"/>
    <w:link w:val="32"/>
    <w:semiHidden/>
    <w:unhideWhenUsed/>
    <w:qFormat/>
    <w:uiPriority w:val="0"/>
    <w:pPr>
      <w:keepNext/>
      <w:keepLines/>
      <w:spacing w:line="360" w:lineRule="auto"/>
      <w:ind w:firstLine="0" w:firstLineChars="0"/>
      <w:jc w:val="center"/>
      <w:outlineLvl w:val="1"/>
    </w:pPr>
    <w:rPr>
      <w:rFonts w:ascii="Arial" w:hAnsi="Arial" w:eastAsia="楷体" w:cs="Times New Roman"/>
      <w:b/>
      <w:sz w:val="28"/>
      <w:szCs w:val="20"/>
    </w:rPr>
  </w:style>
  <w:style w:type="paragraph" w:styleId="6">
    <w:name w:val="heading 3"/>
    <w:basedOn w:val="1"/>
    <w:next w:val="1"/>
    <w:link w:val="34"/>
    <w:semiHidden/>
    <w:unhideWhenUsed/>
    <w:qFormat/>
    <w:uiPriority w:val="0"/>
    <w:pPr>
      <w:keepNext/>
      <w:keepLines/>
      <w:numPr>
        <w:ilvl w:val="2"/>
        <w:numId w:val="1"/>
      </w:numPr>
      <w:spacing w:line="360" w:lineRule="auto"/>
      <w:ind w:left="0" w:firstLine="0" w:firstLineChars="0"/>
      <w:jc w:val="left"/>
      <w:outlineLvl w:val="2"/>
    </w:pPr>
    <w:rPr>
      <w:rFonts w:eastAsia="宋体" w:asciiTheme="minorAscii" w:hAnsiTheme="minorAscii" w:cstheme="minorBidi"/>
      <w:b/>
      <w:bCs/>
      <w:szCs w:val="32"/>
    </w:rPr>
  </w:style>
  <w:style w:type="paragraph" w:styleId="7">
    <w:name w:val="heading 4"/>
    <w:basedOn w:val="1"/>
    <w:next w:val="1"/>
    <w:link w:val="38"/>
    <w:semiHidden/>
    <w:unhideWhenUsed/>
    <w:qFormat/>
    <w:uiPriority w:val="0"/>
    <w:pPr>
      <w:keepNext/>
      <w:keepLines/>
      <w:numPr>
        <w:ilvl w:val="3"/>
        <w:numId w:val="1"/>
      </w:numPr>
      <w:spacing w:beforeLines="0" w:beforeAutospacing="0" w:afterLines="0" w:afterAutospacing="0" w:line="360" w:lineRule="auto"/>
      <w:ind w:left="0" w:firstLine="402" w:firstLineChars="0"/>
      <w:jc w:val="left"/>
      <w:outlineLvl w:val="3"/>
    </w:pPr>
    <w:rPr>
      <w:rFonts w:ascii="Arial" w:hAnsi="Arial" w:eastAsia="华文仿宋" w:cs="Times New Roman"/>
      <w:b/>
      <w:szCs w:val="21"/>
    </w:rPr>
  </w:style>
  <w:style w:type="paragraph" w:styleId="8">
    <w:name w:val="heading 5"/>
    <w:basedOn w:val="1"/>
    <w:next w:val="1"/>
    <w:semiHidden/>
    <w:unhideWhenUsed/>
    <w:qFormat/>
    <w:uiPriority w:val="0"/>
    <w:pPr>
      <w:keepNext/>
      <w:keepLines/>
      <w:numPr>
        <w:ilvl w:val="4"/>
        <w:numId w:val="1"/>
      </w:numPr>
      <w:spacing w:beforeLines="0" w:beforeAutospacing="0" w:afterLines="0" w:afterAutospacing="0" w:line="240" w:lineRule="auto"/>
      <w:ind w:left="0" w:firstLine="402" w:firstLineChars="0"/>
      <w:outlineLvl w:val="4"/>
    </w:pPr>
    <w:rPr>
      <w:rFonts w:ascii="Times New Roman" w:hAnsi="Times New Roman" w:cs="Times New Roman"/>
      <w:b/>
      <w:sz w:val="32"/>
      <w:szCs w:val="24"/>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firstLineChars="0"/>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22">
    <w:name w:val="Default Paragraph Font"/>
    <w:link w:val="23"/>
    <w:semiHidden/>
    <w:unhideWhenUsed/>
    <w:qFormat/>
    <w:uiPriority w:val="1"/>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3">
    <w:name w:val="Normal Indent"/>
    <w:basedOn w:val="1"/>
    <w:next w:val="1"/>
    <w:link w:val="36"/>
    <w:qFormat/>
    <w:uiPriority w:val="0"/>
    <w:pPr>
      <w:ind w:firstLine="420" w:firstLineChars="200"/>
      <w:jc w:val="left"/>
    </w:pPr>
    <w:rPr>
      <w:rFonts w:ascii="Calibri" w:hAnsi="Calibri" w:eastAsia="仿宋_GB2312"/>
      <w:kern w:val="2"/>
      <w:sz w:val="24"/>
      <w:szCs w:val="24"/>
      <w:lang w:val="en-US" w:eastAsia="zh-CN" w:bidi="ar-SA"/>
    </w:rPr>
  </w:style>
  <w:style w:type="paragraph" w:styleId="14">
    <w:name w:val="Document Map"/>
    <w:basedOn w:val="1"/>
    <w:semiHidden/>
    <w:qFormat/>
    <w:uiPriority w:val="0"/>
    <w:pPr>
      <w:shd w:val="clear" w:color="auto" w:fill="000080"/>
    </w:pPr>
  </w:style>
  <w:style w:type="paragraph" w:styleId="15">
    <w:name w:val="Body Text Indent"/>
    <w:basedOn w:val="1"/>
    <w:qFormat/>
    <w:uiPriority w:val="0"/>
    <w:pPr>
      <w:spacing w:after="120" w:afterLines="0" w:afterAutospacing="0"/>
      <w:ind w:left="420" w:leftChars="200"/>
    </w:pPr>
  </w:style>
  <w:style w:type="paragraph" w:styleId="16">
    <w:name w:val="Block Text"/>
    <w:basedOn w:val="1"/>
    <w:qFormat/>
    <w:uiPriority w:val="0"/>
    <w:pPr>
      <w:spacing w:after="120"/>
      <w:ind w:left="1440" w:leftChars="700" w:right="700" w:rightChars="700"/>
    </w:pPr>
  </w:style>
  <w:style w:type="paragraph" w:styleId="17">
    <w:name w:val="toc 1"/>
    <w:basedOn w:val="4"/>
    <w:next w:val="1"/>
    <w:qFormat/>
    <w:uiPriority w:val="0"/>
    <w:pPr>
      <w:numPr>
        <w:ilvl w:val="0"/>
        <w:numId w:val="0"/>
      </w:numPr>
      <w:tabs>
        <w:tab w:val="left" w:pos="7828"/>
        <w:tab w:val="right" w:leader="dot" w:pos="8944"/>
      </w:tabs>
      <w:spacing w:line="360" w:lineRule="auto"/>
      <w:ind w:left="210"/>
      <w:jc w:val="center"/>
    </w:pPr>
    <w:rPr>
      <w:rFonts w:ascii="黑体" w:hAnsi="黑体" w:cs="宋体"/>
      <w:b w:val="0"/>
      <w:caps/>
      <w:sz w:val="32"/>
    </w:rPr>
  </w:style>
  <w:style w:type="paragraph" w:styleId="18">
    <w:name w:val="Body Text 2"/>
    <w:basedOn w:val="1"/>
    <w:unhideWhenUsed/>
    <w:qFormat/>
    <w:uiPriority w:val="0"/>
    <w:pPr>
      <w:spacing w:beforeLines="0" w:after="120" w:afterLines="0" w:line="480" w:lineRule="auto"/>
    </w:pPr>
    <w:rPr>
      <w:rFonts w:hint="default"/>
      <w:kern w:val="0"/>
      <w:sz w:val="20"/>
      <w:szCs w:val="24"/>
    </w:rPr>
  </w:style>
  <w:style w:type="paragraph" w:styleId="19">
    <w:name w:val="Body Text First Indent"/>
    <w:basedOn w:val="2"/>
    <w:qFormat/>
    <w:uiPriority w:val="0"/>
    <w:pPr>
      <w:ind w:firstLine="420" w:firstLineChars="100"/>
    </w:pPr>
  </w:style>
  <w:style w:type="paragraph" w:styleId="20">
    <w:name w:val="Body Text First Indent 2"/>
    <w:basedOn w:val="15"/>
    <w:qFormat/>
    <w:uiPriority w:val="0"/>
    <w:pPr>
      <w:ind w:firstLine="420" w:firstLineChars="200"/>
    </w:pPr>
  </w:style>
  <w:style w:type="paragraph" w:customStyle="1" w:styleId="23">
    <w:name w:val=" Char1123"/>
    <w:basedOn w:val="14"/>
    <w:link w:val="22"/>
    <w:qFormat/>
    <w:uiPriority w:val="0"/>
    <w:rPr>
      <w:szCs w:val="24"/>
    </w:rPr>
  </w:style>
  <w:style w:type="paragraph" w:customStyle="1" w:styleId="24">
    <w:name w:val=" Char11222"/>
    <w:basedOn w:val="14"/>
    <w:link w:val="22"/>
    <w:qFormat/>
    <w:uiPriority w:val="0"/>
    <w:rPr>
      <w:szCs w:val="24"/>
    </w:rPr>
  </w:style>
  <w:style w:type="paragraph" w:customStyle="1" w:styleId="25">
    <w:name w:val=" Char1122"/>
    <w:basedOn w:val="14"/>
    <w:link w:val="22"/>
    <w:qFormat/>
    <w:uiPriority w:val="0"/>
    <w:rPr>
      <w:szCs w:val="24"/>
    </w:rPr>
  </w:style>
  <w:style w:type="paragraph" w:customStyle="1" w:styleId="26">
    <w:name w:val=" Char11221"/>
    <w:basedOn w:val="14"/>
    <w:link w:val="22"/>
    <w:qFormat/>
    <w:uiPriority w:val="0"/>
    <w:rPr>
      <w:szCs w:val="24"/>
    </w:rPr>
  </w:style>
  <w:style w:type="paragraph" w:customStyle="1" w:styleId="27">
    <w:name w:val=" Char11211"/>
    <w:basedOn w:val="14"/>
    <w:link w:val="22"/>
    <w:qFormat/>
    <w:uiPriority w:val="0"/>
    <w:rPr>
      <w:szCs w:val="24"/>
    </w:rPr>
  </w:style>
  <w:style w:type="paragraph" w:customStyle="1" w:styleId="28">
    <w:name w:val=" Char1121"/>
    <w:basedOn w:val="14"/>
    <w:link w:val="22"/>
    <w:qFormat/>
    <w:uiPriority w:val="0"/>
    <w:rPr>
      <w:szCs w:val="24"/>
    </w:rPr>
  </w:style>
  <w:style w:type="paragraph" w:customStyle="1" w:styleId="29">
    <w:name w:val=" Char11212"/>
    <w:basedOn w:val="14"/>
    <w:link w:val="22"/>
    <w:qFormat/>
    <w:uiPriority w:val="0"/>
    <w:rPr>
      <w:szCs w:val="24"/>
    </w:rPr>
  </w:style>
  <w:style w:type="paragraph" w:customStyle="1" w:styleId="30">
    <w:name w:val=" Char112"/>
    <w:basedOn w:val="14"/>
    <w:link w:val="22"/>
    <w:qFormat/>
    <w:uiPriority w:val="0"/>
    <w:rPr>
      <w:szCs w:val="24"/>
    </w:rPr>
  </w:style>
  <w:style w:type="paragraph" w:customStyle="1" w:styleId="31">
    <w:name w:val=" Char112211"/>
    <w:basedOn w:val="14"/>
    <w:link w:val="22"/>
    <w:qFormat/>
    <w:uiPriority w:val="0"/>
    <w:rPr>
      <w:szCs w:val="24"/>
    </w:rPr>
  </w:style>
  <w:style w:type="character" w:customStyle="1" w:styleId="32">
    <w:name w:val="标题 2 Char1"/>
    <w:link w:val="5"/>
    <w:qFormat/>
    <w:uiPriority w:val="0"/>
    <w:rPr>
      <w:rFonts w:ascii="Arial" w:hAnsi="Arial" w:eastAsia="楷体" w:cs="Times New Roman"/>
      <w:b/>
      <w:bCs/>
      <w:sz w:val="32"/>
      <w:lang w:val="en-US" w:bidi="ar-SA"/>
    </w:rPr>
  </w:style>
  <w:style w:type="character" w:customStyle="1" w:styleId="33">
    <w:name w:val="标题 1 Char"/>
    <w:basedOn w:val="22"/>
    <w:link w:val="4"/>
    <w:qFormat/>
    <w:uiPriority w:val="0"/>
    <w:rPr>
      <w:rFonts w:ascii="Times New Roman" w:hAnsi="Times New Roman" w:eastAsia="黑体" w:cs="Times New Roman"/>
      <w:b/>
      <w:kern w:val="44"/>
      <w:sz w:val="28"/>
      <w:szCs w:val="20"/>
    </w:rPr>
  </w:style>
  <w:style w:type="character" w:customStyle="1" w:styleId="34">
    <w:name w:val="标题 3 Char"/>
    <w:basedOn w:val="22"/>
    <w:link w:val="6"/>
    <w:qFormat/>
    <w:uiPriority w:val="0"/>
    <w:rPr>
      <w:rFonts w:ascii="宋体" w:hAnsi="宋体" w:eastAsia="宋体" w:cs="Arial"/>
      <w:b/>
      <w:bCs/>
      <w:snapToGrid w:val="0"/>
      <w:color w:val="000000"/>
      <w:kern w:val="0"/>
      <w:sz w:val="28"/>
      <w:szCs w:val="32"/>
    </w:rPr>
  </w:style>
  <w:style w:type="paragraph" w:customStyle="1" w:styleId="35">
    <w:name w:val="样式 10 磅31114"/>
    <w:next w:val="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36">
    <w:name w:val="正文缩进 Char"/>
    <w:link w:val="13"/>
    <w:qFormat/>
    <w:uiPriority w:val="0"/>
    <w:rPr>
      <w:rFonts w:ascii="Calibri" w:hAnsi="Calibri" w:eastAsia="仿宋_GB2312"/>
      <w:kern w:val="2"/>
      <w:sz w:val="24"/>
      <w:szCs w:val="24"/>
      <w:lang w:val="en-US" w:eastAsia="zh-CN" w:bidi="ar-SA"/>
    </w:rPr>
  </w:style>
  <w:style w:type="character" w:customStyle="1" w:styleId="37">
    <w:name w:val="NormalCharacter"/>
    <w:link w:val="1"/>
    <w:qFormat/>
    <w:uiPriority w:val="0"/>
    <w:rPr>
      <w:rFonts w:ascii="Times New Roman" w:hAnsi="Times New Roman" w:eastAsia="仿宋" w:cs="Times New Roman"/>
      <w:kern w:val="2"/>
      <w:sz w:val="32"/>
      <w:szCs w:val="24"/>
      <w:lang w:val="en-US" w:eastAsia="zh-CN" w:bidi="ar-SA"/>
    </w:rPr>
  </w:style>
  <w:style w:type="character" w:customStyle="1" w:styleId="38">
    <w:name w:val="标题 4 Char"/>
    <w:link w:val="7"/>
    <w:qFormat/>
    <w:uiPriority w:val="0"/>
    <w:rPr>
      <w:rFonts w:ascii="Arial" w:hAnsi="Arial" w:eastAsia="华文仿宋" w:cs="Times New Roman"/>
      <w:b/>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4373</Words>
  <Characters>4510</Characters>
  <Lines>0</Lines>
  <Paragraphs>0</Paragraphs>
  <TotalTime>0</TotalTime>
  <ScaleCrop>false</ScaleCrop>
  <LinksUpToDate>false</LinksUpToDate>
  <CharactersWithSpaces>4515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2022-06-29T09:02:00Z</dcterms:created>
  <dc:creator>哈哈哈</dc:creator>
  <cp:lastModifiedBy>哈哈哈</cp:lastModifiedBy>
  <dcterms:modified xsi:type="dcterms:W3CDTF">2022-06-29T09:34:49Z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92A838D077D849A0A8EE8F40E9B8DC23</vt:lpwstr>
  </property>
</Properties>
</file>