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宋体"/>
          <w:sz w:val="72"/>
          <w:szCs w:val="44"/>
        </w:rPr>
      </w:pPr>
      <w:r>
        <w:rPr>
          <w:rFonts w:hint="eastAsia" w:ascii="方正小标宋简体" w:hAnsi="方正小标宋简体" w:eastAsia="方正小标宋简体" w:cs="宋体"/>
          <w:sz w:val="72"/>
          <w:szCs w:val="44"/>
        </w:rPr>
        <w:t>政府采购项目</w:t>
      </w:r>
    </w:p>
    <w:p>
      <w:pPr>
        <w:jc w:val="center"/>
        <w:rPr>
          <w:rFonts w:ascii="方正小标宋简体" w:hAnsi="方正小标宋简体" w:eastAsia="方正小标宋简体" w:cs="宋体"/>
          <w:sz w:val="72"/>
          <w:szCs w:val="44"/>
        </w:rPr>
      </w:pPr>
      <w:r>
        <w:rPr>
          <w:rFonts w:hint="eastAsia" w:ascii="方正小标宋简体" w:hAnsi="方正小标宋简体" w:eastAsia="方正小标宋简体" w:cs="宋体"/>
          <w:sz w:val="72"/>
          <w:szCs w:val="44"/>
        </w:rPr>
        <w:t>采 购 需 求</w:t>
      </w:r>
    </w:p>
    <w:p>
      <w:pPr>
        <w:jc w:val="center"/>
        <w:rPr>
          <w:rFonts w:ascii="方正小标宋简体" w:hAnsi="方正小标宋简体" w:eastAsia="方正小标宋简体"/>
          <w:sz w:val="44"/>
          <w:szCs w:val="44"/>
        </w:rPr>
      </w:pPr>
    </w:p>
    <w:p>
      <w:pPr>
        <w:pStyle w:val="9"/>
        <w:spacing w:line="360" w:lineRule="auto"/>
        <w:ind w:left="2" w:firstLine="480"/>
        <w:outlineLvl w:val="1"/>
        <w:rPr>
          <w:rFonts w:hint="eastAsia" w:ascii="宋体" w:hAnsi="宋体" w:eastAsia="宋体" w:cs="宋体"/>
          <w:b/>
          <w:bCs/>
          <w:color w:val="auto"/>
          <w:highlight w:val="none"/>
          <w:u w:color="000000"/>
          <w:lang w:val="zh-TW" w:eastAsia="zh-CN"/>
        </w:rPr>
      </w:pPr>
      <w:bookmarkStart w:id="1" w:name="_GoBack"/>
      <w:bookmarkEnd w:id="1"/>
      <w:bookmarkStart w:id="0" w:name="_Toc23845528"/>
      <w:r>
        <w:rPr>
          <w:rFonts w:hint="eastAsia" w:ascii="宋体" w:hAnsi="宋体" w:eastAsia="宋体" w:cs="宋体"/>
          <w:b/>
          <w:bCs/>
          <w:color w:val="auto"/>
          <w:highlight w:val="none"/>
          <w:u w:color="000000"/>
          <w:lang w:val="zh-TW" w:eastAsia="zh-CN"/>
        </w:rPr>
        <w:t>一、项目目标</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zh-TW" w:eastAsia="zh-CN"/>
        </w:rPr>
        <w:t>为深入贯彻习近平生态文明思想和习近平总书记关于长江经济带发展“共抓大保护，不搞大开发”重要指示精神，坚决贯彻落实党中央、国务院关于深入打好污染防治攻坚战的决策部署，以巩固提升水生态环境质量为核心，按照“水陆统筹，以水定岸”的原则，根据《凉山州生态环境局关于印发〈凉山州入河排污口排查整治工作方案〉的函》（凉环函〔2021〕157号）文件要求，全面开展县域内入河排污口排查整治工作，摸清全县域入河排污口底数，推动解决水生态环境突出问题，逐步建立“权责明确、管理规范、监管到位”的入河排污口长效监管机制，有效管控入河污染物排放，推动流域水质稳定达标，提出合理有效的排污口整治方案。为下一步对县域入河排污口整治和规模以上入河排污口规范化建设工作提供有力依据，从而改善县域水环境质量。凉山彝族自治州普格生态环境局拟对行政区域内的流域干流和重要支流、人口集中、工业聚集、排污问题相对 突出、群众反应强烈、环境风险高、生态敏感脆弱区域等为重点，开展入河排污口排查整治工作。</w:t>
      </w:r>
    </w:p>
    <w:p>
      <w:pPr>
        <w:pStyle w:val="9"/>
        <w:spacing w:line="360" w:lineRule="auto"/>
        <w:ind w:left="2" w:firstLine="480"/>
        <w:outlineLvl w:val="1"/>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二、</w:t>
      </w:r>
      <w:r>
        <w:rPr>
          <w:rFonts w:hint="eastAsia" w:ascii="宋体" w:hAnsi="宋体" w:eastAsia="宋体" w:cs="宋体"/>
          <w:b/>
          <w:bCs/>
          <w:color w:val="auto"/>
          <w:highlight w:val="none"/>
          <w:u w:color="000000"/>
          <w:lang w:val="en-US" w:eastAsia="zh-CN"/>
        </w:rPr>
        <w:t>总体要求</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zh-TW" w:eastAsia="zh-CN"/>
        </w:rPr>
        <w:t>1.完成入河排污口排查、监测、溯源任务，建立入河排污口台账，制定入河排污口“一口一策”的整治方案；</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2</w:t>
      </w:r>
      <w:r>
        <w:rPr>
          <w:rFonts w:hint="eastAsia" w:ascii="宋体" w:hAnsi="宋体" w:eastAsia="宋体" w:cs="宋体"/>
          <w:b w:val="0"/>
          <w:bCs w:val="0"/>
          <w:color w:val="auto"/>
          <w:highlight w:val="none"/>
          <w:u w:color="000000"/>
          <w:lang w:val="zh-TW" w:eastAsia="zh-CN"/>
        </w:rPr>
        <w:t>.</w:t>
      </w:r>
      <w:r>
        <w:rPr>
          <w:rFonts w:hint="eastAsia" w:ascii="宋体" w:hAnsi="宋体" w:eastAsia="宋体" w:cs="宋体"/>
          <w:b w:val="0"/>
          <w:bCs w:val="0"/>
          <w:color w:val="auto"/>
          <w:highlight w:val="none"/>
          <w:u w:color="000000"/>
          <w:lang w:val="en-US" w:eastAsia="zh-CN"/>
        </w:rPr>
        <w:t>60个日历天内</w:t>
      </w:r>
      <w:r>
        <w:rPr>
          <w:rFonts w:hint="eastAsia" w:ascii="宋体" w:hAnsi="宋体" w:eastAsia="宋体" w:cs="宋体"/>
          <w:b w:val="0"/>
          <w:bCs w:val="0"/>
          <w:color w:val="auto"/>
          <w:highlight w:val="none"/>
          <w:u w:color="000000"/>
          <w:lang w:val="zh-TW" w:eastAsia="zh-CN"/>
        </w:rPr>
        <w:t>，完成入河排污口排查和监测，建立入河排污口台账，形成入河排污口问题清单。全面完成入河排污口溯源，制定入河排污口“一口一策”整治方案。</w:t>
      </w:r>
    </w:p>
    <w:p>
      <w:pPr>
        <w:pStyle w:val="9"/>
        <w:numPr>
          <w:ilvl w:val="0"/>
          <w:numId w:val="1"/>
        </w:numPr>
        <w:spacing w:line="360" w:lineRule="auto"/>
        <w:ind w:left="2" w:firstLine="480"/>
        <w:outlineLvl w:val="1"/>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基本原则</w:t>
      </w:r>
    </w:p>
    <w:p>
      <w:pPr>
        <w:pStyle w:val="9"/>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1.</w:t>
      </w:r>
      <w:r>
        <w:rPr>
          <w:rFonts w:hint="eastAsia" w:ascii="宋体" w:hAnsi="宋体" w:eastAsia="宋体" w:cs="宋体"/>
          <w:b w:val="0"/>
          <w:bCs w:val="0"/>
          <w:color w:val="auto"/>
          <w:highlight w:val="none"/>
          <w:u w:color="000000"/>
          <w:lang w:val="zh-TW" w:eastAsia="zh-CN"/>
        </w:rPr>
        <w:t xml:space="preserve">坚持全面覆盖。综合运用无人机航测和人工实地勘察等手段，对排查范围 及对象进行全方位调查，对排放状况进行有效监测，做到应查尽查、有口皆查。 </w:t>
      </w:r>
    </w:p>
    <w:p>
      <w:pPr>
        <w:pStyle w:val="9"/>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2.</w:t>
      </w:r>
      <w:r>
        <w:rPr>
          <w:rFonts w:hint="eastAsia" w:ascii="宋体" w:hAnsi="宋体" w:eastAsia="宋体" w:cs="宋体"/>
          <w:b w:val="0"/>
          <w:bCs w:val="0"/>
          <w:color w:val="auto"/>
          <w:highlight w:val="none"/>
          <w:u w:color="000000"/>
          <w:lang w:val="zh-TW" w:eastAsia="zh-CN"/>
        </w:rPr>
        <w:t>坚持统筹实施。严格按照相关技术规范，明确排查范围，全面获取排污口 数据信息，做到水陆结合、人技互补。按照全县统筹、部门、园区、镇乡配合的总体原则推进。</w:t>
      </w:r>
    </w:p>
    <w:p>
      <w:pPr>
        <w:pStyle w:val="9"/>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3.</w:t>
      </w:r>
      <w:r>
        <w:rPr>
          <w:rFonts w:hint="eastAsia" w:ascii="宋体" w:hAnsi="宋体" w:eastAsia="宋体" w:cs="宋体"/>
          <w:b w:val="0"/>
          <w:bCs w:val="0"/>
          <w:color w:val="auto"/>
          <w:highlight w:val="none"/>
          <w:u w:color="000000"/>
          <w:lang w:val="zh-TW" w:eastAsia="zh-CN"/>
        </w:rPr>
        <w:t xml:space="preserve">坚持注重实效。以改善水生态环境质量为核心，以解决现状问题为目标，有针对性开展清理整治，有效管控入河污染物排放，做到问题导向、整治销号、长效管控。 </w:t>
      </w:r>
    </w:p>
    <w:p>
      <w:pPr>
        <w:pStyle w:val="9"/>
        <w:keepNext w:val="0"/>
        <w:keepLines w:val="0"/>
        <w:pageBreakBefore w:val="0"/>
        <w:widowControl/>
        <w:numPr>
          <w:ilvl w:val="0"/>
          <w:numId w:val="1"/>
        </w:numPr>
        <w:kinsoku/>
        <w:wordWrap/>
        <w:overflowPunct/>
        <w:topLinePunct w:val="0"/>
        <w:autoSpaceDE/>
        <w:autoSpaceDN/>
        <w:bidi w:val="0"/>
        <w:adjustRightInd/>
        <w:snapToGrid/>
        <w:spacing w:line="360" w:lineRule="auto"/>
        <w:ind w:left="2" w:leftChars="0" w:firstLine="480" w:firstLineChars="0"/>
        <w:textAlignment w:val="auto"/>
        <w:outlineLvl w:val="1"/>
        <w:rPr>
          <w:rFonts w:hint="eastAsia" w:ascii="宋体" w:hAnsi="宋体" w:eastAsia="宋体" w:cs="宋体"/>
          <w:b/>
          <w:bCs/>
          <w:color w:val="000000" w:themeColor="text1"/>
          <w:highlight w:val="none"/>
          <w:u w:color="000000"/>
          <w:lang w:val="zh-TW" w:eastAsia="zh-CN"/>
          <w14:textFill>
            <w14:solidFill>
              <w14:schemeClr w14:val="tx1"/>
            </w14:solidFill>
          </w14:textFill>
        </w:rPr>
      </w:pPr>
      <w:r>
        <w:rPr>
          <w:rFonts w:hint="eastAsia" w:ascii="宋体" w:hAnsi="宋体" w:eastAsia="宋体" w:cs="宋体"/>
          <w:b/>
          <w:bCs/>
          <w:color w:val="000000" w:themeColor="text1"/>
          <w:highlight w:val="none"/>
          <w:u w:color="000000"/>
          <w:lang w:val="zh-TW" w:eastAsia="zh-CN"/>
          <w14:textFill>
            <w14:solidFill>
              <w14:schemeClr w14:val="tx1"/>
            </w14:solidFill>
          </w14:textFill>
        </w:rPr>
        <w:t xml:space="preserve">排查范围和对象 </w:t>
      </w:r>
    </w:p>
    <w:p>
      <w:pPr>
        <w:pStyle w:val="9"/>
        <w:numPr>
          <w:ilvl w:val="0"/>
          <w:numId w:val="2"/>
        </w:numPr>
        <w:spacing w:line="360" w:lineRule="auto"/>
        <w:ind w:left="2" w:firstLine="480"/>
        <w:rPr>
          <w:rFonts w:hint="eastAsia" w:ascii="宋体" w:hAnsi="宋体" w:eastAsia="宋体" w:cs="宋体"/>
          <w:b w:val="0"/>
          <w:bCs w:val="0"/>
          <w:color w:val="000000" w:themeColor="text1"/>
          <w:highlight w:val="none"/>
          <w:u w:color="000000"/>
          <w:lang w:val="en-US" w:eastAsia="zh-CN"/>
          <w14:textFill>
            <w14:solidFill>
              <w14:schemeClr w14:val="tx1"/>
            </w14:solidFill>
          </w14:textFill>
        </w:rPr>
      </w:pPr>
      <w:r>
        <w:rPr>
          <w:rFonts w:hint="eastAsia" w:ascii="宋体" w:hAnsi="宋体" w:eastAsia="宋体" w:cs="宋体"/>
          <w:b w:val="0"/>
          <w:bCs w:val="0"/>
          <w:color w:val="000000" w:themeColor="text1"/>
          <w:highlight w:val="none"/>
          <w:u w:color="000000"/>
          <w:lang w:val="en-US" w:eastAsia="zh-CN"/>
          <w14:textFill>
            <w14:solidFill>
              <w14:schemeClr w14:val="tx1"/>
            </w14:solidFill>
          </w14:textFill>
        </w:rPr>
        <w:t>排查范围：</w:t>
      </w:r>
    </w:p>
    <w:p>
      <w:pPr>
        <w:pStyle w:val="9"/>
        <w:numPr>
          <w:ilvl w:val="0"/>
          <w:numId w:val="0"/>
        </w:numPr>
        <w:spacing w:line="360" w:lineRule="auto"/>
        <w:ind w:left="0" w:leftChars="0" w:firstLine="480" w:firstLineChars="200"/>
        <w:rPr>
          <w:rFonts w:hint="eastAsia" w:ascii="宋体" w:hAnsi="宋体" w:eastAsia="宋体" w:cs="宋体"/>
          <w:b w:val="0"/>
          <w:bCs w:val="0"/>
          <w:color w:val="000000" w:themeColor="text1"/>
          <w:highlight w:val="none"/>
          <w:u w:color="000000"/>
          <w:lang w:val="en-US" w:eastAsia="zh-CN"/>
          <w14:textFill>
            <w14:solidFill>
              <w14:schemeClr w14:val="tx1"/>
            </w14:solidFill>
          </w14:textFill>
        </w:rPr>
      </w:pPr>
      <w:r>
        <w:rPr>
          <w:rFonts w:hint="eastAsia" w:ascii="宋体" w:hAnsi="宋体" w:eastAsia="宋体" w:cs="宋体"/>
          <w:b w:val="0"/>
          <w:bCs w:val="0"/>
          <w:color w:val="000000" w:themeColor="text1"/>
          <w:highlight w:val="none"/>
          <w:u w:color="000000"/>
          <w:lang w:val="en-US" w:eastAsia="zh-CN"/>
          <w14:textFill>
            <w14:solidFill>
              <w14:schemeClr w14:val="tx1"/>
            </w14:solidFill>
          </w14:textFill>
        </w:rPr>
        <w:t>1.1重点区域：以境内金沙江、雅砻江、岷江、安宁河流域干流、重要支流及邛海、泸沽湖、马湖等重要湖泊岸线为基准向陆地一侧延伸，形成网状排查全覆盖，重要支流及排查延伸覆盖范围由各县（市）人民政府结合污染源分布等实际情况决定；集中式饮用水水源保护区，自然保护区核心区、缓冲区等区域。普格县行政区域内，以主要河流岸线为基准向陆地一侧延伸，形成网状排查全覆盖，重要支流及排查延伸覆盖范围结合污染源分布等实际情况决定；集中式饮用水水源保护区，自然保护区核心区、缓冲区等区域。重点区域排查具体范围可根据产业布局、排污特征等实际情况适当扩大。</w:t>
      </w:r>
    </w:p>
    <w:p>
      <w:pPr>
        <w:pStyle w:val="9"/>
        <w:numPr>
          <w:ilvl w:val="0"/>
          <w:numId w:val="0"/>
        </w:numPr>
        <w:spacing w:line="360" w:lineRule="auto"/>
        <w:ind w:left="0" w:leftChars="0" w:firstLine="480" w:firstLineChars="200"/>
        <w:rPr>
          <w:rFonts w:hint="eastAsia" w:ascii="宋体" w:hAnsi="宋体" w:eastAsia="宋体" w:cs="宋体"/>
          <w:b w:val="0"/>
          <w:bCs w:val="0"/>
          <w:color w:val="000000" w:themeColor="text1"/>
          <w:highlight w:val="none"/>
          <w:u w:color="000000"/>
          <w:lang w:val="en-US" w:eastAsia="zh-CN"/>
          <w14:textFill>
            <w14:solidFill>
              <w14:schemeClr w14:val="tx1"/>
            </w14:solidFill>
          </w14:textFill>
        </w:rPr>
      </w:pPr>
      <w:r>
        <w:rPr>
          <w:rFonts w:hint="eastAsia" w:ascii="宋体" w:hAnsi="宋体" w:eastAsia="宋体" w:cs="宋体"/>
          <w:b w:val="0"/>
          <w:bCs w:val="0"/>
          <w:color w:val="000000" w:themeColor="text1"/>
          <w:highlight w:val="none"/>
          <w:u w:color="000000"/>
          <w:lang w:val="en-US" w:eastAsia="zh-CN"/>
          <w14:textFill>
            <w14:solidFill>
              <w14:schemeClr w14:val="tx1"/>
            </w14:solidFill>
          </w14:textFill>
        </w:rPr>
        <w:t>1.2一般区域：重点区域以外的区域为一般区域，重点关注人口集中、工业聚集、排污问题相对突出、群众反映强烈，环境风险高、生态敏感脆弱区域。</w:t>
      </w:r>
    </w:p>
    <w:p>
      <w:pPr>
        <w:pStyle w:val="4"/>
        <w:ind w:left="296" w:leftChars="141" w:firstLine="0" w:firstLineChars="0"/>
        <w:rPr>
          <w:rFonts w:hint="default"/>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highlight w:val="none"/>
          <w:u w:color="000000"/>
          <w:lang w:val="en-US" w:eastAsia="zh-CN"/>
          <w14:textFill>
            <w14:solidFill>
              <w14:schemeClr w14:val="tx1"/>
            </w14:solidFill>
          </w14:textFill>
        </w:rPr>
        <w:t>1.3其他区域排查范围：以采购人要求为基准。</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2.</w:t>
      </w:r>
      <w:r>
        <w:rPr>
          <w:rFonts w:hint="eastAsia" w:ascii="宋体" w:hAnsi="宋体" w:eastAsia="宋体" w:cs="宋体"/>
          <w:b w:val="0"/>
          <w:bCs w:val="0"/>
          <w:color w:val="auto"/>
          <w:highlight w:val="none"/>
          <w:u w:color="000000"/>
          <w:lang w:val="zh-TW" w:eastAsia="zh-CN"/>
        </w:rPr>
        <w:t>排查对象：整治范围内所有通过管道、沟渠、溪流、湿地等天然或人工通 道排放雨水、山泉水、沼泽水、污水的口门，做到应查尽查。重点区域同步开展 相关河（湖）段上、下游水质监测，既上岸查污染源和排污口，又下河（湖）调 查水质，切实掌握流域水环境突出问题及成因，推动实现精准治污。</w:t>
      </w:r>
    </w:p>
    <w:p>
      <w:pPr>
        <w:pStyle w:val="9"/>
        <w:keepNext w:val="0"/>
        <w:keepLines w:val="0"/>
        <w:pageBreakBefore w:val="0"/>
        <w:widowControl/>
        <w:numPr>
          <w:ilvl w:val="0"/>
          <w:numId w:val="1"/>
        </w:numPr>
        <w:kinsoku/>
        <w:wordWrap/>
        <w:overflowPunct/>
        <w:topLinePunct w:val="0"/>
        <w:autoSpaceDE/>
        <w:autoSpaceDN/>
        <w:bidi w:val="0"/>
        <w:adjustRightInd/>
        <w:snapToGrid/>
        <w:spacing w:line="360" w:lineRule="auto"/>
        <w:ind w:left="2" w:leftChars="0" w:firstLine="480" w:firstLineChars="0"/>
        <w:textAlignment w:val="auto"/>
        <w:outlineLvl w:val="1"/>
        <w:rPr>
          <w:rFonts w:hint="eastAsia" w:ascii="宋体" w:hAnsi="宋体" w:eastAsia="宋体" w:cs="宋体"/>
          <w:b/>
          <w:bCs/>
          <w:color w:val="000000" w:themeColor="text1"/>
          <w:highlight w:val="none"/>
          <w:u w:color="000000"/>
          <w:lang w:val="zh-TW" w:eastAsia="zh-CN"/>
          <w14:textFill>
            <w14:solidFill>
              <w14:schemeClr w14:val="tx1"/>
            </w14:solidFill>
          </w14:textFill>
        </w:rPr>
      </w:pPr>
      <w:r>
        <w:rPr>
          <w:rFonts w:hint="eastAsia" w:ascii="宋体" w:hAnsi="宋体" w:eastAsia="宋体" w:cs="宋体"/>
          <w:b/>
          <w:bCs/>
          <w:color w:val="000000" w:themeColor="text1"/>
          <w:highlight w:val="none"/>
          <w:u w:color="000000"/>
          <w:lang w:val="zh-TW" w:eastAsia="zh-CN"/>
          <w14:textFill>
            <w14:solidFill>
              <w14:schemeClr w14:val="tx1"/>
            </w14:solidFill>
          </w14:textFill>
        </w:rPr>
        <w:t>工作内容</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zh-TW" w:eastAsia="zh-CN"/>
        </w:rPr>
        <w:t xml:space="preserve">综合运用无人机航测和现场踏勘等手段，对排查范围内所有入河排口进行全面排查和调查，通过“全覆盖”技术排查和人工徒步现场踏勘，实现排查范围内“有口皆查、应查尽查”，建立完整的入河排污口台账，并针对各个排污口制定出切 实可行的规范化整改建议。 </w:t>
      </w:r>
    </w:p>
    <w:p>
      <w:pPr>
        <w:pStyle w:val="9"/>
        <w:numPr>
          <w:ilvl w:val="0"/>
          <w:numId w:val="0"/>
        </w:numPr>
        <w:spacing w:line="360" w:lineRule="auto"/>
        <w:ind w:left="0" w:leftChars="0" w:firstLine="480" w:firstLineChars="20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1.</w:t>
      </w:r>
      <w:r>
        <w:rPr>
          <w:rFonts w:hint="eastAsia" w:ascii="宋体" w:hAnsi="宋体" w:eastAsia="宋体" w:cs="宋体"/>
          <w:b w:val="0"/>
          <w:bCs w:val="0"/>
          <w:color w:val="auto"/>
          <w:highlight w:val="none"/>
          <w:u w:color="000000"/>
          <w:lang w:val="zh-TW" w:eastAsia="zh-CN"/>
        </w:rPr>
        <w:t>排查——摸清入河排污口底数。按照无人机航测和人工徒步现场排查、疑 难点攻坚排查“三级排查”方式开展排查，全面掌握普格县入河排污口数量类型、 分布情况及排污状况等基本信息，准确获取排污口编码、坐标、特征、照片等基 础资料，形成普格县入河排污口名录。重点区域由无人机航测、人工徒步现场排 查、疑难点攻坚排查配合进行；一般区域由人工徒步现场排查和疑难点攻坚排查 配合进行；其他区域由人工对疑点现场核查。</w:t>
      </w:r>
    </w:p>
    <w:p>
      <w:pPr>
        <w:pStyle w:val="9"/>
        <w:numPr>
          <w:ilvl w:val="0"/>
          <w:numId w:val="0"/>
        </w:numPr>
        <w:spacing w:line="360" w:lineRule="auto"/>
        <w:ind w:left="0" w:leftChars="0" w:firstLine="482" w:firstLineChars="201"/>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2.</w:t>
      </w:r>
      <w:r>
        <w:rPr>
          <w:rFonts w:hint="eastAsia" w:ascii="宋体" w:hAnsi="宋体" w:eastAsia="宋体" w:cs="宋体"/>
          <w:b w:val="0"/>
          <w:bCs w:val="0"/>
          <w:color w:val="auto"/>
          <w:highlight w:val="none"/>
          <w:u w:color="000000"/>
          <w:lang w:val="zh-TW" w:eastAsia="zh-CN"/>
        </w:rPr>
        <w:t>监测——为排污口定性识别提供支撑。监测工作分为现场快速检测和异常 点位人工重点监测，按照“边排查，边监测”的要求，与排查阶段的人工现场核 查、疑难点攻坚排查同步开展。通过监测，基本掌握入河排污口污染程度、特征 污染物、排放量等情况，为溯源分析提供技术支撑；入河排污口监测必测指标为 pH、化学需氧量、氨氮、总氮、总磷，其他特征污染物监测指标根据需要增加。 按照“谁排污、谁监测”原则，排污单位负责对本单位废水开展自行监测，入河 排污口责任主体负责对入河排污口开展自行监测。要对排污单位、入河排污口责 任主体自行监测开展抽查抽测，比例不低于 30%，必要时可购买服务。有监督性 监测或者在线监测数据等有效监测数据的入河排污口，可直接使用其监测数据，对已整治完成的入河排污口开展跟踪监测。</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3.</w:t>
      </w:r>
      <w:r>
        <w:rPr>
          <w:rFonts w:hint="eastAsia" w:ascii="宋体" w:hAnsi="宋体" w:eastAsia="宋体" w:cs="宋体"/>
          <w:b w:val="0"/>
          <w:bCs w:val="0"/>
          <w:color w:val="auto"/>
          <w:highlight w:val="none"/>
          <w:u w:color="000000"/>
          <w:lang w:val="zh-TW" w:eastAsia="zh-CN"/>
        </w:rPr>
        <w:t>溯源分析——全面查清排污口污水来源。在排查和监测的基础上，开展污 染物来源核查和分析，基本查清污水来源，锁定入河排污口对应的排污单位，逐 一明确污染责任主体。经溯源无法确定责任主体的，由生态环境部门报请县人民 政府批准后确定责任主体。责任主体负责入河排污口监测、整治、规范化建设和 维护管理等任务。</w:t>
      </w:r>
    </w:p>
    <w:p>
      <w:pPr>
        <w:pStyle w:val="9"/>
        <w:numPr>
          <w:ilvl w:val="0"/>
          <w:numId w:val="0"/>
        </w:numPr>
        <w:spacing w:line="360" w:lineRule="auto"/>
        <w:ind w:left="0" w:leftChars="0" w:firstLine="480" w:firstLineChars="20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4.</w:t>
      </w:r>
      <w:r>
        <w:rPr>
          <w:rFonts w:hint="eastAsia" w:ascii="宋体" w:hAnsi="宋体" w:eastAsia="宋体" w:cs="宋体"/>
          <w:b w:val="0"/>
          <w:bCs w:val="0"/>
          <w:color w:val="auto"/>
          <w:highlight w:val="none"/>
          <w:u w:color="000000"/>
          <w:lang w:val="zh-TW" w:eastAsia="zh-CN"/>
        </w:rPr>
        <w:t xml:space="preserve">整治——实行一口一策。对照溯源分析成果，认真研判入河排污口污染类 型、污染程度、排放量、污水来源、整治对策建议和难点问题，按照国、省、市 相关整治技术规范和工作要求，制定排污口分类整治方案。 </w:t>
      </w:r>
    </w:p>
    <w:p>
      <w:pPr>
        <w:pStyle w:val="9"/>
        <w:keepNext w:val="0"/>
        <w:keepLines w:val="0"/>
        <w:pageBreakBefore w:val="0"/>
        <w:widowControl/>
        <w:numPr>
          <w:ilvl w:val="0"/>
          <w:numId w:val="1"/>
        </w:numPr>
        <w:kinsoku/>
        <w:wordWrap/>
        <w:overflowPunct/>
        <w:topLinePunct w:val="0"/>
        <w:autoSpaceDE/>
        <w:autoSpaceDN/>
        <w:bidi w:val="0"/>
        <w:adjustRightInd/>
        <w:snapToGrid/>
        <w:spacing w:line="360" w:lineRule="auto"/>
        <w:ind w:left="2" w:leftChars="0" w:firstLine="480" w:firstLineChars="0"/>
        <w:textAlignment w:val="auto"/>
        <w:outlineLvl w:val="1"/>
        <w:rPr>
          <w:rFonts w:hint="eastAsia" w:ascii="宋体" w:hAnsi="宋体" w:eastAsia="宋体" w:cs="宋体"/>
          <w:b/>
          <w:bCs/>
          <w:color w:val="000000" w:themeColor="text1"/>
          <w:highlight w:val="none"/>
          <w:u w:color="000000"/>
          <w:lang w:val="zh-TW" w:eastAsia="zh-CN"/>
          <w14:textFill>
            <w14:solidFill>
              <w14:schemeClr w14:val="tx1"/>
            </w14:solidFill>
          </w14:textFill>
        </w:rPr>
      </w:pPr>
      <w:r>
        <w:rPr>
          <w:rFonts w:hint="eastAsia" w:ascii="宋体" w:hAnsi="宋体" w:eastAsia="宋体" w:cs="宋体"/>
          <w:b/>
          <w:bCs/>
          <w:color w:val="000000" w:themeColor="text1"/>
          <w:highlight w:val="none"/>
          <w:u w:color="000000"/>
          <w:lang w:val="zh-TW" w:eastAsia="zh-CN"/>
          <w14:textFill>
            <w14:solidFill>
              <w14:schemeClr w14:val="tx1"/>
            </w14:solidFill>
          </w14:textFill>
        </w:rPr>
        <w:t>工作进度及工作要求</w:t>
      </w:r>
    </w:p>
    <w:p>
      <w:pPr>
        <w:pStyle w:val="9"/>
        <w:numPr>
          <w:ilvl w:val="0"/>
          <w:numId w:val="0"/>
        </w:numPr>
        <w:spacing w:line="360" w:lineRule="auto"/>
        <w:ind w:left="0" w:leftChars="0" w:firstLine="321" w:firstLineChars="134"/>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zh-TW" w:eastAsia="zh-CN"/>
        </w:rPr>
        <w:t xml:space="preserve"> </w:t>
      </w:r>
      <w:r>
        <w:rPr>
          <w:rFonts w:hint="eastAsia" w:ascii="宋体" w:hAnsi="宋体" w:eastAsia="宋体" w:cs="宋体"/>
          <w:b w:val="0"/>
          <w:bCs w:val="0"/>
          <w:color w:val="auto"/>
          <w:highlight w:val="none"/>
          <w:u w:color="000000"/>
          <w:lang w:val="en-US" w:eastAsia="zh-CN"/>
        </w:rPr>
        <w:t>1.</w:t>
      </w:r>
      <w:r>
        <w:rPr>
          <w:rFonts w:hint="eastAsia" w:ascii="宋体" w:hAnsi="宋体" w:eastAsia="宋体" w:cs="宋体"/>
          <w:b w:val="0"/>
          <w:bCs w:val="0"/>
          <w:color w:val="auto"/>
          <w:highlight w:val="none"/>
          <w:u w:color="000000"/>
          <w:lang w:val="zh-TW" w:eastAsia="zh-CN"/>
        </w:rPr>
        <w:t xml:space="preserve">制定方案。由供应商将具体服务、技术、及整治等方案报业主单位。 </w:t>
      </w:r>
    </w:p>
    <w:p>
      <w:pPr>
        <w:pStyle w:val="9"/>
        <w:numPr>
          <w:ilvl w:val="0"/>
          <w:numId w:val="0"/>
        </w:numPr>
        <w:spacing w:line="360" w:lineRule="auto"/>
        <w:ind w:left="0" w:leftChars="0" w:firstLine="482" w:firstLineChars="201"/>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2.</w:t>
      </w:r>
      <w:r>
        <w:rPr>
          <w:rFonts w:hint="eastAsia" w:ascii="宋体" w:hAnsi="宋体" w:eastAsia="宋体" w:cs="宋体"/>
          <w:b w:val="0"/>
          <w:bCs w:val="0"/>
          <w:color w:val="auto"/>
          <w:highlight w:val="none"/>
          <w:u w:color="000000"/>
          <w:lang w:val="zh-TW" w:eastAsia="zh-CN"/>
        </w:rPr>
        <w:t xml:space="preserve">前期准备。按照《凉山州入河排污口排查整治工作资料整合基本要求》， 全面收集相关部门及排查范围的相关资料，并进行整合。 </w:t>
      </w:r>
    </w:p>
    <w:p>
      <w:pPr>
        <w:pStyle w:val="9"/>
        <w:numPr>
          <w:ilvl w:val="0"/>
          <w:numId w:val="0"/>
        </w:numPr>
        <w:spacing w:line="360" w:lineRule="auto"/>
        <w:ind w:left="0" w:leftChars="0" w:firstLine="482" w:firstLineChars="201"/>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3.</w:t>
      </w:r>
      <w:r>
        <w:rPr>
          <w:rFonts w:hint="eastAsia" w:ascii="宋体" w:hAnsi="宋体" w:eastAsia="宋体" w:cs="宋体"/>
          <w:b w:val="0"/>
          <w:bCs w:val="0"/>
          <w:color w:val="auto"/>
          <w:highlight w:val="none"/>
          <w:u w:color="000000"/>
          <w:lang w:val="zh-TW" w:eastAsia="zh-CN"/>
        </w:rPr>
        <w:t xml:space="preserve">现场排查。开展人工徒步现场排查、疑难点攻坚排查，核实确定入河排污 口信息，建立入河排污口名录。按照“边排查、边监测”要求，在全面排查基础 上，同步开展入河排污口水质水量监测。将人工徒步现场排查、疑难点攻坚排查 成果汇总集成。 </w:t>
      </w:r>
    </w:p>
    <w:p>
      <w:pPr>
        <w:pStyle w:val="9"/>
        <w:numPr>
          <w:ilvl w:val="0"/>
          <w:numId w:val="0"/>
        </w:numPr>
        <w:spacing w:line="360" w:lineRule="auto"/>
        <w:ind w:left="0" w:leftChars="0" w:firstLine="482" w:firstLineChars="201"/>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4.</w:t>
      </w:r>
      <w:r>
        <w:rPr>
          <w:rFonts w:hint="eastAsia" w:ascii="宋体" w:hAnsi="宋体" w:eastAsia="宋体" w:cs="宋体"/>
          <w:b w:val="0"/>
          <w:bCs w:val="0"/>
          <w:color w:val="auto"/>
          <w:highlight w:val="none"/>
          <w:u w:color="000000"/>
          <w:lang w:val="zh-TW" w:eastAsia="zh-CN"/>
        </w:rPr>
        <w:t>溯源分析。在排查和监测基础上，开展入河排污溯源分析，基本查清污水 来源，明确入河排污口责任主体，完成排污口溯源认定，确定纳入整治的入河排 污口名单。将溯源分析成果汇总集成。</w:t>
      </w:r>
    </w:p>
    <w:p>
      <w:pPr>
        <w:pStyle w:val="9"/>
        <w:numPr>
          <w:ilvl w:val="0"/>
          <w:numId w:val="0"/>
        </w:numPr>
        <w:spacing w:line="360" w:lineRule="auto"/>
        <w:ind w:left="0" w:leftChars="0" w:firstLine="482" w:firstLineChars="201"/>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5.</w:t>
      </w:r>
      <w:r>
        <w:rPr>
          <w:rFonts w:hint="eastAsia" w:ascii="宋体" w:hAnsi="宋体" w:eastAsia="宋体" w:cs="宋体"/>
          <w:b w:val="0"/>
          <w:bCs w:val="0"/>
          <w:color w:val="auto"/>
          <w:highlight w:val="none"/>
          <w:u w:color="000000"/>
          <w:lang w:val="zh-TW" w:eastAsia="zh-CN"/>
        </w:rPr>
        <w:t xml:space="preserve">组织核查验收。排查工作完成并提交排查成果后，业主单位对排查成果进 行现场复查。按照成果数据的 10%比例随机抽检，抽检合格率必须大于90%以上， 否则退回复查修改。对于二次提交的成果数据扩大至 2 倍比例再次随机抽检，直 至通过复检。 </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6.</w:t>
      </w:r>
      <w:r>
        <w:rPr>
          <w:rFonts w:hint="eastAsia" w:ascii="宋体" w:hAnsi="宋体" w:eastAsia="宋体" w:cs="宋体"/>
          <w:b w:val="0"/>
          <w:bCs w:val="0"/>
          <w:color w:val="auto"/>
          <w:highlight w:val="none"/>
          <w:u w:color="000000"/>
          <w:lang w:val="zh-TW" w:eastAsia="zh-CN"/>
        </w:rPr>
        <w:t>建立电子档案。对排查范围内入河排污口档案信息进行整理汇总并形成“一口一策”为核心的入河排污口电子档案，入河排污口电子档案包括但不限于下列内容：</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6.1</w:t>
      </w:r>
      <w:r>
        <w:rPr>
          <w:rFonts w:hint="eastAsia" w:ascii="宋体" w:hAnsi="宋体" w:eastAsia="宋体" w:cs="宋体"/>
          <w:b w:val="0"/>
          <w:bCs w:val="0"/>
          <w:color w:val="auto"/>
          <w:highlight w:val="none"/>
          <w:u w:color="000000"/>
          <w:lang w:val="zh-TW" w:eastAsia="zh-CN"/>
        </w:rPr>
        <w:t>入河排污口基本信息：排污口编号、排污口名称、排污口类别(入河排污口)、 地理坐标(经度、纬度)、设置单位、排污口规模(规模以上-丰水期日排废污水300立方米或年排废污水10万立方米以上、规模以下丰水期日排废污水 300立方米或年排废污水10万立方米以下)、排污口类型(工业废水排污口、生活污水排污口、雨水排污口、混合污废水排污口)、入河方式(明渠、暗管、泵站、涵洞、其他)等；</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6.2</w:t>
      </w:r>
      <w:r>
        <w:rPr>
          <w:rFonts w:hint="eastAsia" w:ascii="宋体" w:hAnsi="宋体" w:eastAsia="宋体" w:cs="宋体"/>
          <w:b w:val="0"/>
          <w:bCs w:val="0"/>
          <w:color w:val="auto"/>
          <w:highlight w:val="none"/>
          <w:u w:color="000000"/>
          <w:lang w:val="zh-TW" w:eastAsia="zh-CN"/>
        </w:rPr>
        <w:t>入河排污口所在水域水质信息：所在水域名称、受纳水体名称，所在水域水质、接纳污水及取水现状、水域水质保护要求、入河污水对水域水质和水功能区的影响；</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6.3</w:t>
      </w:r>
      <w:r>
        <w:rPr>
          <w:rFonts w:hint="eastAsia" w:ascii="宋体" w:hAnsi="宋体" w:eastAsia="宋体" w:cs="宋体"/>
          <w:b w:val="0"/>
          <w:bCs w:val="0"/>
          <w:color w:val="auto"/>
          <w:highlight w:val="none"/>
          <w:u w:color="000000"/>
          <w:lang w:val="zh-TW" w:eastAsia="zh-CN"/>
        </w:rPr>
        <w:t>入河污水所含主要污染物种类及其排放浓度和总量；</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6.4</w:t>
      </w:r>
      <w:r>
        <w:rPr>
          <w:rFonts w:hint="eastAsia" w:ascii="宋体" w:hAnsi="宋体" w:eastAsia="宋体" w:cs="宋体"/>
          <w:b w:val="0"/>
          <w:bCs w:val="0"/>
          <w:color w:val="auto"/>
          <w:highlight w:val="none"/>
          <w:u w:color="000000"/>
          <w:lang w:val="zh-TW" w:eastAsia="zh-CN"/>
        </w:rPr>
        <w:t>入河排污口现场排查检查记录：排查检查时间、地理坐标(定位)、所在区域、详细地址、是否为排口、能反映排口基本形态特征的照片或视频、能反映水来源方向的照片或视频、能反映水去向的照片或视频、能反映周边环境建筑特征的照片或视频、其他依据现场情况需要记录的照片或视频，是否有水流、水体有无特 殊气味、水体有无特殊颜色、污水疑似来源、是否具备监测条件、现场快速测定 值(流量、PH、COD、氨氮、总磷、总氮)、现场异常采样记录、采样的照片或视频；</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6.5</w:t>
      </w:r>
      <w:r>
        <w:rPr>
          <w:rFonts w:hint="eastAsia" w:ascii="宋体" w:hAnsi="宋体" w:eastAsia="宋体" w:cs="宋体"/>
          <w:b w:val="0"/>
          <w:bCs w:val="0"/>
          <w:color w:val="auto"/>
          <w:highlight w:val="none"/>
          <w:u w:color="000000"/>
          <w:lang w:val="zh-TW" w:eastAsia="zh-CN"/>
        </w:rPr>
        <w:t>入河排污口数据监测记录：实时在线监测数据记录、人工监测数据记录等；</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6.6</w:t>
      </w:r>
      <w:r>
        <w:rPr>
          <w:rFonts w:hint="eastAsia" w:ascii="宋体" w:hAnsi="宋体" w:eastAsia="宋体" w:cs="宋体"/>
          <w:b w:val="0"/>
          <w:bCs w:val="0"/>
          <w:color w:val="auto"/>
          <w:highlight w:val="none"/>
          <w:u w:color="000000"/>
          <w:lang w:val="zh-TW" w:eastAsia="zh-CN"/>
        </w:rPr>
        <w:t>入河排污口设置对有利害关系的第三者的影响；</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6.7</w:t>
      </w:r>
      <w:r>
        <w:rPr>
          <w:rFonts w:hint="eastAsia" w:ascii="宋体" w:hAnsi="宋体" w:eastAsia="宋体" w:cs="宋体"/>
          <w:b w:val="0"/>
          <w:bCs w:val="0"/>
          <w:color w:val="auto"/>
          <w:highlight w:val="none"/>
          <w:u w:color="000000"/>
          <w:lang w:val="zh-TW" w:eastAsia="zh-CN"/>
        </w:rPr>
        <w:t>排口标识标牌设置情况、水质保护措施及设备建设使用情况；</w:t>
      </w:r>
    </w:p>
    <w:p>
      <w:pPr>
        <w:pStyle w:val="9"/>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6.8</w:t>
      </w:r>
      <w:r>
        <w:rPr>
          <w:rFonts w:hint="eastAsia" w:ascii="宋体" w:hAnsi="宋体" w:eastAsia="宋体" w:cs="宋体"/>
          <w:b w:val="0"/>
          <w:bCs w:val="0"/>
          <w:color w:val="auto"/>
          <w:highlight w:val="none"/>
          <w:u w:color="000000"/>
          <w:lang w:val="zh-TW" w:eastAsia="zh-CN"/>
        </w:rPr>
        <w:t xml:space="preserve">成果整合。入河排污口排查成果进行整合，形成完整的普格县重点流域入河排 污口排查成果，形成普格县入河排污口“一口一策”，为后续开展监测、溯源、整治和长效监管打下坚实基础。 </w:t>
      </w:r>
    </w:p>
    <w:p>
      <w:pPr>
        <w:pStyle w:val="9"/>
        <w:keepNext w:val="0"/>
        <w:keepLines w:val="0"/>
        <w:pageBreakBefore w:val="0"/>
        <w:widowControl/>
        <w:numPr>
          <w:ilvl w:val="0"/>
          <w:numId w:val="1"/>
        </w:numPr>
        <w:kinsoku/>
        <w:wordWrap/>
        <w:overflowPunct/>
        <w:topLinePunct w:val="0"/>
        <w:autoSpaceDE/>
        <w:autoSpaceDN/>
        <w:bidi w:val="0"/>
        <w:adjustRightInd/>
        <w:snapToGrid/>
        <w:spacing w:line="360" w:lineRule="auto"/>
        <w:ind w:left="2" w:leftChars="0" w:firstLine="480" w:firstLineChars="0"/>
        <w:textAlignment w:val="auto"/>
        <w:outlineLvl w:val="1"/>
        <w:rPr>
          <w:rFonts w:hint="eastAsia" w:ascii="宋体" w:hAnsi="宋体" w:eastAsia="宋体" w:cs="宋体"/>
          <w:b/>
          <w:bCs/>
          <w:color w:val="000000" w:themeColor="text1"/>
          <w:highlight w:val="none"/>
          <w:u w:color="000000"/>
          <w:lang w:val="zh-TW" w:eastAsia="zh-CN"/>
          <w14:textFill>
            <w14:solidFill>
              <w14:schemeClr w14:val="tx1"/>
            </w14:solidFill>
          </w14:textFill>
        </w:rPr>
      </w:pPr>
      <w:r>
        <w:rPr>
          <w:rFonts w:hint="eastAsia" w:ascii="宋体" w:hAnsi="宋体" w:eastAsia="宋体" w:cs="宋体"/>
          <w:b/>
          <w:bCs/>
          <w:color w:val="000000" w:themeColor="text1"/>
          <w:highlight w:val="none"/>
          <w:u w:color="000000"/>
          <w:lang w:val="zh-TW" w:eastAsia="zh-CN"/>
          <w14:textFill>
            <w14:solidFill>
              <w14:schemeClr w14:val="tx1"/>
            </w14:solidFill>
          </w14:textFill>
        </w:rPr>
        <w:t xml:space="preserve">成果要求 </w:t>
      </w:r>
    </w:p>
    <w:p>
      <w:pPr>
        <w:pStyle w:val="9"/>
        <w:numPr>
          <w:ilvl w:val="0"/>
          <w:numId w:val="3"/>
        </w:numPr>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zh-TW" w:eastAsia="zh-CN"/>
        </w:rPr>
        <w:t>供应商最终提交的</w:t>
      </w:r>
      <w:r>
        <w:rPr>
          <w:rFonts w:hint="eastAsia" w:ascii="宋体" w:hAnsi="宋体" w:eastAsia="宋体" w:cs="宋体"/>
          <w:b w:val="0"/>
          <w:bCs w:val="0"/>
          <w:color w:val="auto"/>
          <w:highlight w:val="none"/>
          <w:u w:color="000000"/>
          <w:lang w:val="en-US" w:eastAsia="zh-CN"/>
        </w:rPr>
        <w:t>成果</w:t>
      </w:r>
      <w:r>
        <w:rPr>
          <w:rFonts w:hint="eastAsia" w:ascii="宋体" w:hAnsi="宋体" w:eastAsia="宋体" w:cs="宋体"/>
          <w:b w:val="0"/>
          <w:bCs w:val="0"/>
          <w:color w:val="auto"/>
          <w:highlight w:val="none"/>
          <w:u w:color="000000"/>
          <w:lang w:val="zh-TW" w:eastAsia="zh-CN"/>
        </w:rPr>
        <w:t>应包括所有排污口的二维图，同时质量应符合政策要求，并经采购人</w:t>
      </w:r>
      <w:r>
        <w:rPr>
          <w:rFonts w:hint="eastAsia" w:ascii="宋体" w:hAnsi="宋体" w:eastAsia="宋体" w:cs="宋体"/>
          <w:b w:val="0"/>
          <w:bCs w:val="0"/>
          <w:color w:val="auto"/>
          <w:highlight w:val="none"/>
          <w:u w:color="000000"/>
          <w:lang w:val="en-US" w:eastAsia="zh-CN"/>
        </w:rPr>
        <w:t>组织专家评审验收</w:t>
      </w:r>
      <w:r>
        <w:rPr>
          <w:rFonts w:hint="eastAsia" w:ascii="宋体" w:hAnsi="宋体" w:eastAsia="宋体" w:cs="宋体"/>
          <w:b w:val="0"/>
          <w:bCs w:val="0"/>
          <w:color w:val="auto"/>
          <w:highlight w:val="none"/>
          <w:u w:color="000000"/>
          <w:lang w:val="zh-TW" w:eastAsia="zh-CN"/>
        </w:rPr>
        <w:t>通过。</w:t>
      </w:r>
    </w:p>
    <w:p>
      <w:pPr>
        <w:pStyle w:val="9"/>
        <w:numPr>
          <w:ilvl w:val="0"/>
          <w:numId w:val="3"/>
        </w:numPr>
        <w:spacing w:line="360" w:lineRule="auto"/>
        <w:ind w:left="2" w:firstLine="48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zh-TW" w:eastAsia="zh-CN"/>
        </w:rPr>
        <w:t>供应商须提交6份纸质成果资料及电子文档资料。</w:t>
      </w:r>
    </w:p>
    <w:p>
      <w:pPr>
        <w:pStyle w:val="9"/>
        <w:keepNext w:val="0"/>
        <w:keepLines w:val="0"/>
        <w:pageBreakBefore w:val="0"/>
        <w:widowControl/>
        <w:numPr>
          <w:ilvl w:val="0"/>
          <w:numId w:val="1"/>
        </w:numPr>
        <w:kinsoku/>
        <w:wordWrap/>
        <w:overflowPunct/>
        <w:topLinePunct w:val="0"/>
        <w:autoSpaceDE/>
        <w:autoSpaceDN/>
        <w:bidi w:val="0"/>
        <w:adjustRightInd/>
        <w:snapToGrid/>
        <w:spacing w:line="360" w:lineRule="auto"/>
        <w:ind w:left="2" w:leftChars="0" w:firstLine="480" w:firstLineChars="0"/>
        <w:textAlignment w:val="auto"/>
        <w:outlineLvl w:val="1"/>
        <w:rPr>
          <w:rFonts w:hint="eastAsia" w:ascii="宋体" w:hAnsi="宋体" w:eastAsia="宋体" w:cs="宋体"/>
          <w:b/>
          <w:bCs/>
          <w:color w:val="000000" w:themeColor="text1"/>
          <w:highlight w:val="none"/>
          <w:u w:color="000000"/>
          <w:lang w:val="zh-TW" w:eastAsia="zh-CN"/>
          <w14:textFill>
            <w14:solidFill>
              <w14:schemeClr w14:val="tx1"/>
            </w14:solidFill>
          </w14:textFill>
        </w:rPr>
      </w:pPr>
      <w:r>
        <w:rPr>
          <w:rFonts w:hint="eastAsia" w:ascii="宋体" w:hAnsi="宋体" w:eastAsia="宋体" w:cs="宋体"/>
          <w:b/>
          <w:bCs/>
          <w:color w:val="000000" w:themeColor="text1"/>
          <w:highlight w:val="none"/>
          <w:u w:color="000000"/>
          <w:lang w:val="zh-TW" w:eastAsia="zh-CN"/>
          <w14:textFill>
            <w14:solidFill>
              <w14:schemeClr w14:val="tx1"/>
            </w14:solidFill>
          </w14:textFill>
        </w:rPr>
        <w:t xml:space="preserve">商务要求 </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 xml:space="preserve">★1.履约期限：政府采购合同签订生效之日起 </w:t>
      </w:r>
      <w:r>
        <w:rPr>
          <w:rFonts w:hint="eastAsia" w:ascii="宋体" w:hAnsi="宋体" w:eastAsia="宋体" w:cs="宋体"/>
          <w:b/>
          <w:bCs/>
          <w:color w:val="auto"/>
          <w:highlight w:val="none"/>
          <w:u w:color="000000"/>
          <w:lang w:val="en-US" w:eastAsia="zh-CN"/>
        </w:rPr>
        <w:t>60</w:t>
      </w:r>
      <w:r>
        <w:rPr>
          <w:rFonts w:hint="eastAsia" w:ascii="宋体" w:hAnsi="宋体" w:eastAsia="宋体" w:cs="宋体"/>
          <w:b/>
          <w:bCs/>
          <w:color w:val="auto"/>
          <w:highlight w:val="none"/>
          <w:u w:color="000000"/>
          <w:lang w:val="zh-TW" w:eastAsia="zh-CN"/>
        </w:rPr>
        <w:t>个日历天内完成全部工作内容，交付工作成果。</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★2.履约地点：凉山彝族自治州普格县，具体由采购人指定地点。</w:t>
      </w:r>
    </w:p>
    <w:p>
      <w:pPr>
        <w:pStyle w:val="9"/>
        <w:spacing w:line="360" w:lineRule="auto"/>
        <w:ind w:left="2" w:firstLine="480"/>
        <w:rPr>
          <w:rFonts w:hint="eastAsia" w:ascii="宋体" w:hAnsi="宋体" w:eastAsia="宋体" w:cs="宋体"/>
          <w:b/>
          <w:bCs/>
          <w:color w:val="000000" w:themeColor="text1"/>
          <w:highlight w:val="none"/>
          <w:u w:color="000000"/>
          <w:lang w:val="zh-TW" w:eastAsia="zh-CN"/>
          <w14:textFill>
            <w14:solidFill>
              <w14:schemeClr w14:val="tx1"/>
            </w14:solidFill>
          </w14:textFill>
        </w:rPr>
      </w:pPr>
      <w:r>
        <w:rPr>
          <w:rFonts w:hint="eastAsia" w:ascii="宋体" w:hAnsi="宋体" w:eastAsia="宋体" w:cs="宋体"/>
          <w:b/>
          <w:bCs/>
          <w:color w:val="000000" w:themeColor="text1"/>
          <w:highlight w:val="none"/>
          <w:u w:color="000000"/>
          <w:lang w:val="zh-TW" w:eastAsia="zh-CN"/>
          <w14:textFill>
            <w14:solidFill>
              <w14:schemeClr w14:val="tx1"/>
            </w14:solidFill>
          </w14:textFill>
        </w:rPr>
        <w:t>★3.付款条件及进度：</w:t>
      </w:r>
    </w:p>
    <w:p>
      <w:pPr>
        <w:pStyle w:val="9"/>
        <w:spacing w:line="360" w:lineRule="auto"/>
        <w:ind w:left="2" w:firstLine="480"/>
        <w:rPr>
          <w:rFonts w:hint="eastAsia" w:ascii="宋体" w:hAnsi="宋体" w:eastAsia="宋体" w:cs="宋体"/>
          <w:b/>
          <w:bCs/>
          <w:color w:val="000000" w:themeColor="text1"/>
          <w:highlight w:val="none"/>
          <w:u w:color="000000"/>
          <w:lang w:val="zh-TW" w:eastAsia="zh-CN"/>
          <w14:textFill>
            <w14:solidFill>
              <w14:schemeClr w14:val="tx1"/>
            </w14:solidFill>
          </w14:textFill>
        </w:rPr>
      </w:pPr>
      <w:r>
        <w:rPr>
          <w:rFonts w:hint="eastAsia" w:ascii="宋体" w:hAnsi="宋体" w:eastAsia="宋体" w:cs="宋体"/>
          <w:b/>
          <w:bCs/>
          <w:color w:val="000000" w:themeColor="text1"/>
          <w:highlight w:val="none"/>
          <w:u w:color="000000"/>
          <w:lang w:val="zh-TW" w:eastAsia="zh-CN"/>
          <w14:textFill>
            <w14:solidFill>
              <w14:schemeClr w14:val="tx1"/>
            </w14:solidFill>
          </w14:textFill>
        </w:rPr>
        <w:t>3.1签订政府采购合同后</w:t>
      </w:r>
      <w:r>
        <w:rPr>
          <w:rFonts w:hint="eastAsia" w:ascii="宋体" w:hAnsi="宋体" w:eastAsia="宋体" w:cs="宋体"/>
          <w:b/>
          <w:bCs/>
          <w:color w:val="000000" w:themeColor="text1"/>
          <w:highlight w:val="none"/>
          <w:u w:color="000000"/>
          <w:lang w:val="en-US" w:eastAsia="zh-CN"/>
          <w14:textFill>
            <w14:solidFill>
              <w14:schemeClr w14:val="tx1"/>
            </w14:solidFill>
          </w14:textFill>
        </w:rPr>
        <w:t>10</w:t>
      </w:r>
      <w:r>
        <w:rPr>
          <w:rFonts w:hint="eastAsia" w:ascii="宋体" w:hAnsi="宋体" w:eastAsia="宋体" w:cs="宋体"/>
          <w:b/>
          <w:bCs/>
          <w:color w:val="000000" w:themeColor="text1"/>
          <w:highlight w:val="none"/>
          <w:u w:color="000000"/>
          <w:lang w:val="zh-TW" w:eastAsia="zh-CN"/>
          <w14:textFill>
            <w14:solidFill>
              <w14:schemeClr w14:val="tx1"/>
            </w14:solidFill>
          </w14:textFill>
        </w:rPr>
        <w:t>个日历天内，支付合同金额的</w:t>
      </w:r>
      <w:r>
        <w:rPr>
          <w:rFonts w:hint="eastAsia" w:ascii="宋体" w:hAnsi="宋体" w:eastAsia="宋体" w:cs="宋体"/>
          <w:b/>
          <w:bCs/>
          <w:color w:val="000000" w:themeColor="text1"/>
          <w:highlight w:val="none"/>
          <w:u w:color="000000"/>
          <w:lang w:val="en-US" w:eastAsia="zh-CN"/>
          <w14:textFill>
            <w14:solidFill>
              <w14:schemeClr w14:val="tx1"/>
            </w14:solidFill>
          </w14:textFill>
        </w:rPr>
        <w:t>30</w:t>
      </w:r>
      <w:r>
        <w:rPr>
          <w:rFonts w:hint="eastAsia" w:ascii="宋体" w:hAnsi="宋体" w:eastAsia="宋体" w:cs="宋体"/>
          <w:b/>
          <w:bCs/>
          <w:color w:val="000000" w:themeColor="text1"/>
          <w:highlight w:val="none"/>
          <w:u w:color="000000"/>
          <w:lang w:val="zh-TW" w:eastAsia="zh-CN"/>
          <w14:textFill>
            <w14:solidFill>
              <w14:schemeClr w14:val="tx1"/>
            </w14:solidFill>
          </w14:textFill>
        </w:rPr>
        <w:t>%预付款；</w:t>
      </w:r>
    </w:p>
    <w:p>
      <w:pPr>
        <w:pStyle w:val="4"/>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highlight w:val="none"/>
          <w:u w:color="000000"/>
          <w:lang w:val="zh-TW" w:eastAsia="zh-CN"/>
          <w14:textFill>
            <w14:solidFill>
              <w14:schemeClr w14:val="tx1"/>
            </w14:solidFill>
          </w14:textFill>
        </w:rPr>
        <w:t>3.2</w:t>
      </w:r>
      <w:r>
        <w:rPr>
          <w:rFonts w:hint="eastAsia" w:ascii="宋体" w:hAnsi="宋体" w:eastAsia="宋体" w:cs="宋体"/>
          <w:b/>
          <w:bCs/>
          <w:color w:val="000000" w:themeColor="text1"/>
          <w:highlight w:val="none"/>
          <w:u w:color="000000"/>
          <w:lang w:val="en-US" w:eastAsia="zh-CN"/>
          <w14:textFill>
            <w14:solidFill>
              <w14:schemeClr w14:val="tx1"/>
            </w14:solidFill>
          </w14:textFill>
        </w:rPr>
        <w:t>本项目初稿完成后</w:t>
      </w:r>
      <w:r>
        <w:rPr>
          <w:rFonts w:hint="eastAsia" w:ascii="宋体" w:hAnsi="宋体" w:eastAsia="宋体" w:cs="宋体"/>
          <w:b/>
          <w:bCs/>
          <w:color w:val="000000" w:themeColor="text1"/>
          <w:highlight w:val="none"/>
          <w:u w:color="000000"/>
          <w:lang w:val="zh-TW" w:eastAsia="zh-CN"/>
          <w14:textFill>
            <w14:solidFill>
              <w14:schemeClr w14:val="tx1"/>
            </w14:solidFill>
          </w14:textFill>
        </w:rPr>
        <w:t>且收到供应商按照要求提交的等额发票及相关支付证明材料后</w:t>
      </w:r>
      <w:r>
        <w:rPr>
          <w:rFonts w:hint="eastAsia" w:ascii="宋体" w:hAnsi="宋体" w:eastAsia="宋体" w:cs="宋体"/>
          <w:b/>
          <w:bCs/>
          <w:color w:val="000000" w:themeColor="text1"/>
          <w:highlight w:val="none"/>
          <w:u w:color="000000"/>
          <w:lang w:val="en-US" w:eastAsia="zh-CN"/>
          <w14:textFill>
            <w14:solidFill>
              <w14:schemeClr w14:val="tx1"/>
            </w14:solidFill>
          </w14:textFill>
        </w:rPr>
        <w:t>10</w:t>
      </w:r>
      <w:r>
        <w:rPr>
          <w:rFonts w:hint="eastAsia" w:ascii="宋体" w:hAnsi="宋体" w:eastAsia="宋体" w:cs="宋体"/>
          <w:b/>
          <w:bCs/>
          <w:color w:val="000000" w:themeColor="text1"/>
          <w:highlight w:val="none"/>
          <w:u w:color="000000"/>
          <w:lang w:val="zh-TW" w:eastAsia="zh-CN"/>
          <w14:textFill>
            <w14:solidFill>
              <w14:schemeClr w14:val="tx1"/>
            </w14:solidFill>
          </w14:textFill>
        </w:rPr>
        <w:t>个日历天内，支付</w:t>
      </w:r>
      <w:r>
        <w:rPr>
          <w:rFonts w:hint="eastAsia" w:ascii="宋体" w:hAnsi="宋体" w:eastAsia="宋体" w:cs="宋体"/>
          <w:b/>
          <w:bCs/>
          <w:color w:val="000000" w:themeColor="text1"/>
          <w:highlight w:val="none"/>
          <w:u w:color="000000"/>
          <w:lang w:val="en-US" w:eastAsia="zh-CN"/>
          <w14:textFill>
            <w14:solidFill>
              <w14:schemeClr w14:val="tx1"/>
            </w14:solidFill>
          </w14:textFill>
        </w:rPr>
        <w:t>至</w:t>
      </w:r>
      <w:r>
        <w:rPr>
          <w:rFonts w:hint="eastAsia" w:ascii="宋体" w:hAnsi="宋体" w:eastAsia="宋体" w:cs="宋体"/>
          <w:b/>
          <w:bCs/>
          <w:color w:val="000000" w:themeColor="text1"/>
          <w:highlight w:val="none"/>
          <w:u w:color="000000"/>
          <w:lang w:val="zh-TW" w:eastAsia="zh-CN"/>
          <w14:textFill>
            <w14:solidFill>
              <w14:schemeClr w14:val="tx1"/>
            </w14:solidFill>
          </w14:textFill>
        </w:rPr>
        <w:t>合同金额的</w:t>
      </w:r>
      <w:r>
        <w:rPr>
          <w:rFonts w:hint="eastAsia" w:ascii="宋体" w:hAnsi="宋体" w:eastAsia="宋体" w:cs="宋体"/>
          <w:b/>
          <w:bCs/>
          <w:color w:val="000000" w:themeColor="text1"/>
          <w:highlight w:val="none"/>
          <w:u w:color="000000"/>
          <w:lang w:val="en-US" w:eastAsia="zh-CN"/>
          <w14:textFill>
            <w14:solidFill>
              <w14:schemeClr w14:val="tx1"/>
            </w14:solidFill>
          </w14:textFill>
        </w:rPr>
        <w:t>90</w:t>
      </w:r>
      <w:r>
        <w:rPr>
          <w:rFonts w:hint="eastAsia" w:ascii="宋体" w:hAnsi="宋体" w:eastAsia="宋体" w:cs="宋体"/>
          <w:b/>
          <w:bCs/>
          <w:color w:val="000000" w:themeColor="text1"/>
          <w:highlight w:val="none"/>
          <w:u w:color="000000"/>
          <w:lang w:val="zh-TW" w:eastAsia="zh-CN"/>
          <w14:textFill>
            <w14:solidFill>
              <w14:schemeClr w14:val="tx1"/>
            </w14:solidFill>
          </w14:textFill>
        </w:rPr>
        <w:t>%；</w:t>
      </w:r>
    </w:p>
    <w:p>
      <w:pPr>
        <w:pStyle w:val="9"/>
        <w:spacing w:line="360" w:lineRule="auto"/>
        <w:ind w:left="2" w:firstLine="480"/>
        <w:rPr>
          <w:rFonts w:hint="eastAsia" w:ascii="宋体" w:hAnsi="宋体" w:eastAsia="宋体" w:cs="宋体"/>
          <w:b/>
          <w:bCs/>
          <w:color w:val="000000" w:themeColor="text1"/>
          <w:highlight w:val="none"/>
          <w:u w:color="000000"/>
          <w:lang w:val="zh-TW" w:eastAsia="zh-CN"/>
          <w14:textFill>
            <w14:solidFill>
              <w14:schemeClr w14:val="tx1"/>
            </w14:solidFill>
          </w14:textFill>
        </w:rPr>
      </w:pPr>
      <w:r>
        <w:rPr>
          <w:rFonts w:hint="eastAsia" w:ascii="宋体" w:hAnsi="宋体" w:eastAsia="宋体" w:cs="宋体"/>
          <w:b/>
          <w:bCs/>
          <w:color w:val="000000" w:themeColor="text1"/>
          <w:highlight w:val="none"/>
          <w:u w:color="000000"/>
          <w:lang w:val="zh-TW" w:eastAsia="zh-CN"/>
          <w14:textFill>
            <w14:solidFill>
              <w14:schemeClr w14:val="tx1"/>
            </w14:solidFill>
          </w14:textFill>
        </w:rPr>
        <w:t>3.</w:t>
      </w:r>
      <w:r>
        <w:rPr>
          <w:rFonts w:hint="eastAsia" w:ascii="宋体" w:hAnsi="宋体" w:eastAsia="宋体" w:cs="宋体"/>
          <w:b/>
          <w:bCs/>
          <w:color w:val="000000" w:themeColor="text1"/>
          <w:highlight w:val="none"/>
          <w:u w:color="000000"/>
          <w:lang w:val="en-US" w:eastAsia="zh-CN"/>
          <w14:textFill>
            <w14:solidFill>
              <w14:schemeClr w14:val="tx1"/>
            </w14:solidFill>
          </w14:textFill>
        </w:rPr>
        <w:t>3</w:t>
      </w:r>
      <w:r>
        <w:rPr>
          <w:rFonts w:hint="eastAsia" w:ascii="宋体" w:hAnsi="宋体" w:eastAsia="宋体" w:cs="宋体"/>
          <w:b/>
          <w:bCs/>
          <w:color w:val="000000" w:themeColor="text1"/>
          <w:highlight w:val="none"/>
          <w:u w:color="000000"/>
          <w:lang w:val="zh-TW" w:eastAsia="zh-CN"/>
          <w14:textFill>
            <w14:solidFill>
              <w14:schemeClr w14:val="tx1"/>
            </w14:solidFill>
          </w14:textFill>
        </w:rPr>
        <w:t>最终验收合格且收到供应商按照要求提交的等额发票及相关支付证明材料后</w:t>
      </w:r>
      <w:r>
        <w:rPr>
          <w:rFonts w:hint="eastAsia" w:ascii="宋体" w:hAnsi="宋体" w:eastAsia="宋体" w:cs="宋体"/>
          <w:b/>
          <w:bCs/>
          <w:color w:val="000000" w:themeColor="text1"/>
          <w:highlight w:val="none"/>
          <w:u w:color="000000"/>
          <w:lang w:val="en-US" w:eastAsia="zh-CN"/>
          <w14:textFill>
            <w14:solidFill>
              <w14:schemeClr w14:val="tx1"/>
            </w14:solidFill>
          </w14:textFill>
        </w:rPr>
        <w:t>10</w:t>
      </w:r>
      <w:r>
        <w:rPr>
          <w:rFonts w:hint="eastAsia" w:ascii="宋体" w:hAnsi="宋体" w:eastAsia="宋体" w:cs="宋体"/>
          <w:b/>
          <w:bCs/>
          <w:color w:val="000000" w:themeColor="text1"/>
          <w:highlight w:val="none"/>
          <w:u w:color="000000"/>
          <w:lang w:val="zh-TW" w:eastAsia="zh-CN"/>
          <w14:textFill>
            <w14:solidFill>
              <w14:schemeClr w14:val="tx1"/>
            </w14:solidFill>
          </w14:textFill>
        </w:rPr>
        <w:t>个日历天内，支付</w:t>
      </w:r>
      <w:r>
        <w:rPr>
          <w:rFonts w:hint="eastAsia" w:ascii="宋体" w:hAnsi="宋体" w:eastAsia="宋体" w:cs="宋体"/>
          <w:b/>
          <w:bCs/>
          <w:color w:val="000000" w:themeColor="text1"/>
          <w:highlight w:val="none"/>
          <w:u w:color="000000"/>
          <w:lang w:val="en-US" w:eastAsia="zh-CN"/>
          <w14:textFill>
            <w14:solidFill>
              <w14:schemeClr w14:val="tx1"/>
            </w14:solidFill>
          </w14:textFill>
        </w:rPr>
        <w:t>至</w:t>
      </w:r>
      <w:r>
        <w:rPr>
          <w:rFonts w:hint="eastAsia" w:ascii="宋体" w:hAnsi="宋体" w:eastAsia="宋体" w:cs="宋体"/>
          <w:b/>
          <w:bCs/>
          <w:color w:val="000000" w:themeColor="text1"/>
          <w:highlight w:val="none"/>
          <w:u w:color="000000"/>
          <w:lang w:val="zh-TW" w:eastAsia="zh-CN"/>
          <w14:textFill>
            <w14:solidFill>
              <w14:schemeClr w14:val="tx1"/>
            </w14:solidFill>
          </w14:textFill>
        </w:rPr>
        <w:t>合同金额的</w:t>
      </w:r>
      <w:r>
        <w:rPr>
          <w:rFonts w:hint="eastAsia" w:ascii="宋体" w:hAnsi="宋体" w:eastAsia="宋体" w:cs="宋体"/>
          <w:b/>
          <w:bCs/>
          <w:color w:val="000000" w:themeColor="text1"/>
          <w:highlight w:val="none"/>
          <w:u w:color="000000"/>
          <w:lang w:val="en-US" w:eastAsia="zh-CN"/>
          <w14:textFill>
            <w14:solidFill>
              <w14:schemeClr w14:val="tx1"/>
            </w14:solidFill>
          </w14:textFill>
        </w:rPr>
        <w:t>100</w:t>
      </w:r>
      <w:r>
        <w:rPr>
          <w:rFonts w:hint="eastAsia" w:ascii="宋体" w:hAnsi="宋体" w:eastAsia="宋体" w:cs="宋体"/>
          <w:b/>
          <w:bCs/>
          <w:color w:val="000000" w:themeColor="text1"/>
          <w:highlight w:val="none"/>
          <w:u w:color="000000"/>
          <w:lang w:val="zh-TW" w:eastAsia="zh-CN"/>
          <w14:textFill>
            <w14:solidFill>
              <w14:schemeClr w14:val="tx1"/>
            </w14:solidFill>
          </w14:textFill>
        </w:rPr>
        <w:t>%；</w:t>
      </w:r>
    </w:p>
    <w:p>
      <w:pPr>
        <w:pStyle w:val="9"/>
        <w:spacing w:line="360" w:lineRule="auto"/>
        <w:ind w:left="2" w:firstLine="480"/>
        <w:rPr>
          <w:rFonts w:hint="eastAsia" w:ascii="宋体" w:hAnsi="宋体" w:eastAsia="宋体" w:cs="宋体"/>
          <w:b/>
          <w:bCs/>
          <w:color w:val="000000" w:themeColor="text1"/>
          <w:highlight w:val="none"/>
          <w:u w:color="000000"/>
          <w:lang w:val="zh-TW" w:eastAsia="zh-CN"/>
          <w14:textFill>
            <w14:solidFill>
              <w14:schemeClr w14:val="tx1"/>
            </w14:solidFill>
          </w14:textFill>
        </w:rPr>
      </w:pPr>
      <w:r>
        <w:rPr>
          <w:rFonts w:hint="eastAsia" w:ascii="宋体" w:hAnsi="宋体" w:eastAsia="宋体" w:cs="宋体"/>
          <w:b/>
          <w:bCs/>
          <w:color w:val="000000" w:themeColor="text1"/>
          <w:highlight w:val="none"/>
          <w:u w:color="000000"/>
          <w:lang w:val="zh-TW" w:eastAsia="zh-CN"/>
          <w14:textFill>
            <w14:solidFill>
              <w14:schemeClr w14:val="tx1"/>
            </w14:solidFill>
          </w14:textFill>
        </w:rPr>
        <w:t>3.</w:t>
      </w:r>
      <w:r>
        <w:rPr>
          <w:rFonts w:hint="eastAsia" w:ascii="宋体" w:hAnsi="宋体" w:eastAsia="宋体" w:cs="宋体"/>
          <w:b/>
          <w:bCs/>
          <w:color w:val="000000" w:themeColor="text1"/>
          <w:highlight w:val="none"/>
          <w:u w:color="000000"/>
          <w:lang w:val="en-US" w:eastAsia="zh-CN"/>
          <w14:textFill>
            <w14:solidFill>
              <w14:schemeClr w14:val="tx1"/>
            </w14:solidFill>
          </w14:textFill>
        </w:rPr>
        <w:t>4</w:t>
      </w:r>
      <w:r>
        <w:rPr>
          <w:rFonts w:hint="eastAsia" w:ascii="宋体" w:hAnsi="宋体" w:eastAsia="宋体" w:cs="宋体"/>
          <w:b/>
          <w:bCs/>
          <w:color w:val="000000" w:themeColor="text1"/>
          <w:highlight w:val="none"/>
          <w:u w:color="000000"/>
          <w:lang w:val="zh-TW" w:eastAsia="zh-CN"/>
          <w14:textFill>
            <w14:solidFill>
              <w14:schemeClr w14:val="tx1"/>
            </w14:solidFill>
          </w14:textFill>
        </w:rPr>
        <w:t>采购人每次支付合同款前，供应商须向采购人出具合法有效完整的增值税发票及凭证资料后进行支付结算，付款方式均采用公对公的银行转账，采购人接受转账的开户信息以合同载明的为准。如因供应商未按照要求提供合法有效的发票导致逾期付款的，不视为采购人违约，采购人不承担任何责任。</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★4.验收、交付标准和方法：</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4.1验收由采购人组织，供应商配合进行。采购人可以邀请参加本项目的其他供应商或者第三方专业机构及专家参与验收，相关验收意见作为验收的参考资料。</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4.2采购人在供应商通知履约完成并提出验收申请后10日内组织验收。</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4.3验收标准：按国家有关规定以及采购文件的质量要求和技术指标(包括每一项服务内容和商务要求的履约情况)、供应商的响应文件及承诺与本合同约定标准进行验收；采购人和供应商双方如对质量要求和技术指标的约定标准有相互抵触或异议的事项，由采购人在竞争性磋商文件和响应文件中按质量要求和技术指标比较优胜的原则确定该项的约定标准进行验收；</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4.4验收时如发现所提交的成果不符合标准及本合同规定之情形者，采购人应做出详尽的现场记录，或由采购人和供应商双方签署备忘录，此现场记录或备忘录可用作补充、缺失和整改的有效证据，由此产生的时间延误与有关费用由供应商承担，验收期限相应顺延；</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4.5如验收合格，双方签署验收报告。</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4.6项目验收结果合格的，采购人按合同约定支付合同款；验收不合格且供应商拒不整改的，采购人将不予支付合同款，还可能上报本项目同级财政部门按照政府采购法律法规等有关规定给予行政处罚；</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4.7其他未尽事宜应严格按照《财政部关于进一步加强政府采购需求和履约验收管理的指导意见》(财库〔2016〕205 号)和采购人相关要求进行验收。</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★5</w:t>
      </w:r>
      <w:r>
        <w:rPr>
          <w:rFonts w:hint="eastAsia" w:ascii="宋体" w:hAnsi="宋体" w:eastAsia="宋体" w:cs="宋体"/>
          <w:b/>
          <w:bCs/>
          <w:color w:val="auto"/>
          <w:highlight w:val="none"/>
          <w:u w:color="000000"/>
          <w:lang w:val="en-US" w:eastAsia="zh-CN"/>
        </w:rPr>
        <w:t>.</w:t>
      </w:r>
      <w:r>
        <w:rPr>
          <w:rFonts w:hint="eastAsia" w:ascii="宋体" w:hAnsi="宋体" w:eastAsia="宋体" w:cs="宋体"/>
          <w:b/>
          <w:bCs/>
          <w:color w:val="auto"/>
          <w:highlight w:val="none"/>
          <w:u w:color="000000"/>
          <w:lang w:val="zh-TW" w:eastAsia="zh-CN"/>
        </w:rPr>
        <w:t>保险：成交后应按照相关标准给所有工作人员购买社会保险，工作人员在合同履行地发生意外伤害，均由成交供应商负责。</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★6.其他要求</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6.1政府采购合同签订时间及要求：供应商自成交通知书发出之日起 30 日内与采购人签订政府采购合同。供应商在签订采购合同时，应向采购人提供截止合同签订之日的行贿犯罪查询记录(包含供应商名称、法定代表人、主要负责人、签订合同的授权代表)，以及授权代表在职和社保证明，未提供的采购人有权拒绝签订采购合同。</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6.2采购人发现供应商实际投入本项目的服务人员与响应文件不一致时，有权要求供应商限期整改，未按要求完成整改的，视为提供虚假证明材料谋取成交。</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6.3接受项目行业管理部门及政府有关部门的指导，接受采购人的监督。</w:t>
      </w:r>
    </w:p>
    <w:p>
      <w:pPr>
        <w:pStyle w:val="9"/>
        <w:spacing w:line="360" w:lineRule="auto"/>
        <w:ind w:left="2" w:firstLine="480"/>
        <w:rPr>
          <w:rFonts w:hint="default" w:ascii="宋体" w:hAnsi="宋体" w:eastAsia="宋体" w:cs="宋体"/>
          <w:b/>
          <w:bCs/>
          <w:color w:val="auto"/>
          <w:highlight w:val="none"/>
          <w:u w:color="000000"/>
          <w:lang w:val="en-US" w:eastAsia="zh-CN"/>
        </w:rPr>
      </w:pPr>
      <w:r>
        <w:rPr>
          <w:rFonts w:hint="eastAsia" w:ascii="宋体" w:hAnsi="宋体" w:eastAsia="宋体" w:cs="宋体"/>
          <w:b/>
          <w:bCs/>
          <w:color w:val="auto"/>
          <w:highlight w:val="none"/>
          <w:u w:color="000000"/>
          <w:lang w:val="en-US" w:eastAsia="zh-CN"/>
        </w:rPr>
        <w:t>6.4安全要求：供应商承诺若成交，在项目实施过程中一切安全责任自行承担（提供承诺函）</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★7.报价要求</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报价是供应商响应采购项目要求的全部工作内容的价格体现，包括本项目的现场调查费、监测费、咨询费、人工、差旅、设备使用、项目成果文件的印刷装订、税金、保险等直至提交最终成果过程中所涉及到的一切费用。</w:t>
      </w:r>
    </w:p>
    <w:p>
      <w:pPr>
        <w:pStyle w:val="9"/>
        <w:numPr>
          <w:ilvl w:val="0"/>
          <w:numId w:val="0"/>
        </w:numPr>
        <w:spacing w:line="360" w:lineRule="auto"/>
        <w:ind w:left="0" w:leftChars="0" w:firstLine="482" w:firstLineChars="201"/>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8.</w:t>
      </w:r>
      <w:r>
        <w:rPr>
          <w:rFonts w:hint="eastAsia" w:ascii="宋体" w:hAnsi="宋体" w:eastAsia="宋体" w:cs="宋体"/>
          <w:b w:val="0"/>
          <w:bCs w:val="0"/>
          <w:color w:val="auto"/>
          <w:highlight w:val="none"/>
          <w:u w:color="000000"/>
          <w:lang w:val="zh-TW" w:eastAsia="zh-CN"/>
        </w:rPr>
        <w:t>本项目服务方式在不增加成本的前提下，采购人根据项目进行细微调整，供应商须完全响应采购人要求。</w:t>
      </w:r>
    </w:p>
    <w:p>
      <w:pPr>
        <w:pStyle w:val="9"/>
        <w:numPr>
          <w:ilvl w:val="0"/>
          <w:numId w:val="0"/>
        </w:numPr>
        <w:spacing w:line="360" w:lineRule="auto"/>
        <w:ind w:left="482" w:leftChars="0"/>
        <w:rPr>
          <w:rFonts w:hint="eastAsia" w:ascii="宋体" w:hAnsi="宋体" w:eastAsia="宋体" w:cs="宋体"/>
          <w:b w:val="0"/>
          <w:bCs w:val="0"/>
          <w:color w:val="auto"/>
          <w:highlight w:val="none"/>
          <w:u w:color="000000"/>
          <w:lang w:val="zh-TW" w:eastAsia="zh-CN"/>
        </w:rPr>
      </w:pPr>
      <w:r>
        <w:rPr>
          <w:rFonts w:hint="eastAsia" w:ascii="宋体" w:hAnsi="宋体" w:eastAsia="宋体" w:cs="宋体"/>
          <w:b w:val="0"/>
          <w:bCs w:val="0"/>
          <w:color w:val="auto"/>
          <w:highlight w:val="none"/>
          <w:u w:color="000000"/>
          <w:lang w:val="en-US" w:eastAsia="zh-CN"/>
        </w:rPr>
        <w:t>9.</w:t>
      </w:r>
      <w:r>
        <w:rPr>
          <w:rFonts w:hint="eastAsia" w:ascii="宋体" w:hAnsi="宋体" w:eastAsia="宋体" w:cs="宋体"/>
          <w:b w:val="0"/>
          <w:bCs w:val="0"/>
          <w:color w:val="auto"/>
          <w:highlight w:val="none"/>
          <w:u w:color="000000"/>
          <w:lang w:val="zh-TW" w:eastAsia="zh-CN"/>
        </w:rPr>
        <w:t>其他未尽事宜，以合同约定为准。</w:t>
      </w:r>
    </w:p>
    <w:p>
      <w:pPr>
        <w:pStyle w:val="9"/>
        <w:spacing w:line="360" w:lineRule="auto"/>
        <w:ind w:left="2" w:firstLine="480"/>
        <w:rPr>
          <w:rFonts w:hint="eastAsia" w:ascii="宋体" w:hAnsi="宋体" w:eastAsia="宋体" w:cs="宋体"/>
          <w:b/>
          <w:bCs/>
          <w:color w:val="auto"/>
          <w:highlight w:val="none"/>
          <w:u w:color="000000"/>
          <w:lang w:val="zh-TW" w:eastAsia="zh-CN"/>
        </w:rPr>
      </w:pPr>
      <w:r>
        <w:rPr>
          <w:rFonts w:hint="eastAsia" w:ascii="宋体" w:hAnsi="宋体" w:eastAsia="宋体" w:cs="宋体"/>
          <w:b/>
          <w:bCs/>
          <w:color w:val="auto"/>
          <w:highlight w:val="none"/>
          <w:u w:color="000000"/>
          <w:lang w:val="zh-TW" w:eastAsia="zh-CN"/>
        </w:rPr>
        <w:t>注：带“★”的为实质性要求，不得有负偏离，否则视为无效响应。</w:t>
      </w:r>
    </w:p>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C71C0A"/>
    <w:multiLevelType w:val="singleLevel"/>
    <w:tmpl w:val="17C71C0A"/>
    <w:lvl w:ilvl="0" w:tentative="0">
      <w:start w:val="1"/>
      <w:numFmt w:val="decimal"/>
      <w:lvlText w:val="%1."/>
      <w:lvlJc w:val="left"/>
      <w:pPr>
        <w:tabs>
          <w:tab w:val="left" w:pos="312"/>
        </w:tabs>
      </w:pPr>
    </w:lvl>
  </w:abstractNum>
  <w:abstractNum w:abstractNumId="1">
    <w:nsid w:val="3A1BB94D"/>
    <w:multiLevelType w:val="singleLevel"/>
    <w:tmpl w:val="3A1BB94D"/>
    <w:lvl w:ilvl="0" w:tentative="0">
      <w:start w:val="3"/>
      <w:numFmt w:val="chineseCounting"/>
      <w:suff w:val="nothing"/>
      <w:lvlText w:val="%1、"/>
      <w:lvlJc w:val="left"/>
      <w:rPr>
        <w:rFonts w:hint="eastAsia"/>
      </w:rPr>
    </w:lvl>
  </w:abstractNum>
  <w:abstractNum w:abstractNumId="2">
    <w:nsid w:val="4658DCB4"/>
    <w:multiLevelType w:val="singleLevel"/>
    <w:tmpl w:val="4658DCB4"/>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ODc2OWQ2NmFiNTVhMWMxNTMwZThmZmVkZGRjNzQifQ=="/>
  </w:docVars>
  <w:rsids>
    <w:rsidRoot w:val="5F4165F4"/>
    <w:rsid w:val="507E46CB"/>
    <w:rsid w:val="5F416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30"/>
    </w:pPr>
    <w:rPr>
      <w:rFonts w:ascii="Times New Roman" w:hAnsi="Times New Roman" w:eastAsia="Arial Unicode MS" w:cs="Arial Unicode MS"/>
      <w:color w:val="000000"/>
      <w:sz w:val="32"/>
      <w:szCs w:val="32"/>
      <w:lang w:val="en-US" w:eastAsia="zh-CN" w:bidi="ar-SA"/>
    </w:rPr>
  </w:style>
  <w:style w:type="paragraph" w:styleId="4">
    <w:name w:val="Body Text"/>
    <w:basedOn w:val="1"/>
    <w:next w:val="5"/>
    <w:qFormat/>
    <w:uiPriority w:val="99"/>
    <w:pPr>
      <w:spacing w:after="120"/>
    </w:pPr>
    <w:rPr>
      <w:rFonts w:hint="eastAsia" w:ascii="Arial Unicode MS" w:hAnsi="Arial Unicode MS" w:eastAsia="Times New Roman" w:cs="Arial Unicode MS"/>
      <w:sz w:val="24"/>
      <w:szCs w:val="24"/>
    </w:rPr>
  </w:style>
  <w:style w:type="paragraph" w:styleId="5">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6">
    <w:name w:val="footer"/>
    <w:basedOn w:val="1"/>
    <w:uiPriority w:val="0"/>
    <w:pPr>
      <w:tabs>
        <w:tab w:val="center" w:pos="4153"/>
        <w:tab w:val="right" w:pos="8306"/>
      </w:tabs>
      <w:snapToGrid w:val="0"/>
      <w:jc w:val="left"/>
    </w:pPr>
    <w:rPr>
      <w:sz w:val="18"/>
    </w:rPr>
  </w:style>
  <w:style w:type="paragraph" w:customStyle="1" w:styleId="9">
    <w:name w:val="正文 A"/>
    <w:next w:val="4"/>
    <w:qFormat/>
    <w:uiPriority w:val="0"/>
    <w:rPr>
      <w:rFonts w:hint="eastAsia" w:ascii="Arial Unicode MS" w:hAnsi="Arial Unicode MS" w:eastAsia="Times New Roman" w:cs="Arial Unicode M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5012</Words>
  <Characters>5134</Characters>
  <Lines>0</Lines>
  <Paragraphs>0</Paragraphs>
  <TotalTime>4</TotalTime>
  <ScaleCrop>false</ScaleCrop>
  <LinksUpToDate>false</LinksUpToDate>
  <CharactersWithSpaces>5284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2022-07-11T02:55:00Z</dcterms:created>
  <dc:creator>Симо</dc:creator>
  <cp:lastModifiedBy>Симо</cp:lastModifiedBy>
  <dcterms:modified xsi:type="dcterms:W3CDTF">2022-07-11T03:06:28Z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06C734B5F08B4531B534C16166AA7B0B</vt:lpwstr>
  </property>
</Properties>
</file>