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0C" w:rsidRPr="006E4A0C" w:rsidRDefault="006E4A0C" w:rsidP="006E4A0C">
      <w:pPr>
        <w:ind w:firstLineChars="200" w:firstLine="723"/>
        <w:jc w:val="center"/>
        <w:rPr>
          <w:rFonts w:ascii="仿宋" w:eastAsia="仿宋" w:hAnsi="仿宋" w:hint="eastAsia"/>
          <w:b/>
          <w:sz w:val="36"/>
        </w:rPr>
      </w:pPr>
      <w:bookmarkStart w:id="0" w:name="_Toc217446094"/>
      <w:bookmarkStart w:id="1" w:name="_GoBack"/>
      <w:r w:rsidRPr="006E4A0C">
        <w:rPr>
          <w:rFonts w:ascii="仿宋" w:eastAsia="仿宋" w:hAnsi="仿宋"/>
          <w:b/>
          <w:sz w:val="36"/>
        </w:rPr>
        <w:t>采购需求</w:t>
      </w:r>
    </w:p>
    <w:bookmarkEnd w:id="1"/>
    <w:p w:rsidR="006E4A0C" w:rsidRPr="00DD629E" w:rsidRDefault="006E4A0C" w:rsidP="006E4A0C">
      <w:pPr>
        <w:ind w:firstLineChars="200" w:firstLine="482"/>
        <w:rPr>
          <w:rFonts w:ascii="仿宋" w:eastAsia="仿宋" w:hAnsi="仿宋"/>
          <w:b/>
          <w:sz w:val="24"/>
        </w:rPr>
      </w:pPr>
      <w:r w:rsidRPr="00DD629E">
        <w:rPr>
          <w:rFonts w:ascii="仿宋" w:eastAsia="仿宋" w:hAnsi="仿宋" w:hint="eastAsia"/>
          <w:b/>
          <w:sz w:val="24"/>
        </w:rPr>
        <w:t>前提：本章中标注“</w:t>
      </w:r>
      <w:r w:rsidRPr="00DD629E">
        <w:rPr>
          <w:rFonts w:ascii="仿宋" w:eastAsia="仿宋" w:hAnsi="仿宋" w:hint="eastAsia"/>
          <w:sz w:val="24"/>
        </w:rPr>
        <w:t>★</w:t>
      </w:r>
      <w:r w:rsidRPr="00DD629E">
        <w:rPr>
          <w:rFonts w:ascii="仿宋" w:eastAsia="仿宋" w:hAnsi="仿宋" w:hint="eastAsia"/>
          <w:b/>
          <w:sz w:val="24"/>
        </w:rPr>
        <w:t>”的条款为本项目的实质性条款，投标人不满足的，将按照无效投标处理。</w:t>
      </w:r>
    </w:p>
    <w:p w:rsidR="006E4A0C" w:rsidRPr="00DD629E" w:rsidRDefault="006E4A0C" w:rsidP="006E4A0C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DD629E">
        <w:rPr>
          <w:rFonts w:ascii="仿宋" w:eastAsia="仿宋" w:hAnsi="仿宋" w:hint="eastAsia"/>
          <w:sz w:val="24"/>
          <w:szCs w:val="24"/>
        </w:rPr>
        <w:t>（一）. 项目概述</w:t>
      </w:r>
      <w:bookmarkEnd w:id="0"/>
    </w:p>
    <w:p w:rsidR="006E4A0C" w:rsidRPr="00DD629E" w:rsidRDefault="006E4A0C" w:rsidP="006E4A0C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2" w:name="_Toc217446095"/>
      <w:r w:rsidRPr="00DD629E">
        <w:rPr>
          <w:rFonts w:ascii="仿宋" w:eastAsia="仿宋" w:hAnsi="仿宋" w:hint="eastAsia"/>
          <w:bCs/>
          <w:sz w:val="24"/>
        </w:rPr>
        <w:t>1.项目</w:t>
      </w:r>
      <w:r w:rsidRPr="00DD629E">
        <w:rPr>
          <w:rFonts w:ascii="仿宋" w:eastAsia="仿宋" w:hAnsi="仿宋"/>
          <w:bCs/>
          <w:sz w:val="24"/>
        </w:rPr>
        <w:t>概况</w:t>
      </w:r>
      <w:r w:rsidRPr="00DD629E">
        <w:rPr>
          <w:rFonts w:ascii="仿宋" w:eastAsia="仿宋" w:hAnsi="仿宋" w:hint="eastAsia"/>
          <w:bCs/>
          <w:sz w:val="24"/>
        </w:rPr>
        <w:t>：本项目共2个包，采购临床检验设备一批</w:t>
      </w:r>
    </w:p>
    <w:p w:rsidR="006E4A0C" w:rsidRPr="00DD629E" w:rsidRDefault="006E4A0C" w:rsidP="006E4A0C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DD629E">
        <w:rPr>
          <w:rFonts w:ascii="仿宋" w:eastAsia="仿宋" w:hAnsi="仿宋" w:hint="eastAsia"/>
          <w:bCs/>
          <w:sz w:val="24"/>
        </w:rPr>
        <w:t>2.</w:t>
      </w:r>
      <w:r w:rsidRPr="00DD629E">
        <w:rPr>
          <w:rFonts w:hint="eastAsia"/>
        </w:rPr>
        <w:t xml:space="preserve"> </w:t>
      </w:r>
      <w:r w:rsidRPr="00DD629E">
        <w:rPr>
          <w:rFonts w:ascii="仿宋" w:eastAsia="仿宋" w:hAnsi="仿宋" w:hint="eastAsia"/>
          <w:bCs/>
          <w:sz w:val="24"/>
        </w:rPr>
        <w:t>项目清单：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256"/>
        <w:gridCol w:w="686"/>
        <w:gridCol w:w="626"/>
        <w:gridCol w:w="980"/>
        <w:gridCol w:w="1025"/>
        <w:gridCol w:w="1025"/>
        <w:gridCol w:w="1025"/>
        <w:gridCol w:w="1082"/>
      </w:tblGrid>
      <w:tr w:rsidR="006E4A0C" w:rsidRPr="00DD629E" w:rsidTr="002E02E2">
        <w:trPr>
          <w:trHeight w:val="1806"/>
          <w:jc w:val="center"/>
        </w:trPr>
        <w:tc>
          <w:tcPr>
            <w:tcW w:w="817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DD629E">
              <w:rPr>
                <w:rFonts w:ascii="仿宋" w:eastAsia="仿宋" w:hAnsi="仿宋" w:hint="eastAsia"/>
                <w:bCs/>
                <w:sz w:val="24"/>
              </w:rPr>
              <w:t>包号</w:t>
            </w:r>
            <w:proofErr w:type="gramEnd"/>
          </w:p>
        </w:tc>
        <w:tc>
          <w:tcPr>
            <w:tcW w:w="1256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标的</w:t>
            </w:r>
            <w:r w:rsidRPr="00DD629E"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686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626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980" w:type="dxa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 w:hint="eastAsia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最高限价（万元）</w:t>
            </w:r>
          </w:p>
        </w:tc>
        <w:tc>
          <w:tcPr>
            <w:tcW w:w="1025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是否允许进口产品</w:t>
            </w:r>
          </w:p>
        </w:tc>
        <w:tc>
          <w:tcPr>
            <w:tcW w:w="1025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/>
                <w:bCs/>
                <w:sz w:val="24"/>
              </w:rPr>
              <w:t>是否属于优先采购节能产品</w:t>
            </w:r>
          </w:p>
        </w:tc>
        <w:tc>
          <w:tcPr>
            <w:tcW w:w="1025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是否属于强制采购节能产品</w:t>
            </w:r>
          </w:p>
        </w:tc>
        <w:tc>
          <w:tcPr>
            <w:tcW w:w="1082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是否属于优先采购环境标志产品</w:t>
            </w:r>
          </w:p>
        </w:tc>
      </w:tr>
      <w:tr w:rsidR="006E4A0C" w:rsidRPr="00DD629E" w:rsidTr="002E02E2">
        <w:trPr>
          <w:trHeight w:val="970"/>
          <w:jc w:val="center"/>
        </w:trPr>
        <w:tc>
          <w:tcPr>
            <w:tcW w:w="817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01包</w:t>
            </w:r>
          </w:p>
        </w:tc>
        <w:tc>
          <w:tcPr>
            <w:tcW w:w="1256" w:type="dxa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sz w:val="24"/>
              </w:rPr>
              <w:t>一氧化氮分析仪</w:t>
            </w:r>
          </w:p>
        </w:tc>
        <w:tc>
          <w:tcPr>
            <w:tcW w:w="686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626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1套</w:t>
            </w:r>
          </w:p>
        </w:tc>
        <w:tc>
          <w:tcPr>
            <w:tcW w:w="980" w:type="dxa"/>
          </w:tcPr>
          <w:p w:rsidR="006E4A0C" w:rsidRPr="00DD629E" w:rsidRDefault="006E4A0C" w:rsidP="002E02E2">
            <w:pPr>
              <w:pStyle w:val="a3"/>
              <w:spacing w:line="600" w:lineRule="auto"/>
              <w:ind w:firstLineChars="0"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DD629E">
              <w:rPr>
                <w:rFonts w:ascii="仿宋" w:eastAsia="仿宋" w:hAnsi="仿宋" w:hint="eastAsia"/>
                <w:sz w:val="24"/>
              </w:rPr>
              <w:t>0.88</w:t>
            </w:r>
          </w:p>
        </w:tc>
        <w:tc>
          <w:tcPr>
            <w:tcW w:w="1025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82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</w:tr>
      <w:tr w:rsidR="006E4A0C" w:rsidRPr="00DD629E" w:rsidTr="002E02E2">
        <w:trPr>
          <w:trHeight w:val="565"/>
          <w:jc w:val="center"/>
        </w:trPr>
        <w:tc>
          <w:tcPr>
            <w:tcW w:w="817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02包</w:t>
            </w:r>
          </w:p>
        </w:tc>
        <w:tc>
          <w:tcPr>
            <w:tcW w:w="1256" w:type="dxa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sz w:val="24"/>
              </w:rPr>
              <w:t>全自动电化学分析仪</w:t>
            </w:r>
          </w:p>
        </w:tc>
        <w:tc>
          <w:tcPr>
            <w:tcW w:w="686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626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2套</w:t>
            </w:r>
          </w:p>
        </w:tc>
        <w:tc>
          <w:tcPr>
            <w:tcW w:w="980" w:type="dxa"/>
          </w:tcPr>
          <w:p w:rsidR="006E4A0C" w:rsidRPr="00DD629E" w:rsidRDefault="006E4A0C" w:rsidP="002E02E2">
            <w:pPr>
              <w:pStyle w:val="a3"/>
              <w:spacing w:line="600" w:lineRule="auto"/>
              <w:ind w:firstLineChars="0" w:firstLine="0"/>
              <w:jc w:val="center"/>
              <w:rPr>
                <w:rFonts w:ascii="仿宋" w:eastAsia="仿宋" w:hAnsi="仿宋" w:hint="eastAsia"/>
                <w:sz w:val="24"/>
              </w:rPr>
            </w:pPr>
            <w:r w:rsidRPr="00DD629E">
              <w:rPr>
                <w:rFonts w:ascii="仿宋" w:eastAsia="仿宋" w:hAnsi="仿宋" w:hint="eastAsia"/>
                <w:sz w:val="24"/>
              </w:rPr>
              <w:t>9.2</w:t>
            </w:r>
          </w:p>
        </w:tc>
        <w:tc>
          <w:tcPr>
            <w:tcW w:w="1025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25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  <w:tc>
          <w:tcPr>
            <w:tcW w:w="1082" w:type="dxa"/>
            <w:vAlign w:val="center"/>
          </w:tcPr>
          <w:p w:rsidR="006E4A0C" w:rsidRPr="00DD629E" w:rsidRDefault="006E4A0C" w:rsidP="002E02E2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D629E"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</w:tr>
    </w:tbl>
    <w:p w:rsidR="006E4A0C" w:rsidRPr="00DD629E" w:rsidRDefault="006E4A0C" w:rsidP="006E4A0C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DD629E">
        <w:rPr>
          <w:rFonts w:ascii="仿宋" w:eastAsia="仿宋" w:hAnsi="仿宋" w:hint="eastAsia"/>
          <w:sz w:val="24"/>
        </w:rPr>
        <w:t>★</w:t>
      </w:r>
      <w:r w:rsidRPr="00DD629E">
        <w:rPr>
          <w:rFonts w:ascii="仿宋" w:eastAsia="仿宋" w:hAnsi="仿宋" w:hint="eastAsia"/>
          <w:sz w:val="24"/>
          <w:szCs w:val="24"/>
        </w:rPr>
        <w:t>（二）. 商务要求</w:t>
      </w:r>
    </w:p>
    <w:p w:rsidR="006E4A0C" w:rsidRPr="00DD629E" w:rsidRDefault="006E4A0C" w:rsidP="006E4A0C">
      <w:pPr>
        <w:pStyle w:val="a3"/>
        <w:spacing w:line="400" w:lineRule="exact"/>
        <w:ind w:firstLine="482"/>
        <w:rPr>
          <w:rFonts w:ascii="仿宋" w:eastAsia="仿宋" w:hAnsi="仿宋" w:cs="宋体" w:hint="eastAsia"/>
          <w:b/>
          <w:bCs/>
          <w:sz w:val="24"/>
        </w:rPr>
      </w:pPr>
      <w:r w:rsidRPr="00DD629E">
        <w:rPr>
          <w:rFonts w:ascii="仿宋" w:eastAsia="仿宋" w:hAnsi="仿宋" w:cs="宋体" w:hint="eastAsia"/>
          <w:b/>
          <w:bCs/>
          <w:sz w:val="24"/>
        </w:rPr>
        <w:t>1.交货要求及质保期：</w:t>
      </w:r>
    </w:p>
    <w:p w:rsidR="006E4A0C" w:rsidRPr="00DD629E" w:rsidRDefault="006E4A0C" w:rsidP="006E4A0C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1.1交货期：合同签订后且在采购人通知场地具备安装条件后90天内完成送货、安装调试及验收；</w:t>
      </w:r>
    </w:p>
    <w:p w:rsidR="006E4A0C" w:rsidRPr="00DD629E" w:rsidRDefault="006E4A0C" w:rsidP="006E4A0C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1.2交货地点：采购人指定地点；</w:t>
      </w:r>
    </w:p>
    <w:p w:rsidR="006E4A0C" w:rsidRPr="00DD629E" w:rsidRDefault="006E4A0C" w:rsidP="006E4A0C">
      <w:pPr>
        <w:pStyle w:val="a4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1.3质保期：中标人所提供设备在验收</w:t>
      </w:r>
      <w:proofErr w:type="gramStart"/>
      <w:r w:rsidRPr="00DD629E">
        <w:rPr>
          <w:rFonts w:ascii="仿宋" w:eastAsia="仿宋" w:hAnsi="仿宋" w:cs="宋体" w:hint="eastAsia"/>
          <w:sz w:val="24"/>
        </w:rPr>
        <w:t>合格后质保期</w:t>
      </w:r>
      <w:proofErr w:type="gramEnd"/>
      <w:r w:rsidRPr="00DD629E">
        <w:rPr>
          <w:rFonts w:ascii="仿宋" w:eastAsia="仿宋" w:hAnsi="仿宋" w:cs="宋体" w:hint="eastAsia"/>
          <w:sz w:val="24"/>
        </w:rPr>
        <w:t>需≥3年，质保期内所有配件更换、维修、软硬件升级维护均不再收取任何费用，相关费用均已以包含在投标报价中。质保期内若三个工作日内无法处理故障，设备无法恢复正常，中标人应提供备用机供医院使用，供备用机包含的所有费用包含在本次投标报价中。</w:t>
      </w:r>
    </w:p>
    <w:p w:rsidR="006E4A0C" w:rsidRPr="00DD629E" w:rsidRDefault="006E4A0C" w:rsidP="006E4A0C">
      <w:pPr>
        <w:pStyle w:val="a3"/>
        <w:spacing w:line="400" w:lineRule="exact"/>
        <w:ind w:firstLine="482"/>
        <w:rPr>
          <w:rFonts w:ascii="仿宋" w:eastAsia="仿宋" w:hAnsi="仿宋" w:cs="宋体" w:hint="eastAsia"/>
          <w:b/>
          <w:bCs/>
          <w:sz w:val="24"/>
        </w:rPr>
      </w:pPr>
      <w:r w:rsidRPr="00DD629E">
        <w:rPr>
          <w:rFonts w:ascii="仿宋" w:eastAsia="仿宋" w:hAnsi="仿宋" w:cs="宋体" w:hint="eastAsia"/>
          <w:b/>
          <w:bCs/>
          <w:sz w:val="24"/>
        </w:rPr>
        <w:t>2.付款方法和条件：</w:t>
      </w:r>
    </w:p>
    <w:p w:rsidR="006E4A0C" w:rsidRPr="00DD629E" w:rsidRDefault="006E4A0C" w:rsidP="006E4A0C">
      <w:pPr>
        <w:pStyle w:val="a3"/>
        <w:spacing w:line="400" w:lineRule="exact"/>
        <w:ind w:firstLine="480"/>
        <w:rPr>
          <w:rFonts w:ascii="仿宋" w:eastAsia="仿宋" w:hAnsi="仿宋" w:cs="宋体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采购人采取分期付款的方式。货到安装、调试并经采购人验收合格后，中标</w:t>
      </w:r>
      <w:r w:rsidRPr="00DD629E">
        <w:rPr>
          <w:rFonts w:ascii="仿宋" w:eastAsia="仿宋" w:hAnsi="仿宋" w:cs="宋体" w:hint="eastAsia"/>
          <w:sz w:val="24"/>
        </w:rPr>
        <w:lastRenderedPageBreak/>
        <w:t>人向采购人出具全额增值税发票进行支付结算。采购人接收到中标人发票后，30日内支付合同总价的60%，验收后12个月无质量问题支付合同总价的30%，质保期满后支付合同总价的10%。</w:t>
      </w:r>
    </w:p>
    <w:p w:rsidR="006E4A0C" w:rsidRPr="00DD629E" w:rsidRDefault="006E4A0C" w:rsidP="006E4A0C">
      <w:pPr>
        <w:pStyle w:val="a3"/>
        <w:spacing w:line="400" w:lineRule="exact"/>
        <w:ind w:firstLine="482"/>
        <w:rPr>
          <w:rFonts w:ascii="仿宋" w:eastAsia="仿宋" w:hAnsi="仿宋" w:cs="宋体" w:hint="eastAsia"/>
          <w:b/>
          <w:bCs/>
          <w:sz w:val="24"/>
        </w:rPr>
      </w:pPr>
      <w:r w:rsidRPr="00DD629E">
        <w:rPr>
          <w:rFonts w:ascii="仿宋" w:eastAsia="仿宋" w:hAnsi="仿宋" w:cs="宋体" w:hint="eastAsia"/>
          <w:b/>
          <w:bCs/>
          <w:sz w:val="24"/>
        </w:rPr>
        <w:t>3.送货、安装和调试要求：</w:t>
      </w:r>
    </w:p>
    <w:p w:rsidR="006E4A0C" w:rsidRPr="00DD629E" w:rsidRDefault="006E4A0C" w:rsidP="006E4A0C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3.1 中标人自行承担所有设备设施的包装运输、收发货、存放、配套安装、调试、验收等所有费用。</w:t>
      </w:r>
    </w:p>
    <w:p w:rsidR="006E4A0C" w:rsidRPr="00DD629E" w:rsidRDefault="006E4A0C" w:rsidP="006E4A0C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3.2 费用应包含我院使用的内部第三方软件系统对接接口费用（比如PACS、HIS、LIS等系统），由中标设备供应商与我院使用的第三方软件公司具体对接，费用由中标供应商直接支付给第三方软件公司。</w:t>
      </w:r>
    </w:p>
    <w:p w:rsidR="006E4A0C" w:rsidRPr="00DD629E" w:rsidRDefault="006E4A0C" w:rsidP="006E4A0C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3.3中标人应保证货物包装符合国家规定，运输方式、保险方式由中标人自行确定。提供的产品涉及商品包装和快递包装的，应严格按照《商品包装政府采购需求标准(试行)》、《快递包装政府采购需求标准(试行)》(财办库〔2020〕123 号)的要求进行产品及相关快递服务的包装。</w:t>
      </w:r>
    </w:p>
    <w:p w:rsidR="006E4A0C" w:rsidRPr="00DD629E" w:rsidRDefault="006E4A0C" w:rsidP="006E4A0C">
      <w:pPr>
        <w:spacing w:line="400" w:lineRule="exact"/>
        <w:ind w:firstLineChars="200" w:firstLine="482"/>
        <w:rPr>
          <w:rFonts w:ascii="仿宋" w:eastAsia="仿宋" w:hAnsi="仿宋" w:cs="宋体" w:hint="eastAsia"/>
          <w:b/>
          <w:bCs/>
          <w:sz w:val="24"/>
        </w:rPr>
      </w:pPr>
      <w:r w:rsidRPr="00DD629E">
        <w:rPr>
          <w:rFonts w:ascii="仿宋" w:eastAsia="仿宋" w:hAnsi="仿宋" w:cs="宋体" w:hint="eastAsia"/>
          <w:b/>
          <w:bCs/>
          <w:sz w:val="24"/>
        </w:rPr>
        <w:t>4.验收要求：</w:t>
      </w:r>
    </w:p>
    <w:p w:rsidR="006E4A0C" w:rsidRPr="00DD629E" w:rsidRDefault="006E4A0C" w:rsidP="006E4A0C">
      <w:pPr>
        <w:spacing w:line="400" w:lineRule="exact"/>
        <w:ind w:firstLineChars="200"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 xml:space="preserve">4.1 按照《财政部关于进一步加强政府采购需求和履约验收管理的指导意见》（财办库〔2016〕205 号）要求进行验收，或以合同另行约定为准。 </w:t>
      </w:r>
    </w:p>
    <w:p w:rsidR="006E4A0C" w:rsidRPr="00DD629E" w:rsidRDefault="006E4A0C" w:rsidP="006E4A0C">
      <w:pPr>
        <w:spacing w:line="400" w:lineRule="exact"/>
        <w:ind w:firstLineChars="200"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4.2 中标人须在投标文件中单独提供配置清单，并保证清单中的组件名称、型号与生产厂家技术资料（医疗器械注册证、说明书、装箱清单、技术白皮书等）相符合，采购人将以此为依据进行验收。</w:t>
      </w:r>
    </w:p>
    <w:p w:rsidR="006E4A0C" w:rsidRPr="00DD629E" w:rsidRDefault="006E4A0C" w:rsidP="006E4A0C">
      <w:pPr>
        <w:pStyle w:val="a3"/>
        <w:spacing w:line="400" w:lineRule="exact"/>
        <w:ind w:firstLine="482"/>
        <w:rPr>
          <w:rFonts w:ascii="仿宋" w:eastAsia="仿宋" w:hAnsi="仿宋" w:cs="宋体" w:hint="eastAsia"/>
          <w:b/>
          <w:bCs/>
          <w:sz w:val="24"/>
        </w:rPr>
      </w:pPr>
      <w:r w:rsidRPr="00DD629E">
        <w:rPr>
          <w:rFonts w:ascii="仿宋" w:eastAsia="仿宋" w:hAnsi="仿宋" w:cs="宋体" w:hint="eastAsia"/>
          <w:b/>
          <w:bCs/>
          <w:sz w:val="24"/>
        </w:rPr>
        <w:t>5.售后服务及培训要求：</w:t>
      </w:r>
    </w:p>
    <w:p w:rsidR="006E4A0C" w:rsidRPr="00DD629E" w:rsidRDefault="006E4A0C" w:rsidP="006E4A0C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5.1设备发生故障时，中标人接到通知后30分钟内提供电话等服务响应，8小时内到达现场维修。</w:t>
      </w:r>
    </w:p>
    <w:p w:rsidR="006E4A0C" w:rsidRPr="00DD629E" w:rsidRDefault="006E4A0C" w:rsidP="006E4A0C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5.2设备质保期内开机率不低于95%。</w:t>
      </w:r>
    </w:p>
    <w:p w:rsidR="006E4A0C" w:rsidRPr="00DD629E" w:rsidRDefault="006E4A0C" w:rsidP="006E4A0C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5.3 零配件供应：中标人应保证设备安装验收后备件供应不少于8年。（质保期内更换配件产生的所有费用包含在本次投标报价中，质保期外另行协商解决）</w:t>
      </w:r>
    </w:p>
    <w:p w:rsidR="006E4A0C" w:rsidRPr="00DD629E" w:rsidRDefault="006E4A0C" w:rsidP="006E4A0C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5.4中标人提供24小时维修电话服务，且在投标时须提供工程师名单、联系电话、通讯地址及备件库地址和备件的目录，保证8小时响应采购方的服务要求。</w:t>
      </w:r>
    </w:p>
    <w:p w:rsidR="006E4A0C" w:rsidRPr="00DD629E" w:rsidRDefault="006E4A0C" w:rsidP="006E4A0C">
      <w:pPr>
        <w:pStyle w:val="a3"/>
        <w:spacing w:line="400" w:lineRule="exact"/>
        <w:ind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5.5中标人或投标产品生产厂家的售后服务机构在对设备进行保养、维修后，须向医学装备部提供经使用人员确认的纸质报告。</w:t>
      </w:r>
    </w:p>
    <w:p w:rsidR="006E4A0C" w:rsidRPr="00DD629E" w:rsidRDefault="006E4A0C" w:rsidP="006E4A0C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DD629E">
        <w:rPr>
          <w:rFonts w:ascii="仿宋" w:eastAsia="仿宋" w:hAnsi="仿宋" w:hint="eastAsia"/>
          <w:sz w:val="24"/>
          <w:szCs w:val="24"/>
        </w:rPr>
        <w:lastRenderedPageBreak/>
        <w:t>（三）.技术、服务要求</w:t>
      </w:r>
      <w:bookmarkEnd w:id="2"/>
    </w:p>
    <w:p w:rsidR="006E4A0C" w:rsidRPr="00DD629E" w:rsidRDefault="006E4A0C" w:rsidP="006E4A0C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 w:rsidRPr="00DD629E">
        <w:rPr>
          <w:rFonts w:ascii="仿宋" w:eastAsia="仿宋" w:hAnsi="仿宋" w:hint="eastAsia"/>
          <w:sz w:val="24"/>
          <w:szCs w:val="24"/>
        </w:rPr>
        <w:t>01包 一氧化氮分析仪</w:t>
      </w:r>
    </w:p>
    <w:p w:rsidR="006E4A0C" w:rsidRPr="00DD629E" w:rsidRDefault="006E4A0C" w:rsidP="006E4A0C">
      <w:pPr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1、参数要求：</w:t>
      </w:r>
    </w:p>
    <w:p w:rsidR="006E4A0C" w:rsidRPr="00DD629E" w:rsidRDefault="006E4A0C" w:rsidP="006E4A0C">
      <w:pPr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1.1呼气流速范围：50ml/秒 ；200ml/秒。</w:t>
      </w:r>
      <w:bookmarkStart w:id="3" w:name="RANGE!B11"/>
    </w:p>
    <w:p w:rsidR="006E4A0C" w:rsidRPr="00DD629E" w:rsidRDefault="006E4A0C" w:rsidP="006E4A0C">
      <w:pPr>
        <w:spacing w:line="360" w:lineRule="auto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▲1.2检测范围</w:t>
      </w:r>
      <w:bookmarkEnd w:id="3"/>
      <w:r w:rsidRPr="00DD629E">
        <w:rPr>
          <w:rFonts w:ascii="仿宋" w:eastAsia="仿宋" w:hAnsi="仿宋" w:cs="宋体" w:hint="eastAsia"/>
          <w:sz w:val="24"/>
        </w:rPr>
        <w:t>：1～3100ppb。</w:t>
      </w:r>
      <w:bookmarkStart w:id="4" w:name="RANGE!B12"/>
    </w:p>
    <w:p w:rsidR="006E4A0C" w:rsidRPr="00DD629E" w:rsidRDefault="006E4A0C" w:rsidP="006E4A0C">
      <w:pPr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1.3呼气时间</w:t>
      </w:r>
      <w:bookmarkEnd w:id="4"/>
      <w:r w:rsidRPr="00DD629E">
        <w:rPr>
          <w:rFonts w:ascii="仿宋" w:eastAsia="仿宋" w:hAnsi="仿宋" w:cs="宋体" w:hint="eastAsia"/>
          <w:sz w:val="24"/>
        </w:rPr>
        <w:t>：10秒（成人模式）、6秒 (儿童模式)。</w:t>
      </w:r>
    </w:p>
    <w:p w:rsidR="006E4A0C" w:rsidRPr="00DD629E" w:rsidRDefault="006E4A0C" w:rsidP="006E4A0C">
      <w:pPr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1.4分析时间：≤60s。</w:t>
      </w:r>
    </w:p>
    <w:p w:rsidR="006E4A0C" w:rsidRPr="00DD629E" w:rsidRDefault="006E4A0C" w:rsidP="006E4A0C">
      <w:pPr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1.5质量控制：仪器开机自动校准。</w:t>
      </w:r>
    </w:p>
    <w:p w:rsidR="006E4A0C" w:rsidRPr="00DD629E" w:rsidRDefault="006E4A0C" w:rsidP="006E4A0C">
      <w:pPr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2、仪器性能要求：10.1寸及以上显示屏。内置热敏打印及外接打印功能。</w:t>
      </w:r>
    </w:p>
    <w:p w:rsidR="006E4A0C" w:rsidRPr="00DD629E" w:rsidRDefault="006E4A0C" w:rsidP="006E4A0C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 w:rsidRPr="00DD629E">
        <w:rPr>
          <w:rFonts w:ascii="仿宋" w:eastAsia="仿宋" w:hAnsi="仿宋" w:hint="eastAsia"/>
          <w:sz w:val="24"/>
          <w:szCs w:val="24"/>
        </w:rPr>
        <w:t xml:space="preserve">02包 </w:t>
      </w:r>
      <w:r w:rsidRPr="00DD629E">
        <w:rPr>
          <w:rFonts w:ascii="仿宋" w:eastAsia="仿宋" w:hAnsi="仿宋"/>
          <w:sz w:val="24"/>
          <w:szCs w:val="24"/>
        </w:rPr>
        <w:t xml:space="preserve"> </w:t>
      </w:r>
      <w:r w:rsidRPr="00DD629E">
        <w:rPr>
          <w:rFonts w:ascii="仿宋" w:eastAsia="仿宋" w:hAnsi="仿宋" w:hint="eastAsia"/>
          <w:sz w:val="24"/>
          <w:szCs w:val="24"/>
        </w:rPr>
        <w:t>全自动电化学分析仪</w:t>
      </w:r>
    </w:p>
    <w:p w:rsidR="006E4A0C" w:rsidRPr="00DD629E" w:rsidRDefault="006E4A0C" w:rsidP="006E4A0C">
      <w:pPr>
        <w:snapToGrid w:val="0"/>
        <w:spacing w:line="360" w:lineRule="auto"/>
        <w:ind w:firstLineChars="100" w:firstLine="240"/>
        <w:rPr>
          <w:rFonts w:ascii="仿宋" w:eastAsia="仿宋" w:hAnsi="仿宋" w:cs="宋体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▲1、最大检测速度≥580测试/小时，检测时间≤10min；</w:t>
      </w:r>
    </w:p>
    <w:p w:rsidR="006E4A0C" w:rsidRPr="00DD629E" w:rsidRDefault="006E4A0C" w:rsidP="006E4A0C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2、分析方法：电化学免疫发光法；</w:t>
      </w:r>
    </w:p>
    <w:p w:rsidR="006E4A0C" w:rsidRPr="00DD629E" w:rsidRDefault="006E4A0C" w:rsidP="006E4A0C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▲3、进样轨道：后置式轨道三线多通道，专用急诊通道，急诊优先插入，支持自动稀释和自动重测；</w:t>
      </w:r>
    </w:p>
    <w:p w:rsidR="006E4A0C" w:rsidRPr="00DD629E" w:rsidRDefault="006E4A0C" w:rsidP="006E4A0C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4、进样仓容量：一次性可同时放入不低于150个样本；</w:t>
      </w:r>
    </w:p>
    <w:p w:rsidR="006E4A0C" w:rsidRPr="00DD629E" w:rsidRDefault="006E4A0C" w:rsidP="006E4A0C">
      <w:pPr>
        <w:snapToGrid w:val="0"/>
        <w:spacing w:line="360" w:lineRule="auto"/>
        <w:ind w:firstLineChars="100" w:firstLine="240"/>
        <w:rPr>
          <w:rFonts w:ascii="仿宋" w:eastAsia="仿宋" w:hAnsi="仿宋" w:cs="宋体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▲5、</w:t>
      </w:r>
      <w:proofErr w:type="gramStart"/>
      <w:r w:rsidRPr="00DD629E">
        <w:rPr>
          <w:rFonts w:ascii="仿宋" w:eastAsia="仿宋" w:hAnsi="仿宋" w:cs="宋体" w:hint="eastAsia"/>
          <w:sz w:val="24"/>
        </w:rPr>
        <w:t>样本吸样头</w:t>
      </w:r>
      <w:proofErr w:type="gramEnd"/>
      <w:r w:rsidRPr="00DD629E">
        <w:rPr>
          <w:rFonts w:ascii="仿宋" w:eastAsia="仿宋" w:hAnsi="仿宋" w:cs="宋体" w:hint="eastAsia"/>
          <w:sz w:val="24"/>
        </w:rPr>
        <w:t>：一次性TIP头；</w:t>
      </w:r>
    </w:p>
    <w:p w:rsidR="006E4A0C" w:rsidRPr="00DD629E" w:rsidRDefault="006E4A0C" w:rsidP="006E4A0C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6、样本针：液面检测、防撞检测、</w:t>
      </w:r>
      <w:proofErr w:type="gramStart"/>
      <w:r w:rsidRPr="00DD629E">
        <w:rPr>
          <w:rFonts w:ascii="仿宋" w:eastAsia="仿宋" w:hAnsi="仿宋" w:cs="宋体" w:hint="eastAsia"/>
          <w:sz w:val="24"/>
        </w:rPr>
        <w:t>堵针检测</w:t>
      </w:r>
      <w:proofErr w:type="gramEnd"/>
      <w:r w:rsidRPr="00DD629E">
        <w:rPr>
          <w:rFonts w:ascii="仿宋" w:eastAsia="仿宋" w:hAnsi="仿宋" w:cs="宋体" w:hint="eastAsia"/>
          <w:sz w:val="24"/>
        </w:rPr>
        <w:t>、空吸检测</w:t>
      </w:r>
    </w:p>
    <w:p w:rsidR="006E4A0C" w:rsidRPr="00DD629E" w:rsidRDefault="006E4A0C" w:rsidP="006E4A0C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7、样本类型：血清、血浆</w:t>
      </w:r>
    </w:p>
    <w:p w:rsidR="006E4A0C" w:rsidRPr="00DD629E" w:rsidRDefault="006E4A0C" w:rsidP="006E4A0C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8、样本</w:t>
      </w:r>
      <w:proofErr w:type="gramStart"/>
      <w:r w:rsidRPr="00DD629E">
        <w:rPr>
          <w:rFonts w:ascii="仿宋" w:eastAsia="仿宋" w:hAnsi="仿宋" w:cs="宋体" w:hint="eastAsia"/>
          <w:sz w:val="24"/>
        </w:rPr>
        <w:t>吸样量</w:t>
      </w:r>
      <w:proofErr w:type="gramEnd"/>
      <w:r w:rsidRPr="00DD629E">
        <w:rPr>
          <w:rFonts w:ascii="仿宋" w:eastAsia="仿宋" w:hAnsi="仿宋" w:cs="宋体" w:hint="eastAsia"/>
          <w:sz w:val="24"/>
        </w:rPr>
        <w:t>：5~100 μL；</w:t>
      </w:r>
    </w:p>
    <w:p w:rsidR="006E4A0C" w:rsidRPr="00DD629E" w:rsidRDefault="006E4A0C" w:rsidP="006E4A0C">
      <w:pPr>
        <w:snapToGrid w:val="0"/>
        <w:spacing w:line="360" w:lineRule="auto"/>
        <w:ind w:firstLineChars="100" w:firstLine="24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▲9、试剂位：≥40个试剂盘位，至少6组独立进样通道；系统试剂</w:t>
      </w:r>
      <w:proofErr w:type="gramStart"/>
      <w:r w:rsidRPr="00DD629E">
        <w:rPr>
          <w:rFonts w:ascii="仿宋" w:eastAsia="仿宋" w:hAnsi="仿宋" w:cs="宋体" w:hint="eastAsia"/>
          <w:sz w:val="24"/>
        </w:rPr>
        <w:t>仓位</w:t>
      </w:r>
      <w:proofErr w:type="gramEnd"/>
      <w:r w:rsidRPr="00DD629E">
        <w:rPr>
          <w:rFonts w:ascii="仿宋" w:eastAsia="仿宋" w:hAnsi="仿宋" w:cs="宋体" w:hint="eastAsia"/>
          <w:sz w:val="24"/>
        </w:rPr>
        <w:t>≥6个；</w:t>
      </w:r>
    </w:p>
    <w:p w:rsidR="006E4A0C" w:rsidRPr="00DD629E" w:rsidRDefault="006E4A0C" w:rsidP="006E4A0C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10、试剂针：液面检测、防撞检测、气泡检测，</w:t>
      </w:r>
    </w:p>
    <w:p w:rsidR="006E4A0C" w:rsidRPr="00DD629E" w:rsidRDefault="006E4A0C" w:rsidP="006E4A0C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11、试剂针</w:t>
      </w:r>
      <w:proofErr w:type="gramStart"/>
      <w:r w:rsidRPr="00DD629E">
        <w:rPr>
          <w:rFonts w:ascii="仿宋" w:eastAsia="仿宋" w:hAnsi="仿宋" w:cs="宋体" w:hint="eastAsia"/>
          <w:sz w:val="24"/>
        </w:rPr>
        <w:t>吸样量</w:t>
      </w:r>
      <w:proofErr w:type="gramEnd"/>
      <w:r w:rsidRPr="00DD629E">
        <w:rPr>
          <w:rFonts w:ascii="仿宋" w:eastAsia="仿宋" w:hAnsi="仿宋" w:cs="宋体" w:hint="eastAsia"/>
          <w:sz w:val="24"/>
        </w:rPr>
        <w:t>：10~200 μL；</w:t>
      </w:r>
    </w:p>
    <w:p w:rsidR="006E4A0C" w:rsidRPr="00DD629E" w:rsidRDefault="006E4A0C" w:rsidP="006E4A0C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12、试剂更换：支持在线装载试剂；</w:t>
      </w:r>
    </w:p>
    <w:p w:rsidR="006E4A0C" w:rsidRPr="00DD629E" w:rsidRDefault="006E4A0C" w:rsidP="006E4A0C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13、反应杯：一次性反应杯，</w:t>
      </w:r>
      <w:proofErr w:type="gramStart"/>
      <w:r w:rsidRPr="00DD629E">
        <w:rPr>
          <w:rFonts w:ascii="仿宋" w:eastAsia="仿宋" w:hAnsi="仿宋" w:cs="宋体" w:hint="eastAsia"/>
          <w:sz w:val="24"/>
        </w:rPr>
        <w:t>反应杯可连续</w:t>
      </w:r>
      <w:proofErr w:type="gramEnd"/>
      <w:r w:rsidRPr="00DD629E">
        <w:rPr>
          <w:rFonts w:ascii="仿宋" w:eastAsia="仿宋" w:hAnsi="仿宋" w:cs="宋体" w:hint="eastAsia"/>
          <w:sz w:val="24"/>
        </w:rPr>
        <w:t>加载；</w:t>
      </w:r>
    </w:p>
    <w:p w:rsidR="006E4A0C" w:rsidRPr="00DD629E" w:rsidRDefault="006E4A0C" w:rsidP="006E4A0C">
      <w:pPr>
        <w:snapToGrid w:val="0"/>
        <w:spacing w:line="360" w:lineRule="auto"/>
        <w:ind w:firstLineChars="200" w:firstLine="480"/>
        <w:rPr>
          <w:rFonts w:ascii="仿宋" w:eastAsia="仿宋" w:hAnsi="仿宋" w:cs="宋体" w:hint="eastAsia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14、自动温控调节：温度波动≤0.2℃</w:t>
      </w:r>
    </w:p>
    <w:p w:rsidR="006E4A0C" w:rsidRPr="00DD629E" w:rsidRDefault="006E4A0C" w:rsidP="006E4A0C">
      <w:pPr>
        <w:snapToGrid w:val="0"/>
        <w:spacing w:line="360" w:lineRule="auto"/>
        <w:ind w:firstLineChars="100" w:firstLine="240"/>
        <w:rPr>
          <w:rFonts w:ascii="仿宋" w:eastAsia="仿宋" w:hAnsi="仿宋" w:cs="宋体"/>
          <w:sz w:val="24"/>
        </w:rPr>
      </w:pPr>
      <w:r w:rsidRPr="00DD629E">
        <w:rPr>
          <w:rFonts w:ascii="仿宋" w:eastAsia="仿宋" w:hAnsi="仿宋" w:cs="宋体" w:hint="eastAsia"/>
          <w:sz w:val="24"/>
        </w:rPr>
        <w:t>▲15、溯源性：符合国际量值溯源体系要求并可提供证明文件；</w:t>
      </w:r>
    </w:p>
    <w:p w:rsidR="00274BE1" w:rsidRPr="006E4A0C" w:rsidRDefault="00274BE1"/>
    <w:sectPr w:rsidR="00274BE1" w:rsidRPr="006E4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0C"/>
    <w:rsid w:val="00274BE1"/>
    <w:rsid w:val="006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25350-6DF1-4200-8028-F543D57C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6E4A0C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E4A0C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qFormat/>
    <w:rsid w:val="006E4A0C"/>
    <w:pPr>
      <w:spacing w:after="160" w:line="259" w:lineRule="auto"/>
      <w:ind w:firstLineChars="200" w:firstLine="200"/>
    </w:pPr>
    <w:rPr>
      <w:rFonts w:ascii="Calibri" w:eastAsia="宋体" w:hAnsi="Calibri" w:cs="Times New Roman"/>
      <w:szCs w:val="24"/>
    </w:rPr>
  </w:style>
  <w:style w:type="paragraph" w:styleId="a4">
    <w:name w:val="annotation text"/>
    <w:basedOn w:val="a"/>
    <w:link w:val="Char"/>
    <w:qFormat/>
    <w:rsid w:val="006E4A0C"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character" w:customStyle="1" w:styleId="Char">
    <w:name w:val="批注文字 Char"/>
    <w:basedOn w:val="a0"/>
    <w:link w:val="a4"/>
    <w:qFormat/>
    <w:rsid w:val="006E4A0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1616</Characters>
  <Application>Microsoft Office Word</Application>
  <DocSecurity>0</DocSecurity>
  <Lines>13</Lines>
  <Paragraphs>3</Paragraphs>
  <ScaleCrop>false</ScaleCrop>
  <Company>P R C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钟承兰</dc:creator>
  <cp:keywords/>
  <dc:description/>
  <cp:lastModifiedBy>钟承兰</cp:lastModifiedBy>
  <cp:revision>1</cp:revision>
  <dcterms:created xsi:type="dcterms:W3CDTF">2022-10-31T08:21:00Z</dcterms:created>
  <dcterms:modified xsi:type="dcterms:W3CDTF">2022-10-31T08:21:00Z</dcterms:modified>
</cp:coreProperties>
</file>