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rPr>
          <w:rFonts w:hint="eastAsia"/>
          <w:b/>
          <w:sz w:val="28"/>
          <w:lang w:eastAsia="zh-CN"/>
        </w:rPr>
      </w:pPr>
      <w:bookmarkStart w:id="0" w:name="_GoBack"/>
      <w:bookmarkEnd w:id="0"/>
      <w:r>
        <w:rPr>
          <w:rFonts w:hint="eastAsia"/>
          <w:b/>
          <w:sz w:val="28"/>
          <w:lang w:eastAsia="zh-CN"/>
        </w:rPr>
        <w:t>采购需求</w:t>
      </w:r>
    </w:p>
    <w:p>
      <w:pPr>
        <w:pStyle w:val="4"/>
        <w:ind w:firstLine="480"/>
      </w:pPr>
    </w:p>
    <w:p>
      <w:pPr>
        <w:pStyle w:val="4"/>
        <w:ind w:firstLine="480"/>
      </w:pPr>
    </w:p>
    <w:p>
      <w:pPr>
        <w:pStyle w:val="4"/>
        <w:ind w:firstLine="480"/>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1"/>
      </w:pPr>
      <w:r>
        <w:rPr>
          <w:b/>
          <w:sz w:val="28"/>
        </w:rPr>
        <w:t>3.1、采购项目概况</w:t>
      </w:r>
    </w:p>
    <w:p>
      <w:pPr>
        <w:pStyle w:val="4"/>
      </w:pPr>
    </w:p>
    <w:p>
      <w:pPr>
        <w:pStyle w:val="4"/>
      </w:pPr>
      <w:r>
        <w:t>1.项目名称：自贡市贡井区农业农村局水产品质量安全抽检服务采购项目。 2.项目业主：自贡市贡井区农业农村局 3.项目概述：自贡市贡井区农业农村局拟采用竞争性磋商方式采购自贡市贡井区农业农村局水产品质量安全抽检服务，全面掌握自贡市贡井区水产品质量安全状况，进一步加强水产品质量安全监管。</w:t>
      </w:r>
    </w:p>
    <w:p>
      <w:pPr>
        <w:pStyle w:val="4"/>
        <w:outlineLvl w:val="1"/>
      </w:pPr>
      <w:r>
        <w:rPr>
          <w:b/>
          <w:sz w:val="28"/>
        </w:rPr>
        <w:t>3.2、服务内容及服务要求</w:t>
      </w:r>
    </w:p>
    <w:p>
      <w:pPr>
        <w:pStyle w:val="4"/>
        <w:outlineLvl w:val="2"/>
      </w:pPr>
      <w:r>
        <w:rPr>
          <w:b/>
          <w:sz w:val="24"/>
        </w:rPr>
        <w:t>3.2.1服务内容</w:t>
      </w:r>
    </w:p>
    <w:p>
      <w:pPr>
        <w:pStyle w:val="4"/>
      </w:pPr>
    </w:p>
    <w:p>
      <w:pPr>
        <w:pStyle w:val="4"/>
      </w:pPr>
    </w:p>
    <w:p>
      <w:pPr>
        <w:pStyle w:val="4"/>
      </w:pPr>
    </w:p>
    <w:p>
      <w:pPr>
        <w:pStyle w:val="4"/>
      </w:pPr>
      <w:r>
        <w:t>采购包1：</w:t>
      </w:r>
    </w:p>
    <w:p>
      <w:pPr>
        <w:pStyle w:val="4"/>
      </w:pPr>
      <w:r>
        <w:t>采购包预算金额（元）: 1,435,800.00</w:t>
      </w:r>
    </w:p>
    <w:p>
      <w:pPr>
        <w:pStyle w:val="4"/>
      </w:pPr>
      <w:r>
        <w:t>采购包最高限价（元）: 1,435,800.00</w:t>
      </w:r>
    </w:p>
    <w:p>
      <w:pPr>
        <w:pStyle w:val="4"/>
      </w:pPr>
      <w:r>
        <w:t>供应商报价不允许超过标的限价</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5"/>
        <w:gridCol w:w="795"/>
        <w:gridCol w:w="810"/>
        <w:gridCol w:w="1332"/>
        <w:gridCol w:w="795"/>
        <w:gridCol w:w="814"/>
        <w:gridCol w:w="795"/>
        <w:gridCol w:w="795"/>
        <w:gridCol w:w="795"/>
        <w:gridCol w:w="7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标的预算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自贡市贡井区农业农村局水产品质量安全抽检服务</w:t>
            </w:r>
          </w:p>
        </w:tc>
        <w:tc>
          <w:tcPr>
            <w:tcW w:w="831" w:type="dxa"/>
          </w:tcPr>
          <w:p>
            <w:pPr>
              <w:jc w:val="right"/>
            </w:pPr>
            <w:r>
              <w:t>1.00</w:t>
            </w:r>
          </w:p>
        </w:tc>
        <w:tc>
          <w:tcPr>
            <w:tcW w:w="831" w:type="dxa"/>
          </w:tcPr>
          <w:p>
            <w:pPr>
              <w:jc w:val="right"/>
            </w:pPr>
            <w:r>
              <w:t>1,435,800.00</w:t>
            </w:r>
          </w:p>
        </w:tc>
        <w:tc>
          <w:tcPr>
            <w:tcW w:w="831" w:type="dxa"/>
          </w:tcPr>
          <w:p>
            <w:r>
              <w:t>批</w:t>
            </w:r>
          </w:p>
        </w:tc>
        <w:tc>
          <w:tcPr>
            <w:tcW w:w="831" w:type="dxa"/>
          </w:tcPr>
          <w:p>
            <w:r>
              <w:t>农、林、牧、渔业</w:t>
            </w:r>
          </w:p>
        </w:tc>
        <w:tc>
          <w:tcPr>
            <w:tcW w:w="831" w:type="dxa"/>
          </w:tcPr>
          <w:p>
            <w:r>
              <w:t>否</w:t>
            </w:r>
          </w:p>
        </w:tc>
        <w:tc>
          <w:tcPr>
            <w:tcW w:w="831" w:type="dxa"/>
          </w:tcPr>
          <w:p>
            <w:r>
              <w:t>否</w:t>
            </w:r>
          </w:p>
        </w:tc>
        <w:tc>
          <w:tcPr>
            <w:tcW w:w="831" w:type="dxa"/>
          </w:tcPr>
          <w:p>
            <w:r>
              <w:t>否</w:t>
            </w:r>
          </w:p>
        </w:tc>
        <w:tc>
          <w:tcPr>
            <w:tcW w:w="831" w:type="dxa"/>
          </w:tcPr>
          <w:p>
            <w:r>
              <w:t>否</w:t>
            </w:r>
          </w:p>
        </w:tc>
      </w:tr>
    </w:tbl>
    <w:p>
      <w:pPr>
        <w:pStyle w:val="4"/>
        <w:outlineLvl w:val="2"/>
      </w:pPr>
      <w:r>
        <w:rPr>
          <w:b/>
          <w:sz w:val="28"/>
        </w:rPr>
        <w:t>3.2.2服务要求</w:t>
      </w:r>
    </w:p>
    <w:p>
      <w:pPr>
        <w:pStyle w:val="4"/>
      </w:pPr>
    </w:p>
    <w:p>
      <w:pPr>
        <w:pStyle w:val="4"/>
      </w:pPr>
    </w:p>
    <w:p>
      <w:pPr>
        <w:pStyle w:val="4"/>
      </w:pPr>
    </w:p>
    <w:p>
      <w:pPr>
        <w:pStyle w:val="4"/>
      </w:pPr>
      <w:r>
        <w:t>采购包1：</w:t>
      </w:r>
    </w:p>
    <w:p>
      <w:pPr>
        <w:pStyle w:val="4"/>
      </w:pPr>
      <w:r>
        <w:t>供应商报价不允许超过标的预算</w:t>
      </w:r>
    </w:p>
    <w:p>
      <w:pPr>
        <w:pStyle w:val="4"/>
      </w:pPr>
      <w:r>
        <w:t>（招单价的）供应商报价不允许超过标的单价</w:t>
      </w:r>
    </w:p>
    <w:p>
      <w:pPr>
        <w:pStyle w:val="4"/>
      </w:pPr>
    </w:p>
    <w:p>
      <w:pPr>
        <w:pStyle w:val="4"/>
      </w:pPr>
      <w:r>
        <w:t>标的名称：自贡市贡井区农业农村局水产品质量安全抽检服务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ind w:firstLine="480"/>
              <w:jc w:val="both"/>
            </w:pPr>
            <w:r>
              <w:rPr>
                <w:rFonts w:ascii="仿宋_gb2312" w:hAnsi="仿宋_gb2312" w:eastAsia="仿宋_gb2312" w:cs="仿宋_gb2312"/>
                <w:sz w:val="24"/>
              </w:rPr>
              <w:t>1、服务项目内容</w:t>
            </w:r>
          </w:p>
          <w:p>
            <w:pPr>
              <w:pStyle w:val="4"/>
              <w:ind w:firstLine="500"/>
              <w:jc w:val="both"/>
            </w:pPr>
            <w:r>
              <w:rPr>
                <w:rFonts w:ascii="仿宋" w:hAnsi="仿宋" w:eastAsia="仿宋" w:cs="仿宋"/>
                <w:sz w:val="24"/>
              </w:rPr>
              <w:t>1.1抽样快速检测数量共计4786个。检测项共四类7个指标，分别为：孔雀石绿、硝基呋喃类（4个指标）、氯霉素、氧氟沙星。</w:t>
            </w:r>
          </w:p>
          <w:p>
            <w:pPr>
              <w:pStyle w:val="4"/>
              <w:ind w:firstLine="500"/>
              <w:jc w:val="both"/>
            </w:pPr>
            <w:r>
              <w:rPr>
                <w:rFonts w:ascii="仿宋" w:hAnsi="仿宋" w:eastAsia="仿宋" w:cs="仿宋"/>
                <w:sz w:val="24"/>
              </w:rPr>
              <w:t>1.2所有检测由成交供应商按规定现场制样抽样并实验室完成检测工作。</w:t>
            </w:r>
          </w:p>
          <w:p>
            <w:pPr>
              <w:pStyle w:val="4"/>
              <w:jc w:val="left"/>
            </w:pPr>
            <w:r>
              <w:rPr>
                <w:rFonts w:ascii="仿宋" w:hAnsi="仿宋" w:eastAsia="仿宋" w:cs="仿宋"/>
                <w:sz w:val="24"/>
              </w:rPr>
              <w:t xml:space="preserve">  2.采样品种</w:t>
            </w:r>
          </w:p>
          <w:p>
            <w:pPr>
              <w:pStyle w:val="4"/>
              <w:ind w:firstLine="500"/>
              <w:jc w:val="left"/>
            </w:pPr>
            <w:r>
              <w:rPr>
                <w:rFonts w:ascii="仿宋" w:hAnsi="仿宋" w:eastAsia="仿宋" w:cs="仿宋"/>
                <w:sz w:val="24"/>
              </w:rPr>
              <w:t>2.1以鲢、鳙、草鱼、鲤、鲫、鲶、鮰、鲈、鳊鲂、泥鳅、黄颡鱼、乌鳢、鳜鱼、虾蟹类、蛙类等当地主养品种为主。</w:t>
            </w:r>
          </w:p>
          <w:p>
            <w:pPr>
              <w:pStyle w:val="4"/>
              <w:ind w:firstLine="500"/>
              <w:jc w:val="left"/>
            </w:pPr>
            <w:r>
              <w:rPr>
                <w:rFonts w:ascii="仿宋" w:hAnsi="仿宋" w:eastAsia="仿宋" w:cs="仿宋"/>
                <w:sz w:val="24"/>
              </w:rPr>
              <w:t>2.2 每个水产养殖基地检测1个主养品种。</w:t>
            </w:r>
          </w:p>
          <w:p>
            <w:pPr>
              <w:pStyle w:val="4"/>
              <w:ind w:firstLine="480"/>
              <w:jc w:val="both"/>
            </w:pPr>
            <w:r>
              <w:rPr>
                <w:rFonts w:ascii="仿宋" w:hAnsi="仿宋" w:eastAsia="仿宋" w:cs="仿宋"/>
                <w:sz w:val="24"/>
              </w:rPr>
              <w:t>3、采样、检测结果及总结分析报告要求</w:t>
            </w:r>
          </w:p>
          <w:p>
            <w:pPr>
              <w:pStyle w:val="4"/>
              <w:ind w:firstLine="480"/>
              <w:jc w:val="both"/>
            </w:pPr>
            <w:r>
              <w:rPr>
                <w:rFonts w:ascii="仿宋" w:hAnsi="仿宋" w:eastAsia="仿宋" w:cs="仿宋"/>
                <w:sz w:val="24"/>
              </w:rPr>
              <w:t>3.1成交供应商对所有检测样品抽样检测按照《水产品抽样规范》（GB/T 30891)执行，同时填写《四川省水产养殖基地质量安全快速检测抽样单》。</w:t>
            </w:r>
          </w:p>
          <w:p>
            <w:pPr>
              <w:pStyle w:val="4"/>
              <w:ind w:firstLine="480"/>
              <w:jc w:val="both"/>
            </w:pPr>
            <w:r>
              <w:rPr>
                <w:rFonts w:ascii="仿宋" w:hAnsi="仿宋" w:eastAsia="仿宋" w:cs="仿宋"/>
                <w:sz w:val="24"/>
              </w:rPr>
              <w:t>3.2供应商及时提供书面和电子版的检测结果报告、分析报告各两份，并同时提供检测结果汇总表的纸质版及Excel表格形式电子版。</w:t>
            </w:r>
          </w:p>
          <w:p>
            <w:pPr>
              <w:pStyle w:val="4"/>
              <w:jc w:val="both"/>
            </w:pPr>
            <w:r>
              <w:rPr>
                <w:rFonts w:ascii="仿宋" w:hAnsi="仿宋" w:eastAsia="仿宋" w:cs="仿宋"/>
                <w:sz w:val="24"/>
              </w:rPr>
              <w:t xml:space="preserve">  3.3 检测出阳性样品时，应第一时间通知采购人，并将不合格结果通知单和阳性样品检测报告一式两份邮寄给采购人。</w:t>
            </w:r>
          </w:p>
        </w:tc>
      </w:tr>
    </w:tbl>
    <w:p>
      <w:pPr>
        <w:pStyle w:val="4"/>
        <w:outlineLvl w:val="2"/>
      </w:pPr>
      <w:r>
        <w:rPr>
          <w:b/>
          <w:sz w:val="28"/>
        </w:rPr>
        <w:t>3.2.3人员配置要求</w:t>
      </w:r>
    </w:p>
    <w:p>
      <w:pPr>
        <w:pStyle w:val="4"/>
      </w:pPr>
    </w:p>
    <w:p>
      <w:pPr>
        <w:pStyle w:val="4"/>
      </w:pPr>
    </w:p>
    <w:p>
      <w:pPr>
        <w:pStyle w:val="4"/>
      </w:pPr>
    </w:p>
    <w:p>
      <w:pPr>
        <w:pStyle w:val="4"/>
      </w:pPr>
      <w:r>
        <w:t>采购包1：</w:t>
      </w:r>
    </w:p>
    <w:p>
      <w:pPr>
        <w:pStyle w:val="4"/>
      </w:pPr>
      <w:r>
        <w:t>详见综合评分表</w:t>
      </w:r>
    </w:p>
    <w:p>
      <w:pPr>
        <w:pStyle w:val="4"/>
        <w:outlineLvl w:val="2"/>
      </w:pPr>
      <w:r>
        <w:rPr>
          <w:b/>
          <w:sz w:val="28"/>
        </w:rPr>
        <w:t>3.2.4设施设备要求</w:t>
      </w:r>
    </w:p>
    <w:p>
      <w:pPr>
        <w:pStyle w:val="4"/>
      </w:pPr>
    </w:p>
    <w:p>
      <w:pPr>
        <w:pStyle w:val="4"/>
      </w:pPr>
    </w:p>
    <w:p>
      <w:pPr>
        <w:pStyle w:val="4"/>
      </w:pPr>
    </w:p>
    <w:p>
      <w:pPr>
        <w:pStyle w:val="4"/>
      </w:pPr>
      <w:r>
        <w:t>采购包1：</w:t>
      </w:r>
    </w:p>
    <w:p>
      <w:pPr>
        <w:pStyle w:val="4"/>
      </w:pPr>
      <w:r>
        <w:t>详见综合评分表</w:t>
      </w:r>
    </w:p>
    <w:p>
      <w:pPr>
        <w:pStyle w:val="4"/>
        <w:outlineLvl w:val="2"/>
      </w:pPr>
      <w:r>
        <w:rPr>
          <w:b/>
          <w:sz w:val="28"/>
        </w:rPr>
        <w:t>3.2.5其他要求</w:t>
      </w:r>
    </w:p>
    <w:p>
      <w:pPr>
        <w:pStyle w:val="4"/>
      </w:pPr>
    </w:p>
    <w:p>
      <w:pPr>
        <w:pStyle w:val="4"/>
      </w:pPr>
    </w:p>
    <w:p>
      <w:pPr>
        <w:pStyle w:val="4"/>
      </w:pPr>
    </w:p>
    <w:p>
      <w:pPr>
        <w:pStyle w:val="4"/>
      </w:pPr>
      <w:r>
        <w:t>采购包1：</w:t>
      </w:r>
    </w:p>
    <w:p>
      <w:pPr>
        <w:pStyle w:val="4"/>
      </w:pPr>
      <w:r>
        <w:t>无：</w:t>
      </w:r>
    </w:p>
    <w:p>
      <w:pPr>
        <w:pStyle w:val="4"/>
        <w:outlineLvl w:val="1"/>
      </w:pPr>
      <w:r>
        <w:rPr>
          <w:b/>
          <w:sz w:val="28"/>
        </w:rPr>
        <w:t>3.3、商务要求</w:t>
      </w:r>
    </w:p>
    <w:p>
      <w:pPr>
        <w:pStyle w:val="4"/>
        <w:outlineLvl w:val="2"/>
      </w:pPr>
      <w:r>
        <w:rPr>
          <w:b/>
          <w:sz w:val="24"/>
        </w:rPr>
        <w:t>3.3.1服务期限</w:t>
      </w:r>
    </w:p>
    <w:p>
      <w:pPr>
        <w:pStyle w:val="4"/>
      </w:pPr>
    </w:p>
    <w:p>
      <w:pPr>
        <w:pStyle w:val="4"/>
      </w:pPr>
    </w:p>
    <w:p>
      <w:pPr>
        <w:pStyle w:val="4"/>
      </w:pPr>
    </w:p>
    <w:p>
      <w:pPr>
        <w:pStyle w:val="4"/>
      </w:pPr>
      <w:r>
        <w:t>采购包1：</w:t>
      </w:r>
    </w:p>
    <w:p>
      <w:pPr>
        <w:pStyle w:val="4"/>
      </w:pPr>
      <w:r>
        <w:t>自合同签订之日起30日</w:t>
      </w:r>
    </w:p>
    <w:p>
      <w:pPr>
        <w:pStyle w:val="4"/>
        <w:outlineLvl w:val="2"/>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2"/>
      </w:pPr>
      <w:r>
        <w:rPr>
          <w:b/>
          <w:sz w:val="24"/>
        </w:rPr>
        <w:t>3.3.3考核（验收）标准和方法</w:t>
      </w:r>
    </w:p>
    <w:p>
      <w:pPr>
        <w:pStyle w:val="4"/>
      </w:pPr>
    </w:p>
    <w:p>
      <w:pPr>
        <w:pStyle w:val="4"/>
      </w:pPr>
    </w:p>
    <w:p>
      <w:pPr>
        <w:pStyle w:val="4"/>
      </w:pPr>
    </w:p>
    <w:p>
      <w:pPr>
        <w:pStyle w:val="4"/>
      </w:pPr>
      <w:r>
        <w:t>采购包1：</w:t>
      </w:r>
    </w:p>
    <w:p>
      <w:pPr>
        <w:pStyle w:val="4"/>
      </w:pPr>
      <w:r>
        <w:t>成交供应商所出具的报告真实有效且符合国家其他相关的法律法规条款。成交供应商与采购人应严格按照《财政部关于进一步加强政府采购需求和履约验收管理的指导意见》(财库〔2016〕205 号)以及磋商文件的质量要求和技术指标、供应商的响应文件及承诺与本合同约定标准的要求进行验收。 二、交付成果必须符合规定的质量标准，有完整的资料，并具备国家规定的其他条件。经验收合格后，方可交付使用；未经验收或者验收不合格的，不得交付使用 三、验收结果合格的，采购人应向成交供应商出具履约验收报告，成交供应商凭验收报告办理相关手续。 四、验收结果不合格的，履约保证金将不予退还，给采购人造成的损失超过履约保证金数额的，还应当对超过部分予以赔偿；没有提交履约保证金的，应当对采购人的损失承担赔偿责任。</w:t>
      </w:r>
    </w:p>
    <w:p>
      <w:pPr>
        <w:pStyle w:val="4"/>
        <w:jc w:val="left"/>
        <w:outlineLvl w:val="2"/>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2"/>
      </w:pPr>
      <w:r>
        <w:rPr>
          <w:b/>
          <w:sz w:val="24"/>
        </w:rPr>
        <w:t>3.3.5支付约定</w:t>
      </w:r>
    </w:p>
    <w:p>
      <w:pPr>
        <w:pStyle w:val="4"/>
      </w:pPr>
    </w:p>
    <w:p>
      <w:pPr>
        <w:pStyle w:val="4"/>
      </w:pPr>
    </w:p>
    <w:p>
      <w:pPr>
        <w:pStyle w:val="4"/>
      </w:pPr>
    </w:p>
    <w:p>
      <w:pPr>
        <w:pStyle w:val="4"/>
      </w:pPr>
      <w:r>
        <w:t>采购包1：付款条件说明：签订合同后，达到付款条件起10日，支付合同总金额的30.00%。</w:t>
      </w:r>
    </w:p>
    <w:p>
      <w:pPr>
        <w:pStyle w:val="4"/>
      </w:pPr>
      <w:r>
        <w:t>采购包1：付款条件说明：完成所有采样并提交最终项目实施成果且采购人验收合格后，达到付款条件起10日，支付合同总金额的70.00%。</w:t>
      </w:r>
    </w:p>
    <w:p>
      <w:pPr>
        <w:pStyle w:val="4"/>
        <w:outlineLvl w:val="2"/>
      </w:pPr>
      <w:r>
        <w:rPr>
          <w:b/>
          <w:sz w:val="24"/>
        </w:rPr>
        <w:t>3.3.6违约责任及解决争议的方法</w:t>
      </w:r>
    </w:p>
    <w:p>
      <w:pPr>
        <w:pStyle w:val="4"/>
      </w:pPr>
    </w:p>
    <w:p>
      <w:pPr>
        <w:pStyle w:val="4"/>
      </w:pPr>
    </w:p>
    <w:p>
      <w:pPr>
        <w:pStyle w:val="4"/>
      </w:pPr>
    </w:p>
    <w:p>
      <w:pPr>
        <w:pStyle w:val="4"/>
      </w:pPr>
      <w:r>
        <w:t>采购包1：</w:t>
      </w:r>
    </w:p>
    <w:p>
      <w:pPr>
        <w:pStyle w:val="4"/>
      </w:pPr>
      <w:r>
        <w:t>（一）供应商必须遵守采购合同并执行合同中的各项规定，保证采购合同的正常履行。 （二）如因供应商工作人员在履行职务过程中的的疏忽、失职、过错等故意或者过失原因给采购人造成损失或侵害，包 括但不限于采购人本身的财产损失、由此而导致的采购人对任何第三方的法律责任等，供应商对此均应承担全部的赔偿责任。 （三）供应商必须遵守采购合同按时完成合同相关工作，若由于供应商原因导致合同迟延履行，每迟延一天应承担合同总价款 1%的逾期违约金；逾期累计超过10天的，采购人有权解除合同。 （四）供应商应当遵守采购人的相关项目需求及相关技术 要求及实质性条款，实施完成采购合同应当完全满足相关项目需求及相关技术要求及实质性条款，若供应商瑕疵履行采购合同 ，采购人有权要求供应商支付合同总价款 20%的违约金，并有权要求供应商承担所有赔偿责任；如项目终稿评审验收没有通 过的，供应商应退还采购人全部已付费用，承担合同总价款20%的违约金，并且采购人有权要求供应商承担所有赔偿责任。 （五）有下列情形之一的，当事人可以解除合同： （1）因不可抗力致使不能实现合同目的(由于非供应商或采购人原因，致 使合同实质性条款无法实现的)； （2）在履行期限届满之前，当事人一方明确表示或者以自己的行为表明不履行合同； （3 ）当事人一方迟延履行合同或瑕疵履行，经催告后在合理期限内仍未履行或改正的； （4）当事人一方迟延履行合同或者有其 他违约行为致使不能实现合同目的； （5）法律规定的其他情形。 因供应商违约导致采购人解除合同的，供应商应退还采购 人全部已付费用，承担合同总价款20%的违约金，并且采购人有权要求供应商承担所有赔偿责任。</w:t>
      </w:r>
    </w:p>
    <w:p>
      <w:pPr>
        <w:pStyle w:val="4"/>
        <w:jc w:val="left"/>
        <w:outlineLvl w:val="1"/>
      </w:pPr>
      <w:r>
        <w:rPr>
          <w:b/>
          <w:sz w:val="28"/>
        </w:rPr>
        <w:t>3.4其他要求</w:t>
      </w:r>
    </w:p>
    <w:p>
      <w:pPr>
        <w:pStyle w:val="4"/>
      </w:pPr>
    </w:p>
    <w:p>
      <w:pPr>
        <w:pStyle w:val="4"/>
      </w:pPr>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OGZlOTIyNDljN2FlZmIwMWEwNWM0OTMzZjkwNTYifQ=="/>
  </w:docVars>
  <w:rsids>
    <w:rsidRoot w:val="428A2872"/>
    <w:rsid w:val="14046D95"/>
    <w:rsid w:val="428A2872"/>
    <w:rsid w:val="728F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2128</Words>
  <Characters>2275</Characters>
  <Lines>0</Lines>
  <Paragraphs>0</Paragraphs>
  <TotalTime>0</TotalTime>
  <ScaleCrop>false</ScaleCrop>
  <LinksUpToDate>false</LinksUpToDate>
  <CharactersWithSpaces>2311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2022-11-18T08:40:00Z</dcterms:created>
  <dc:creator>小手冰凉</dc:creator>
  <cp:lastModifiedBy>小手冰凉</cp:lastModifiedBy>
  <dcterms:modified xsi:type="dcterms:W3CDTF">2022-11-18T08:41:55Z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F8AA36B5DFAD42A488A7B69F612237E7</vt:lpwstr>
  </property>
</Properties>
</file>