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43" w:rsidRPr="004B297B" w:rsidRDefault="002F5243" w:rsidP="002F5243">
      <w:pPr>
        <w:spacing w:line="500" w:lineRule="exact"/>
        <w:ind w:firstLineChars="200" w:firstLine="640"/>
        <w:rPr>
          <w:rFonts w:ascii="仿宋" w:eastAsia="仿宋" w:hAnsi="仿宋" w:cs="仿宋" w:hint="eastAsia"/>
          <w:bCs/>
          <w:szCs w:val="32"/>
        </w:rPr>
      </w:pPr>
      <w:r w:rsidRPr="004B297B">
        <w:rPr>
          <w:rFonts w:ascii="仿宋" w:eastAsia="仿宋" w:hAnsi="仿宋" w:cs="仿宋" w:hint="eastAsia"/>
          <w:bCs/>
          <w:szCs w:val="32"/>
        </w:rPr>
        <w:t>一、采购项目概况</w:t>
      </w:r>
    </w:p>
    <w:p w:rsidR="002F5243" w:rsidRPr="004B297B" w:rsidRDefault="002F5243" w:rsidP="002F5243">
      <w:pPr>
        <w:ind w:firstLineChars="200" w:firstLine="640"/>
        <w:rPr>
          <w:rFonts w:ascii="仿宋" w:eastAsia="仿宋" w:hAnsi="仿宋" w:cs="仿宋" w:hint="eastAsia"/>
        </w:rPr>
      </w:pPr>
      <w:bookmarkStart w:id="0" w:name="_Toc447268509"/>
      <w:bookmarkStart w:id="1" w:name="_Toc447287075"/>
      <w:bookmarkStart w:id="2" w:name="_Toc447286837"/>
      <w:r w:rsidRPr="004B297B">
        <w:rPr>
          <w:rFonts w:ascii="仿宋" w:eastAsia="仿宋" w:hAnsi="仿宋" w:cs="仿宋" w:hint="eastAsia"/>
        </w:rPr>
        <w:t>根据《中华人民共和国网络安全法》、《成都市卫生健康委员会、成都市公安局关于印发&lt;成都市卫生健康行业网络安全等级保护工作实施方案〉的通知》要求:三级医疗卫生机构建设和运营的重要信息系统应定级为信息安全等级保护三级;面向患者提供服务的系统，如HIS、LIS、 PACS、 EMR及门户网站等，原则上不低于第三级。通过等级保护测评工作可发现医院信息系统与国家安全标准之间存在的差距，查明目前信息系统中存在的安全隐患和不足之处，通过安全整改之后，进而提高信息系统的安全防护能力，降低系统被攻击的风险。</w:t>
      </w:r>
      <w:bookmarkEnd w:id="0"/>
      <w:bookmarkEnd w:id="1"/>
      <w:bookmarkEnd w:id="2"/>
    </w:p>
    <w:p w:rsidR="002F5243" w:rsidRPr="004B297B" w:rsidRDefault="004B297B" w:rsidP="002F5243">
      <w:pPr>
        <w:spacing w:line="500" w:lineRule="exact"/>
        <w:ind w:firstLineChars="200" w:firstLine="640"/>
        <w:rPr>
          <w:rFonts w:ascii="仿宋" w:eastAsia="仿宋" w:hAnsi="仿宋" w:cs="仿宋" w:hint="eastAsia"/>
          <w:bCs/>
          <w:szCs w:val="32"/>
        </w:rPr>
      </w:pPr>
      <w:r w:rsidRPr="004B297B">
        <w:rPr>
          <w:rFonts w:ascii="仿宋" w:eastAsia="仿宋" w:hAnsi="仿宋" w:cs="仿宋" w:hint="eastAsia"/>
          <w:bCs/>
          <w:szCs w:val="32"/>
        </w:rPr>
        <w:t>二</w:t>
      </w:r>
      <w:r w:rsidR="002F5243" w:rsidRPr="004B297B">
        <w:rPr>
          <w:rFonts w:ascii="仿宋" w:eastAsia="仿宋" w:hAnsi="仿宋" w:cs="仿宋" w:hint="eastAsia"/>
          <w:bCs/>
          <w:szCs w:val="32"/>
        </w:rPr>
        <w:t>、采购标的汇总表</w:t>
      </w:r>
    </w:p>
    <w:tbl>
      <w:tblPr>
        <w:tblpPr w:leftFromText="180" w:rightFromText="180" w:vertAnchor="text" w:horzAnchor="page" w:tblpX="1779"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803"/>
        <w:gridCol w:w="2100"/>
        <w:gridCol w:w="1545"/>
        <w:gridCol w:w="1395"/>
        <w:gridCol w:w="1105"/>
        <w:gridCol w:w="980"/>
      </w:tblGrid>
      <w:tr w:rsidR="002F5243" w:rsidRPr="004B297B" w:rsidTr="0086606E">
        <w:tc>
          <w:tcPr>
            <w:tcW w:w="946" w:type="dxa"/>
            <w:vAlign w:val="center"/>
          </w:tcPr>
          <w:p w:rsidR="002F5243" w:rsidRPr="004B297B" w:rsidRDefault="002F5243" w:rsidP="0086606E">
            <w:pPr>
              <w:spacing w:line="400" w:lineRule="exact"/>
              <w:jc w:val="center"/>
              <w:rPr>
                <w:rFonts w:ascii="仿宋" w:eastAsia="仿宋" w:hAnsi="仿宋" w:cs="仿宋" w:hint="eastAsia"/>
                <w:bCs/>
                <w:sz w:val="21"/>
                <w:szCs w:val="21"/>
              </w:rPr>
            </w:pPr>
            <w:proofErr w:type="gramStart"/>
            <w:r w:rsidRPr="004B297B">
              <w:rPr>
                <w:rFonts w:ascii="仿宋" w:eastAsia="仿宋" w:hAnsi="仿宋" w:cs="仿宋" w:hint="eastAsia"/>
                <w:sz w:val="21"/>
                <w:szCs w:val="21"/>
              </w:rPr>
              <w:t>包</w:t>
            </w:r>
            <w:r w:rsidRPr="004B297B">
              <w:rPr>
                <w:rFonts w:ascii="仿宋" w:eastAsia="仿宋" w:hAnsi="仿宋" w:cs="仿宋" w:hint="eastAsia"/>
                <w:bCs/>
                <w:sz w:val="21"/>
                <w:szCs w:val="21"/>
              </w:rPr>
              <w:t>号</w:t>
            </w:r>
            <w:proofErr w:type="gramEnd"/>
          </w:p>
        </w:tc>
        <w:tc>
          <w:tcPr>
            <w:tcW w:w="803" w:type="dxa"/>
            <w:vAlign w:val="center"/>
          </w:tcPr>
          <w:p w:rsidR="002F5243" w:rsidRPr="004B297B" w:rsidRDefault="002F5243" w:rsidP="0086606E">
            <w:pPr>
              <w:spacing w:line="400" w:lineRule="exact"/>
              <w:jc w:val="center"/>
              <w:rPr>
                <w:rFonts w:ascii="仿宋" w:eastAsia="仿宋" w:hAnsi="仿宋" w:cs="仿宋" w:hint="eastAsia"/>
                <w:bCs/>
                <w:sz w:val="21"/>
                <w:szCs w:val="21"/>
              </w:rPr>
            </w:pPr>
            <w:r w:rsidRPr="004B297B">
              <w:rPr>
                <w:rFonts w:ascii="仿宋" w:eastAsia="仿宋" w:hAnsi="仿宋" w:cs="仿宋" w:hint="eastAsia"/>
                <w:bCs/>
                <w:sz w:val="21"/>
                <w:szCs w:val="21"/>
              </w:rPr>
              <w:t>序号</w:t>
            </w:r>
          </w:p>
        </w:tc>
        <w:tc>
          <w:tcPr>
            <w:tcW w:w="2100" w:type="dxa"/>
            <w:vAlign w:val="center"/>
          </w:tcPr>
          <w:p w:rsidR="002F5243" w:rsidRPr="004B297B" w:rsidRDefault="002F5243" w:rsidP="0086606E">
            <w:pPr>
              <w:spacing w:line="400" w:lineRule="exact"/>
              <w:jc w:val="center"/>
              <w:rPr>
                <w:rFonts w:ascii="仿宋" w:eastAsia="仿宋" w:hAnsi="仿宋" w:cs="仿宋" w:hint="eastAsia"/>
                <w:bCs/>
                <w:sz w:val="21"/>
                <w:szCs w:val="21"/>
              </w:rPr>
            </w:pPr>
            <w:r w:rsidRPr="004B297B">
              <w:rPr>
                <w:rFonts w:ascii="仿宋" w:eastAsia="仿宋" w:hAnsi="仿宋" w:cs="仿宋" w:hint="eastAsia"/>
                <w:bCs/>
                <w:sz w:val="21"/>
                <w:szCs w:val="21"/>
              </w:rPr>
              <w:t>标的名称</w:t>
            </w:r>
          </w:p>
        </w:tc>
        <w:tc>
          <w:tcPr>
            <w:tcW w:w="1545" w:type="dxa"/>
            <w:vAlign w:val="center"/>
          </w:tcPr>
          <w:p w:rsidR="002F5243" w:rsidRPr="004B297B" w:rsidRDefault="002F5243" w:rsidP="0086606E">
            <w:pPr>
              <w:spacing w:line="400" w:lineRule="exact"/>
              <w:jc w:val="center"/>
              <w:rPr>
                <w:rFonts w:ascii="仿宋" w:eastAsia="仿宋" w:hAnsi="仿宋" w:cs="仿宋" w:hint="eastAsia"/>
                <w:bCs/>
                <w:sz w:val="21"/>
                <w:szCs w:val="21"/>
              </w:rPr>
            </w:pPr>
            <w:r w:rsidRPr="004B297B">
              <w:rPr>
                <w:rFonts w:ascii="仿宋" w:eastAsia="仿宋" w:hAnsi="仿宋" w:cs="仿宋" w:hint="eastAsia"/>
                <w:bCs/>
                <w:sz w:val="21"/>
                <w:szCs w:val="21"/>
              </w:rPr>
              <w:t>品目分</w:t>
            </w:r>
          </w:p>
          <w:p w:rsidR="002F5243" w:rsidRPr="004B297B" w:rsidRDefault="002F5243" w:rsidP="0086606E">
            <w:pPr>
              <w:spacing w:line="400" w:lineRule="exact"/>
              <w:jc w:val="center"/>
              <w:rPr>
                <w:rFonts w:ascii="仿宋" w:eastAsia="仿宋" w:hAnsi="仿宋" w:cs="仿宋" w:hint="eastAsia"/>
                <w:bCs/>
                <w:sz w:val="21"/>
                <w:szCs w:val="21"/>
              </w:rPr>
            </w:pPr>
            <w:r w:rsidRPr="004B297B">
              <w:rPr>
                <w:rFonts w:ascii="仿宋" w:eastAsia="仿宋" w:hAnsi="仿宋" w:cs="仿宋" w:hint="eastAsia"/>
                <w:bCs/>
                <w:sz w:val="21"/>
                <w:szCs w:val="21"/>
              </w:rPr>
              <w:t>类编码</w:t>
            </w:r>
          </w:p>
        </w:tc>
        <w:tc>
          <w:tcPr>
            <w:tcW w:w="1395" w:type="dxa"/>
            <w:vAlign w:val="center"/>
          </w:tcPr>
          <w:p w:rsidR="002F5243" w:rsidRPr="004B297B" w:rsidRDefault="002F5243" w:rsidP="0086606E">
            <w:pPr>
              <w:spacing w:line="400" w:lineRule="exact"/>
              <w:jc w:val="center"/>
              <w:rPr>
                <w:rFonts w:ascii="仿宋" w:eastAsia="仿宋" w:hAnsi="仿宋" w:cs="仿宋" w:hint="eastAsia"/>
                <w:bCs/>
                <w:sz w:val="21"/>
                <w:szCs w:val="21"/>
              </w:rPr>
            </w:pPr>
            <w:r w:rsidRPr="004B297B">
              <w:rPr>
                <w:rFonts w:ascii="仿宋" w:eastAsia="仿宋" w:hAnsi="仿宋" w:cs="仿宋" w:hint="eastAsia"/>
                <w:bCs/>
                <w:sz w:val="21"/>
                <w:szCs w:val="21"/>
              </w:rPr>
              <w:t>计量单位</w:t>
            </w:r>
          </w:p>
        </w:tc>
        <w:tc>
          <w:tcPr>
            <w:tcW w:w="1105" w:type="dxa"/>
            <w:vAlign w:val="center"/>
          </w:tcPr>
          <w:p w:rsidR="002F5243" w:rsidRPr="004B297B" w:rsidRDefault="002F5243" w:rsidP="0086606E">
            <w:pPr>
              <w:spacing w:line="400" w:lineRule="exact"/>
              <w:jc w:val="center"/>
              <w:rPr>
                <w:rFonts w:ascii="仿宋" w:eastAsia="仿宋" w:hAnsi="仿宋" w:cs="仿宋" w:hint="eastAsia"/>
                <w:bCs/>
                <w:sz w:val="21"/>
                <w:szCs w:val="21"/>
              </w:rPr>
            </w:pPr>
            <w:r w:rsidRPr="004B297B">
              <w:rPr>
                <w:rFonts w:ascii="仿宋" w:eastAsia="仿宋" w:hAnsi="仿宋" w:cs="仿宋" w:hint="eastAsia"/>
                <w:bCs/>
                <w:sz w:val="21"/>
                <w:szCs w:val="21"/>
              </w:rPr>
              <w:t>数量</w:t>
            </w:r>
          </w:p>
        </w:tc>
        <w:tc>
          <w:tcPr>
            <w:tcW w:w="980" w:type="dxa"/>
            <w:vAlign w:val="center"/>
          </w:tcPr>
          <w:p w:rsidR="002F5243" w:rsidRPr="004B297B" w:rsidRDefault="002F5243" w:rsidP="0086606E">
            <w:pPr>
              <w:spacing w:line="400" w:lineRule="exact"/>
              <w:jc w:val="center"/>
              <w:rPr>
                <w:rFonts w:ascii="仿宋" w:eastAsia="仿宋" w:hAnsi="仿宋" w:cs="仿宋" w:hint="eastAsia"/>
                <w:bCs/>
                <w:sz w:val="21"/>
                <w:szCs w:val="21"/>
              </w:rPr>
            </w:pPr>
            <w:r w:rsidRPr="004B297B">
              <w:rPr>
                <w:rFonts w:ascii="仿宋" w:eastAsia="仿宋" w:hAnsi="仿宋" w:cs="仿宋" w:hint="eastAsia"/>
                <w:bCs/>
                <w:sz w:val="21"/>
                <w:szCs w:val="21"/>
              </w:rPr>
              <w:t>是否</w:t>
            </w:r>
          </w:p>
          <w:p w:rsidR="002F5243" w:rsidRPr="004B297B" w:rsidRDefault="002F5243" w:rsidP="0086606E">
            <w:pPr>
              <w:spacing w:line="400" w:lineRule="exact"/>
              <w:jc w:val="center"/>
              <w:rPr>
                <w:rFonts w:ascii="仿宋" w:eastAsia="仿宋" w:hAnsi="仿宋" w:cs="仿宋" w:hint="eastAsia"/>
                <w:bCs/>
                <w:sz w:val="21"/>
                <w:szCs w:val="21"/>
              </w:rPr>
            </w:pPr>
            <w:r w:rsidRPr="004B297B">
              <w:rPr>
                <w:rFonts w:ascii="仿宋" w:eastAsia="仿宋" w:hAnsi="仿宋" w:cs="仿宋" w:hint="eastAsia"/>
                <w:bCs/>
                <w:sz w:val="21"/>
                <w:szCs w:val="21"/>
              </w:rPr>
              <w:t>进口</w:t>
            </w:r>
          </w:p>
        </w:tc>
      </w:tr>
      <w:tr w:rsidR="002F5243" w:rsidRPr="004B297B" w:rsidTr="0086606E">
        <w:trPr>
          <w:trHeight w:val="1087"/>
        </w:trPr>
        <w:tc>
          <w:tcPr>
            <w:tcW w:w="946" w:type="dxa"/>
            <w:vAlign w:val="center"/>
          </w:tcPr>
          <w:p w:rsidR="002F5243" w:rsidRPr="004B297B" w:rsidRDefault="002F5243" w:rsidP="0086606E">
            <w:pPr>
              <w:spacing w:line="500" w:lineRule="exact"/>
              <w:jc w:val="center"/>
              <w:rPr>
                <w:rFonts w:ascii="仿宋" w:eastAsia="仿宋" w:hAnsi="仿宋" w:cs="仿宋" w:hint="eastAsia"/>
                <w:b/>
                <w:sz w:val="21"/>
                <w:szCs w:val="21"/>
              </w:rPr>
            </w:pPr>
            <w:r w:rsidRPr="004B297B">
              <w:rPr>
                <w:rFonts w:ascii="仿宋" w:eastAsia="仿宋" w:hAnsi="仿宋" w:cs="仿宋" w:hint="eastAsia"/>
                <w:b/>
                <w:sz w:val="21"/>
                <w:szCs w:val="21"/>
              </w:rPr>
              <w:t>1</w:t>
            </w:r>
          </w:p>
        </w:tc>
        <w:tc>
          <w:tcPr>
            <w:tcW w:w="803" w:type="dxa"/>
            <w:vAlign w:val="center"/>
          </w:tcPr>
          <w:p w:rsidR="002F5243" w:rsidRPr="004B297B" w:rsidRDefault="002F5243" w:rsidP="0086606E">
            <w:pPr>
              <w:spacing w:line="500" w:lineRule="exact"/>
              <w:jc w:val="center"/>
              <w:rPr>
                <w:rFonts w:ascii="仿宋" w:eastAsia="仿宋" w:hAnsi="仿宋" w:cs="仿宋" w:hint="eastAsia"/>
                <w:b/>
                <w:sz w:val="21"/>
                <w:szCs w:val="21"/>
              </w:rPr>
            </w:pPr>
            <w:r w:rsidRPr="004B297B">
              <w:rPr>
                <w:rFonts w:ascii="仿宋" w:eastAsia="仿宋" w:hAnsi="仿宋" w:cs="仿宋" w:hint="eastAsia"/>
                <w:b/>
                <w:sz w:val="21"/>
                <w:szCs w:val="21"/>
              </w:rPr>
              <w:t>1</w:t>
            </w:r>
          </w:p>
        </w:tc>
        <w:tc>
          <w:tcPr>
            <w:tcW w:w="2100" w:type="dxa"/>
            <w:vAlign w:val="center"/>
          </w:tcPr>
          <w:p w:rsidR="002F5243" w:rsidRPr="004B297B" w:rsidRDefault="002F5243" w:rsidP="0086606E">
            <w:pPr>
              <w:spacing w:line="360" w:lineRule="exact"/>
              <w:jc w:val="center"/>
              <w:rPr>
                <w:rFonts w:ascii="仿宋" w:eastAsia="仿宋" w:hAnsi="仿宋" w:cs="仿宋" w:hint="eastAsia"/>
                <w:b/>
                <w:sz w:val="21"/>
                <w:szCs w:val="21"/>
              </w:rPr>
            </w:pPr>
            <w:r w:rsidRPr="004B297B">
              <w:rPr>
                <w:rFonts w:ascii="仿宋" w:eastAsia="仿宋" w:hAnsi="仿宋" w:cs="仿宋" w:hint="eastAsia"/>
                <w:sz w:val="21"/>
                <w:szCs w:val="21"/>
              </w:rPr>
              <w:t>彭州市妇幼保健院信息安全等级保护测评服务采购项目</w:t>
            </w:r>
          </w:p>
        </w:tc>
        <w:tc>
          <w:tcPr>
            <w:tcW w:w="1545" w:type="dxa"/>
            <w:vAlign w:val="center"/>
          </w:tcPr>
          <w:p w:rsidR="002F5243" w:rsidRPr="004B297B" w:rsidRDefault="002F5243" w:rsidP="002F5243">
            <w:pPr>
              <w:spacing w:line="500" w:lineRule="exact"/>
              <w:ind w:firstLineChars="200" w:firstLine="422"/>
              <w:rPr>
                <w:rFonts w:ascii="仿宋" w:eastAsia="仿宋" w:hAnsi="仿宋" w:cs="仿宋" w:hint="eastAsia"/>
                <w:b/>
                <w:sz w:val="21"/>
                <w:szCs w:val="21"/>
              </w:rPr>
            </w:pPr>
            <w:r w:rsidRPr="004B297B">
              <w:rPr>
                <w:rFonts w:ascii="仿宋" w:eastAsia="仿宋" w:hAnsi="仿宋" w:cs="仿宋" w:hint="eastAsia"/>
                <w:b/>
                <w:sz w:val="21"/>
                <w:szCs w:val="21"/>
              </w:rPr>
              <w:t xml:space="preserve">C0205 </w:t>
            </w:r>
          </w:p>
        </w:tc>
        <w:tc>
          <w:tcPr>
            <w:tcW w:w="1395" w:type="dxa"/>
            <w:vAlign w:val="center"/>
          </w:tcPr>
          <w:p w:rsidR="002F5243" w:rsidRPr="004B297B" w:rsidRDefault="002F5243" w:rsidP="0086606E">
            <w:pPr>
              <w:spacing w:line="500" w:lineRule="exact"/>
              <w:jc w:val="center"/>
              <w:rPr>
                <w:rFonts w:ascii="仿宋" w:eastAsia="仿宋" w:hAnsi="仿宋" w:cs="仿宋"/>
                <w:b/>
                <w:sz w:val="21"/>
                <w:szCs w:val="21"/>
              </w:rPr>
            </w:pPr>
            <w:r w:rsidRPr="004B297B">
              <w:rPr>
                <w:rFonts w:ascii="仿宋" w:eastAsia="仿宋" w:hAnsi="仿宋" w:cs="仿宋" w:hint="eastAsia"/>
                <w:b/>
                <w:sz w:val="21"/>
                <w:szCs w:val="21"/>
              </w:rPr>
              <w:t>项</w:t>
            </w:r>
          </w:p>
        </w:tc>
        <w:tc>
          <w:tcPr>
            <w:tcW w:w="1105" w:type="dxa"/>
            <w:vAlign w:val="center"/>
          </w:tcPr>
          <w:p w:rsidR="002F5243" w:rsidRPr="004B297B" w:rsidRDefault="002F5243" w:rsidP="002F5243">
            <w:pPr>
              <w:spacing w:line="500" w:lineRule="exact"/>
              <w:ind w:firstLineChars="200" w:firstLine="422"/>
              <w:rPr>
                <w:rFonts w:ascii="仿宋" w:eastAsia="仿宋" w:hAnsi="仿宋" w:cs="仿宋" w:hint="eastAsia"/>
                <w:b/>
                <w:sz w:val="21"/>
                <w:szCs w:val="21"/>
              </w:rPr>
            </w:pPr>
            <w:r w:rsidRPr="004B297B">
              <w:rPr>
                <w:rFonts w:ascii="仿宋" w:eastAsia="仿宋" w:hAnsi="仿宋" w:cs="仿宋" w:hint="eastAsia"/>
                <w:b/>
                <w:sz w:val="21"/>
                <w:szCs w:val="21"/>
              </w:rPr>
              <w:t>1</w:t>
            </w:r>
          </w:p>
        </w:tc>
        <w:tc>
          <w:tcPr>
            <w:tcW w:w="980" w:type="dxa"/>
            <w:vAlign w:val="center"/>
          </w:tcPr>
          <w:p w:rsidR="002F5243" w:rsidRPr="004B297B" w:rsidRDefault="002F5243" w:rsidP="0086606E">
            <w:pPr>
              <w:spacing w:line="500" w:lineRule="exact"/>
              <w:jc w:val="center"/>
              <w:rPr>
                <w:rFonts w:ascii="仿宋" w:eastAsia="仿宋" w:hAnsi="仿宋" w:cs="仿宋" w:hint="eastAsia"/>
                <w:b/>
                <w:sz w:val="21"/>
                <w:szCs w:val="21"/>
              </w:rPr>
            </w:pPr>
            <w:r w:rsidRPr="004B297B">
              <w:rPr>
                <w:rFonts w:ascii="仿宋" w:eastAsia="仿宋" w:hAnsi="仿宋" w:cs="仿宋" w:hint="eastAsia"/>
                <w:sz w:val="21"/>
                <w:szCs w:val="21"/>
              </w:rPr>
              <w:t>否</w:t>
            </w:r>
          </w:p>
        </w:tc>
      </w:tr>
    </w:tbl>
    <w:p w:rsidR="002F5243" w:rsidRPr="004B297B" w:rsidRDefault="002F5243" w:rsidP="002F5243">
      <w:pPr>
        <w:spacing w:line="500" w:lineRule="exact"/>
        <w:rPr>
          <w:rFonts w:ascii="仿宋" w:eastAsia="仿宋" w:hAnsi="仿宋" w:cs="仿宋" w:hint="eastAsia"/>
          <w:bCs/>
          <w:szCs w:val="32"/>
        </w:rPr>
      </w:pPr>
      <w:r w:rsidRPr="004B297B">
        <w:rPr>
          <w:rFonts w:ascii="仿宋" w:eastAsia="仿宋" w:hAnsi="仿宋" w:cs="仿宋" w:hint="eastAsia"/>
          <w:bCs/>
          <w:szCs w:val="32"/>
        </w:rPr>
        <w:t xml:space="preserve">     </w:t>
      </w:r>
      <w:r w:rsidR="004B297B" w:rsidRPr="004B297B">
        <w:rPr>
          <w:rFonts w:ascii="仿宋" w:eastAsia="仿宋" w:hAnsi="仿宋" w:cs="仿宋" w:hint="eastAsia"/>
          <w:bCs/>
          <w:szCs w:val="32"/>
        </w:rPr>
        <w:t>三</w:t>
      </w:r>
      <w:r w:rsidRPr="004B297B">
        <w:rPr>
          <w:rFonts w:ascii="仿宋" w:eastAsia="仿宋" w:hAnsi="仿宋" w:cs="仿宋" w:hint="eastAsia"/>
          <w:bCs/>
          <w:szCs w:val="32"/>
        </w:rPr>
        <w:t>、技术要求和商务要求</w:t>
      </w:r>
    </w:p>
    <w:p w:rsidR="002F5243" w:rsidRPr="004B297B" w:rsidRDefault="002F5243" w:rsidP="002F5243">
      <w:pPr>
        <w:spacing w:line="500" w:lineRule="exact"/>
        <w:ind w:firstLineChars="200" w:firstLine="640"/>
        <w:rPr>
          <w:rFonts w:ascii="仿宋" w:eastAsia="仿宋" w:hAnsi="仿宋" w:cs="仿宋" w:hint="eastAsia"/>
          <w:b/>
          <w:bCs/>
          <w:sz w:val="28"/>
          <w:szCs w:val="22"/>
        </w:rPr>
      </w:pPr>
      <w:r w:rsidRPr="004B297B">
        <w:rPr>
          <w:rFonts w:ascii="仿宋" w:eastAsia="仿宋" w:hAnsi="仿宋" w:cs="仿宋" w:hint="eastAsia"/>
          <w:bCs/>
          <w:szCs w:val="32"/>
        </w:rPr>
        <w:t>（一）</w:t>
      </w:r>
      <w:bookmarkStart w:id="3" w:name="_Toc16845658"/>
      <w:r w:rsidRPr="004B297B">
        <w:rPr>
          <w:rFonts w:ascii="仿宋" w:eastAsia="仿宋" w:hAnsi="仿宋" w:cs="仿宋" w:hint="eastAsia"/>
          <w:b/>
          <w:bCs/>
          <w:sz w:val="28"/>
          <w:szCs w:val="22"/>
        </w:rPr>
        <w:t>技术参数条款</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1.采购标的需执行的国家相关标准、行业标准、地方标准或者其他标准、规范。</w:t>
      </w:r>
    </w:p>
    <w:p w:rsidR="002F5243" w:rsidRPr="004B297B" w:rsidRDefault="002F5243" w:rsidP="002F5243">
      <w:pPr>
        <w:ind w:firstLineChars="200" w:firstLine="560"/>
        <w:rPr>
          <w:rFonts w:ascii="仿宋" w:eastAsia="仿宋" w:hAnsi="仿宋" w:cs="仿宋" w:hint="eastAsia"/>
          <w:sz w:val="28"/>
          <w:szCs w:val="22"/>
        </w:rPr>
      </w:pPr>
      <w:bookmarkStart w:id="4" w:name="_Toc77760877"/>
      <w:bookmarkStart w:id="5" w:name="_Toc83482791"/>
      <w:bookmarkStart w:id="6" w:name="_Toc77760955"/>
      <w:bookmarkStart w:id="7" w:name="_Toc77761128"/>
      <w:bookmarkStart w:id="8" w:name="_Toc77760638"/>
      <w:bookmarkStart w:id="9" w:name="_Toc311015399"/>
      <w:bookmarkStart w:id="10" w:name="_Toc77760799"/>
      <w:bookmarkStart w:id="11" w:name="_Toc303532071"/>
      <w:bookmarkStart w:id="12" w:name="_Toc157912713"/>
      <w:r w:rsidRPr="004B297B">
        <w:rPr>
          <w:rFonts w:ascii="仿宋" w:eastAsia="仿宋" w:hAnsi="仿宋" w:cs="仿宋" w:hint="eastAsia"/>
          <w:sz w:val="28"/>
          <w:szCs w:val="22"/>
        </w:rPr>
        <w:t>下列文件中的条款通过本规范的引用而成为本规范的条款，除本技术规范书特别规定外，所提供的测评标准均应遵循公安部相关文件要求和的相关文件要求，所用的标准必须是其最新版本；如果这些标</w:t>
      </w:r>
      <w:r w:rsidRPr="004B297B">
        <w:rPr>
          <w:rFonts w:ascii="仿宋" w:eastAsia="仿宋" w:hAnsi="仿宋" w:cs="仿宋" w:hint="eastAsia"/>
          <w:sz w:val="28"/>
          <w:szCs w:val="22"/>
        </w:rPr>
        <w:lastRenderedPageBreak/>
        <w:t>准内容矛盾时，应按最高标准的条款执行或按双方商定的标准执行。</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(1)《中华人民共和国网络安全法》；</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(2)《信息安全等级保护管理办法》（公通字[2007]43号）；</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(3)《GB/T22239-2019信息安全技术 网络安全等级保护基本要求》；</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(4)《GB/T22240-2020信息安全技术 网络安全等级保护定级指南》；</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(5)《GB/T25058-2010信息安全技术 信息系统安全等级保护实施指南》；</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(6)《GB/T28448-2019信息安全技术 网络安全等级保护测评要求》；</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(7)《GB/T28449-2018信息安全技术 网络安全等级保护测评过程指南》。</w:t>
      </w:r>
    </w:p>
    <w:p w:rsidR="002F5243" w:rsidRPr="004B297B" w:rsidRDefault="002F5243" w:rsidP="002F5243">
      <w:pPr>
        <w:ind w:firstLineChars="200" w:firstLine="560"/>
        <w:rPr>
          <w:rFonts w:ascii="仿宋" w:eastAsia="仿宋" w:hAnsi="仿宋" w:cs="仿宋" w:hint="eastAsia"/>
          <w:sz w:val="28"/>
          <w:szCs w:val="22"/>
        </w:rPr>
      </w:pPr>
      <w:bookmarkStart w:id="13" w:name="_Toc9865045"/>
      <w:bookmarkEnd w:id="4"/>
      <w:bookmarkEnd w:id="5"/>
      <w:bookmarkEnd w:id="6"/>
      <w:bookmarkEnd w:id="7"/>
      <w:bookmarkEnd w:id="8"/>
      <w:bookmarkEnd w:id="9"/>
      <w:bookmarkEnd w:id="10"/>
      <w:bookmarkEnd w:id="11"/>
      <w:bookmarkEnd w:id="12"/>
      <w:r w:rsidRPr="004B297B">
        <w:rPr>
          <w:rFonts w:ascii="仿宋" w:eastAsia="仿宋" w:hAnsi="仿宋" w:cs="仿宋" w:hint="eastAsia"/>
          <w:sz w:val="28"/>
          <w:szCs w:val="22"/>
        </w:rPr>
        <w:t>2.测评范围</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4"/>
        <w:gridCol w:w="4710"/>
        <w:gridCol w:w="2734"/>
      </w:tblGrid>
      <w:tr w:rsidR="002F5243" w:rsidRPr="004B297B" w:rsidTr="0086606E">
        <w:trPr>
          <w:trHeight w:val="557"/>
          <w:jc w:val="center"/>
        </w:trPr>
        <w:tc>
          <w:tcPr>
            <w:tcW w:w="1514" w:type="dxa"/>
          </w:tcPr>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序号</w:t>
            </w:r>
          </w:p>
        </w:tc>
        <w:tc>
          <w:tcPr>
            <w:tcW w:w="4710"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系统名称</w:t>
            </w:r>
          </w:p>
        </w:tc>
        <w:tc>
          <w:tcPr>
            <w:tcW w:w="2734"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级别</w:t>
            </w:r>
          </w:p>
        </w:tc>
      </w:tr>
      <w:tr w:rsidR="002F5243" w:rsidRPr="004B297B" w:rsidTr="0086606E">
        <w:trPr>
          <w:trHeight w:val="557"/>
          <w:jc w:val="center"/>
        </w:trPr>
        <w:tc>
          <w:tcPr>
            <w:tcW w:w="1514" w:type="dxa"/>
          </w:tcPr>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1</w:t>
            </w:r>
          </w:p>
        </w:tc>
        <w:tc>
          <w:tcPr>
            <w:tcW w:w="4710"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核心业务系统</w:t>
            </w:r>
          </w:p>
        </w:tc>
        <w:tc>
          <w:tcPr>
            <w:tcW w:w="2734"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三</w:t>
            </w:r>
          </w:p>
        </w:tc>
      </w:tr>
      <w:tr w:rsidR="002F5243" w:rsidRPr="004B297B" w:rsidTr="0086606E">
        <w:trPr>
          <w:trHeight w:val="557"/>
          <w:jc w:val="center"/>
        </w:trPr>
        <w:tc>
          <w:tcPr>
            <w:tcW w:w="1514" w:type="dxa"/>
          </w:tcPr>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2</w:t>
            </w:r>
          </w:p>
        </w:tc>
        <w:tc>
          <w:tcPr>
            <w:tcW w:w="4710"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门户网站系统</w:t>
            </w:r>
          </w:p>
        </w:tc>
        <w:tc>
          <w:tcPr>
            <w:tcW w:w="2734"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三</w:t>
            </w:r>
          </w:p>
        </w:tc>
      </w:tr>
      <w:tr w:rsidR="002F5243" w:rsidRPr="004B297B" w:rsidTr="0086606E">
        <w:trPr>
          <w:trHeight w:val="557"/>
          <w:jc w:val="center"/>
        </w:trPr>
        <w:tc>
          <w:tcPr>
            <w:tcW w:w="1514" w:type="dxa"/>
          </w:tcPr>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w:t>
            </w:r>
          </w:p>
        </w:tc>
        <w:tc>
          <w:tcPr>
            <w:tcW w:w="4710"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集成平台系统</w:t>
            </w:r>
          </w:p>
        </w:tc>
        <w:tc>
          <w:tcPr>
            <w:tcW w:w="2734"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三</w:t>
            </w:r>
          </w:p>
        </w:tc>
      </w:tr>
      <w:tr w:rsidR="002F5243" w:rsidRPr="004B297B" w:rsidTr="0086606E">
        <w:trPr>
          <w:trHeight w:val="566"/>
          <w:jc w:val="center"/>
        </w:trPr>
        <w:tc>
          <w:tcPr>
            <w:tcW w:w="1514" w:type="dxa"/>
          </w:tcPr>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4</w:t>
            </w:r>
          </w:p>
        </w:tc>
        <w:tc>
          <w:tcPr>
            <w:tcW w:w="4710"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金蝶HRP系统</w:t>
            </w:r>
          </w:p>
        </w:tc>
        <w:tc>
          <w:tcPr>
            <w:tcW w:w="2734" w:type="dxa"/>
          </w:tcPr>
          <w:p w:rsidR="002F5243" w:rsidRPr="004B297B" w:rsidRDefault="002F5243" w:rsidP="0086606E">
            <w:pPr>
              <w:jc w:val="center"/>
              <w:rPr>
                <w:rFonts w:ascii="仿宋" w:eastAsia="仿宋" w:hAnsi="仿宋" w:cs="仿宋" w:hint="eastAsia"/>
                <w:sz w:val="28"/>
                <w:szCs w:val="22"/>
              </w:rPr>
            </w:pPr>
            <w:r w:rsidRPr="004B297B">
              <w:rPr>
                <w:rFonts w:ascii="仿宋" w:eastAsia="仿宋" w:hAnsi="仿宋" w:cs="仿宋" w:hint="eastAsia"/>
                <w:sz w:val="28"/>
                <w:szCs w:val="22"/>
              </w:rPr>
              <w:t>二</w:t>
            </w:r>
          </w:p>
        </w:tc>
      </w:tr>
    </w:tbl>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3.技术服务要求</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3.1测评及评估原则</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3.1.1保密性原则：项目实施方应与签订保密协议，对测评的过</w:t>
      </w:r>
      <w:r w:rsidRPr="004B297B">
        <w:rPr>
          <w:rFonts w:ascii="仿宋" w:eastAsia="仿宋" w:hAnsi="仿宋" w:cs="仿宋" w:hint="eastAsia"/>
          <w:sz w:val="28"/>
          <w:szCs w:val="22"/>
        </w:rPr>
        <w:lastRenderedPageBreak/>
        <w:t>程数据和结果数据严格保密，未经授权不得泄露给任何单位和个人，不得利用此数据侵害的权益，否则有权追究的责任。</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3.1.2标准性原则：测评及评估方案的设计与实施应依据国家的相关标准进行。</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3.1.3规范性原则：项目实施方工作中的过程和文档，应具有规范性，便于项目跟踪和控制。</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3.1.4可控性原则：项目的进度应符合进度安排，保证对测评工作的可控性。</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3.1.5整体性原则：测评及评估的范围和内容应系统、全面、规范，满足等级保护的相关基本要求。</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3.1.6最小影响原则：技术测评及评估工作应尽可能小的影响在线系统和网络的正常运行，不能对现有运行系统造成影响。在线测评及评估应在许可的条件下进行。</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3.2咨询服务要求：</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3.2.1提供7*24响应服务，负责解决出现的任何问题，确保不影响正常业务运行；提供7×24小时的在线技术支持。</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3.2.2供应商提供现场服务，供应</w:t>
      </w:r>
      <w:proofErr w:type="gramStart"/>
      <w:r w:rsidRPr="004B297B">
        <w:rPr>
          <w:rFonts w:ascii="仿宋" w:eastAsia="仿宋" w:hAnsi="仿宋" w:cs="仿宋" w:hint="eastAsia"/>
          <w:sz w:val="28"/>
          <w:szCs w:val="22"/>
        </w:rPr>
        <w:t>商接到</w:t>
      </w:r>
      <w:proofErr w:type="gramEnd"/>
      <w:r w:rsidRPr="004B297B">
        <w:rPr>
          <w:rFonts w:ascii="仿宋" w:eastAsia="仿宋" w:hAnsi="仿宋" w:cs="仿宋" w:hint="eastAsia"/>
          <w:sz w:val="28"/>
          <w:szCs w:val="22"/>
        </w:rPr>
        <w:t>采购人现场服务通知后，须在2小时内到达采购人现场。</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3.3测评及评估方法</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测评及评估方法包括访谈、检查和测试三种方法，可细化为文档审查、配置检查、工具测试和实地察看等多种方法。</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如需对系统安全等级保护测评实施过程中采用在线测评工具，各</w:t>
      </w:r>
      <w:r w:rsidRPr="004B297B">
        <w:rPr>
          <w:rFonts w:ascii="仿宋" w:eastAsia="仿宋" w:hAnsi="仿宋" w:cs="仿宋" w:hint="eastAsia"/>
          <w:sz w:val="28"/>
          <w:szCs w:val="22"/>
        </w:rPr>
        <w:lastRenderedPageBreak/>
        <w:t>种工具软件由项目实施方推荐，经确认后由项目实施方提供并在工作中使用。</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安全测评工具软件运行可能需要的硬件平台（如笔记本电脑、PC、工作站等）和操作系统软件等由项目实施方推荐，经采购人确认后由项目实施方提供并在测评中使用。</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3.4等级保护测评内容</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根据国家等级保护相关标准，本次项目的安全等级保护测评应包括以下内容：</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3.4.1安全技术测评：包括安全物理环境、安全通信网络、安全区域边界、安全计算环境和安全管理中心等五个方面的安全测评；</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3.4.2安全管理测评：包括安全管理制度、安全管理机构、安全管理人员、安全建设管理和</w:t>
      </w:r>
      <w:proofErr w:type="gramStart"/>
      <w:r w:rsidRPr="004B297B">
        <w:rPr>
          <w:rFonts w:ascii="仿宋" w:eastAsia="仿宋" w:hAnsi="仿宋" w:cs="仿宋" w:hint="eastAsia"/>
          <w:sz w:val="28"/>
          <w:szCs w:val="22"/>
        </w:rPr>
        <w:t>安全运维管理</w:t>
      </w:r>
      <w:proofErr w:type="gramEnd"/>
      <w:r w:rsidRPr="004B297B">
        <w:rPr>
          <w:rFonts w:ascii="仿宋" w:eastAsia="仿宋" w:hAnsi="仿宋" w:cs="仿宋" w:hint="eastAsia"/>
          <w:sz w:val="28"/>
          <w:szCs w:val="22"/>
        </w:rPr>
        <w:t>等五个方面的安全测评。</w:t>
      </w:r>
    </w:p>
    <w:p w:rsidR="002F5243" w:rsidRPr="004B297B" w:rsidRDefault="002F5243" w:rsidP="002F5243">
      <w:pPr>
        <w:ind w:firstLineChars="200" w:firstLine="560"/>
        <w:rPr>
          <w:rFonts w:ascii="仿宋" w:eastAsia="仿宋" w:hAnsi="仿宋" w:cs="仿宋"/>
          <w:sz w:val="28"/>
          <w:szCs w:val="22"/>
        </w:rPr>
      </w:pPr>
      <w:r w:rsidRPr="004B297B">
        <w:rPr>
          <w:rFonts w:ascii="仿宋" w:eastAsia="仿宋" w:hAnsi="仿宋" w:cs="仿宋" w:hint="eastAsia"/>
          <w:sz w:val="28"/>
          <w:szCs w:val="22"/>
        </w:rPr>
        <w:t>3.5互联网资产服务要求：</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3.5.1互联网资产风险检测服务</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基于梳理好的互联网资产，提供一年不少于12次的检测服务，包含WEB漏洞、主机漏洞、安全事件、文件泄露、可用性、弱口令、高危服务等。供应商将检测结果形成纸质的检测报告，加盖供应商公章后递交给采购人。同时将梳理好的互联网资产根据算法自动评估出互联网资产风险值，在每次检测服务完成后，通过平台展示资产风险情况，提供风险值变化趋势分析及资产风险值TOP排名，服务单位可通过</w:t>
      </w:r>
      <w:proofErr w:type="gramStart"/>
      <w:r w:rsidRPr="004B297B">
        <w:rPr>
          <w:rFonts w:ascii="仿宋" w:eastAsia="仿宋" w:hAnsi="仿宋" w:cs="仿宋" w:hint="eastAsia"/>
          <w:sz w:val="28"/>
          <w:szCs w:val="22"/>
        </w:rPr>
        <w:t>微信公众号</w:t>
      </w:r>
      <w:proofErr w:type="gramEnd"/>
      <w:r w:rsidRPr="004B297B">
        <w:rPr>
          <w:rFonts w:ascii="仿宋" w:eastAsia="仿宋" w:hAnsi="仿宋" w:cs="仿宋" w:hint="eastAsia"/>
          <w:sz w:val="28"/>
          <w:szCs w:val="22"/>
        </w:rPr>
        <w:t>进行安全事件、域名有效期、证书有效期的推送。供应商提供推送服务的功能截图，加盖供应商公章。</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lastRenderedPageBreak/>
        <w:t>检测服务需采用验证式漏洞检测技术，对web站点和主机进行漏洞扫描发现和验证，通过模拟真实攻击行为，根据上下文智能判断漏洞是否真实存在。支持对用户进行多种协议的弱口令爆破（可自定义弱口令库），检测出攻击者能够爆破利用的弱口令。</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支持展示当前最新的检测结果中新增WEB/主机漏洞和本次被修复的WEB/主机漏洞、新增弱口令和本次被修复的弱口令；支持展示客户当前环境的主机中存在的高危端口服务的检测结果；支持展示用户安全事件发现的变化趋势。（提供此项功能性截</w:t>
      </w:r>
      <w:proofErr w:type="gramStart"/>
      <w:r w:rsidRPr="004B297B">
        <w:rPr>
          <w:rFonts w:ascii="仿宋" w:eastAsia="仿宋" w:hAnsi="仿宋" w:cs="仿宋" w:hint="eastAsia"/>
          <w:sz w:val="28"/>
          <w:szCs w:val="22"/>
        </w:rPr>
        <w:t>图证明</w:t>
      </w:r>
      <w:proofErr w:type="gramEnd"/>
      <w:r w:rsidRPr="004B297B">
        <w:rPr>
          <w:rFonts w:ascii="仿宋" w:eastAsia="仿宋" w:hAnsi="仿宋" w:cs="仿宋" w:hint="eastAsia"/>
          <w:sz w:val="28"/>
          <w:szCs w:val="22"/>
        </w:rPr>
        <w:t>文件并加盖供应商公章）</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3.5.2互联网资产梳理、管理服务</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供应商须对采购人在互联网上的资产进行梳理和排查，通过关联主体发现、域名探测、主机IP探测、站点探测、组件探测、端口服务探测等方式快速发现客户全网的域名、站点、IP、服务、数字证书、等资产信息，找出已知和未知资产。</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提供资产管理服务平台，结合资产的信息、业务属性进行动态的安全标记，形成</w:t>
      </w:r>
      <w:proofErr w:type="gramStart"/>
      <w:r w:rsidRPr="004B297B">
        <w:rPr>
          <w:rFonts w:ascii="仿宋" w:eastAsia="仿宋" w:hAnsi="仿宋" w:cs="仿宋" w:hint="eastAsia"/>
          <w:sz w:val="28"/>
          <w:szCs w:val="22"/>
        </w:rPr>
        <w:t>资产台账进行</w:t>
      </w:r>
      <w:proofErr w:type="gramEnd"/>
      <w:r w:rsidRPr="004B297B">
        <w:rPr>
          <w:rFonts w:ascii="仿宋" w:eastAsia="仿宋" w:hAnsi="仿宋" w:cs="仿宋" w:hint="eastAsia"/>
          <w:sz w:val="28"/>
          <w:szCs w:val="22"/>
        </w:rPr>
        <w:t>管理，全方面识别用户数字资产暴露面。提供自定义资产和人工添加资产能力。对具备有效期的资产如域名、证书等需做到实时数据查询和到期提醒。</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3.6其他要求</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3.6.1供应商应与合同签订后10个工作日内向采购提交《信息系统安全等级保护测评方案》经采购人审核同意后方可实施。</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3.6.2本次信息安全等级保护</w:t>
      </w:r>
      <w:proofErr w:type="gramStart"/>
      <w:r w:rsidRPr="004B297B">
        <w:rPr>
          <w:rFonts w:ascii="仿宋" w:eastAsia="仿宋" w:hAnsi="仿宋" w:cs="仿宋" w:hint="eastAsia"/>
          <w:sz w:val="28"/>
          <w:szCs w:val="22"/>
        </w:rPr>
        <w:t>测评需</w:t>
      </w:r>
      <w:proofErr w:type="gramEnd"/>
      <w:r w:rsidRPr="004B297B">
        <w:rPr>
          <w:rFonts w:ascii="仿宋" w:eastAsia="仿宋" w:hAnsi="仿宋" w:cs="仿宋" w:hint="eastAsia"/>
          <w:sz w:val="28"/>
          <w:szCs w:val="22"/>
        </w:rPr>
        <w:t>按照“成都市网络安全大队”</w:t>
      </w:r>
      <w:r w:rsidRPr="004B297B">
        <w:rPr>
          <w:rFonts w:ascii="仿宋" w:eastAsia="仿宋" w:hAnsi="仿宋" w:cs="仿宋" w:hint="eastAsia"/>
          <w:sz w:val="28"/>
          <w:szCs w:val="22"/>
        </w:rPr>
        <w:lastRenderedPageBreak/>
        <w:t>和“信息安全等级保护测评”相关政策要求进行测评。测评过程中提供《信息系统安全等级保护测评现场测评结果记录表》</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3.6.3测评完成之后, 供应商须协助本中心完成信息系统整改,供应商所提供的整改建议科学、合理、有效、并及时跟进整改情况；</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3.6.4供应商在测评完成之后，出具符合标准要求的系统安全等级保护测评报告；</w:t>
      </w:r>
    </w:p>
    <w:p w:rsidR="002F5243" w:rsidRPr="004B297B" w:rsidRDefault="002F5243" w:rsidP="002F5243">
      <w:pPr>
        <w:ind w:firstLine="552"/>
        <w:rPr>
          <w:rFonts w:ascii="仿宋" w:eastAsia="仿宋" w:hAnsi="仿宋" w:cs="仿宋" w:hint="eastAsia"/>
          <w:b/>
          <w:bCs/>
          <w:sz w:val="28"/>
          <w:szCs w:val="22"/>
        </w:rPr>
      </w:pPr>
      <w:r w:rsidRPr="004B297B">
        <w:rPr>
          <w:rFonts w:ascii="仿宋" w:eastAsia="仿宋" w:hAnsi="仿宋" w:cs="仿宋" w:hint="eastAsia"/>
          <w:sz w:val="28"/>
          <w:szCs w:val="22"/>
        </w:rPr>
        <w:t>3.6.5供应商在测评完成之后，供应商根据采购人系统现状与标准的差距情况提供整改建议方案。</w:t>
      </w:r>
    </w:p>
    <w:p w:rsidR="002F5243" w:rsidRPr="004B297B" w:rsidRDefault="002F5243" w:rsidP="002F5243">
      <w:pPr>
        <w:ind w:firstLineChars="200" w:firstLine="562"/>
        <w:rPr>
          <w:rFonts w:ascii="仿宋" w:eastAsia="仿宋" w:hAnsi="仿宋" w:cs="仿宋" w:hint="eastAsia"/>
          <w:b/>
          <w:bCs/>
          <w:sz w:val="28"/>
          <w:szCs w:val="22"/>
        </w:rPr>
      </w:pPr>
      <w:r w:rsidRPr="004B297B">
        <w:rPr>
          <w:rFonts w:ascii="仿宋" w:eastAsia="仿宋" w:hAnsi="仿宋" w:cs="仿宋" w:hint="eastAsia"/>
          <w:b/>
          <w:bCs/>
          <w:sz w:val="28"/>
          <w:szCs w:val="22"/>
        </w:rPr>
        <w:t>（二）商务要求：</w:t>
      </w:r>
      <w:bookmarkEnd w:id="3"/>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1.付款方式</w:t>
      </w:r>
    </w:p>
    <w:p w:rsidR="002F5243" w:rsidRPr="004B297B" w:rsidRDefault="002F5243" w:rsidP="002F5243">
      <w:pPr>
        <w:pStyle w:val="1"/>
        <w:snapToGrid w:val="0"/>
        <w:spacing w:line="520" w:lineRule="exact"/>
        <w:ind w:firstLine="560"/>
        <w:rPr>
          <w:rFonts w:ascii="仿宋" w:eastAsia="仿宋" w:hAnsi="仿宋" w:cs="仿宋" w:hint="eastAsia"/>
          <w:sz w:val="28"/>
        </w:rPr>
      </w:pPr>
      <w:r w:rsidRPr="004B297B">
        <w:rPr>
          <w:rFonts w:ascii="仿宋" w:eastAsia="仿宋" w:hAnsi="仿宋" w:cs="仿宋" w:hint="eastAsia"/>
          <w:sz w:val="28"/>
        </w:rPr>
        <w:t>合同签订后采购人收到供应商提供的发票资料后10个工作日内向供应商预付40%的合同金额。</w:t>
      </w:r>
    </w:p>
    <w:p w:rsidR="002F5243" w:rsidRPr="004B297B" w:rsidRDefault="002F5243" w:rsidP="002F5243">
      <w:pPr>
        <w:pStyle w:val="1"/>
        <w:snapToGrid w:val="0"/>
        <w:spacing w:line="520" w:lineRule="exact"/>
        <w:ind w:firstLine="560"/>
        <w:rPr>
          <w:rFonts w:ascii="仿宋" w:eastAsia="仿宋" w:hAnsi="仿宋" w:cs="仿宋" w:hint="eastAsia"/>
          <w:sz w:val="22"/>
        </w:rPr>
      </w:pPr>
      <w:r w:rsidRPr="004B297B">
        <w:rPr>
          <w:rFonts w:ascii="仿宋" w:eastAsia="仿宋" w:hAnsi="仿宋" w:cs="仿宋" w:hint="eastAsia"/>
          <w:sz w:val="28"/>
        </w:rPr>
        <w:t>测评工作完成，供应商出具测评报告经采购人确认后，供应商向采购人开具发票，采购收到响应票据资料后10个工作日内，支付合同总金额30%。</w:t>
      </w:r>
    </w:p>
    <w:p w:rsidR="002F5243" w:rsidRPr="004B297B" w:rsidRDefault="002F5243" w:rsidP="002F5243">
      <w:pPr>
        <w:pStyle w:val="1"/>
        <w:snapToGrid w:val="0"/>
        <w:spacing w:line="520" w:lineRule="exact"/>
        <w:ind w:firstLine="560"/>
        <w:rPr>
          <w:rFonts w:ascii="仿宋" w:eastAsia="仿宋" w:hAnsi="仿宋" w:cs="仿宋" w:hint="eastAsia"/>
          <w:sz w:val="28"/>
        </w:rPr>
      </w:pPr>
      <w:r w:rsidRPr="004B297B">
        <w:rPr>
          <w:rFonts w:ascii="仿宋" w:eastAsia="仿宋" w:hAnsi="仿宋" w:cs="仿宋" w:hint="eastAsia"/>
          <w:sz w:val="28"/>
        </w:rPr>
        <w:t>项目实施完毕经采购人验收合格后供应商开具发票，采购人收到相应票据资料后10个工作日内，支付合同总金额剩余30%。</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2.测评时间：接采购人测评通知后</w:t>
      </w:r>
      <w:r w:rsidRPr="004B297B">
        <w:rPr>
          <w:rFonts w:ascii="仿宋" w:eastAsia="仿宋" w:hAnsi="仿宋" w:cs="仿宋"/>
          <w:sz w:val="28"/>
          <w:szCs w:val="22"/>
        </w:rPr>
        <w:t>45</w:t>
      </w:r>
      <w:r w:rsidRPr="004B297B">
        <w:rPr>
          <w:rFonts w:ascii="仿宋" w:eastAsia="仿宋" w:hAnsi="仿宋" w:cs="仿宋" w:hint="eastAsia"/>
          <w:sz w:val="28"/>
          <w:szCs w:val="22"/>
        </w:rPr>
        <w:t>个工作日完成并出具测评报告。</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3.咨询服务期限：一年（合同签订之日起）</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4.服务地点：彭州市妇幼保健院</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5.验收时间及内容：</w:t>
      </w:r>
    </w:p>
    <w:p w:rsidR="002F5243" w:rsidRPr="004B297B" w:rsidRDefault="002F5243" w:rsidP="002F5243">
      <w:pPr>
        <w:pStyle w:val="1"/>
        <w:snapToGrid w:val="0"/>
        <w:spacing w:line="520" w:lineRule="exact"/>
        <w:ind w:firstLine="560"/>
        <w:rPr>
          <w:rFonts w:ascii="仿宋" w:eastAsia="仿宋" w:hAnsi="仿宋" w:cs="仿宋" w:hint="eastAsia"/>
          <w:sz w:val="28"/>
        </w:rPr>
      </w:pPr>
      <w:r w:rsidRPr="004B297B">
        <w:rPr>
          <w:rFonts w:ascii="仿宋" w:eastAsia="仿宋" w:hAnsi="仿宋" w:cs="仿宋" w:hint="eastAsia"/>
          <w:sz w:val="28"/>
        </w:rPr>
        <w:t>5.1供应商需在项目工期内按要求完成项目。如供应商逾期未完</w:t>
      </w:r>
      <w:r w:rsidRPr="004B297B">
        <w:rPr>
          <w:rFonts w:ascii="仿宋" w:eastAsia="仿宋" w:hAnsi="仿宋" w:cs="仿宋" w:hint="eastAsia"/>
          <w:sz w:val="28"/>
        </w:rPr>
        <w:lastRenderedPageBreak/>
        <w:t>成合同约定事项，每逾期一日，应按合同总金额的0.1％向甲方支付违约金，最高不超过本合同金额的10％，逾期超过30日的，甲方有权解除本合同，乙方应当支付甲方逾期时间范围内所产生的违约金。</w:t>
      </w:r>
    </w:p>
    <w:p w:rsidR="002F5243" w:rsidRPr="004B297B" w:rsidRDefault="002F5243" w:rsidP="002F5243">
      <w:pPr>
        <w:pStyle w:val="1"/>
        <w:snapToGrid w:val="0"/>
        <w:spacing w:line="520" w:lineRule="exact"/>
        <w:ind w:firstLine="560"/>
        <w:rPr>
          <w:rFonts w:ascii="仿宋" w:eastAsia="仿宋" w:hAnsi="仿宋" w:cs="仿宋" w:hint="eastAsia"/>
          <w:sz w:val="28"/>
        </w:rPr>
      </w:pPr>
      <w:r w:rsidRPr="004B297B">
        <w:rPr>
          <w:rFonts w:ascii="仿宋" w:eastAsia="仿宋" w:hAnsi="仿宋" w:cs="仿宋" w:hint="eastAsia"/>
          <w:sz w:val="28"/>
        </w:rPr>
        <w:t>5.2供应商在完成测评和取得成都市公安局信息系统安全等级保护备案证明后，采购人在10个工作日内组织有关单位或人员进行验收，验收合格后出具验收报告，若验收不合格供应商应在约定时间内完成整改后重新申请验收。</w:t>
      </w:r>
    </w:p>
    <w:p w:rsidR="002F5243" w:rsidRPr="004B297B" w:rsidRDefault="002F5243" w:rsidP="002F5243">
      <w:pPr>
        <w:ind w:firstLineChars="200" w:firstLine="560"/>
        <w:rPr>
          <w:rFonts w:ascii="仿宋" w:eastAsia="仿宋" w:hAnsi="仿宋" w:cs="仿宋" w:hint="eastAsia"/>
          <w:sz w:val="28"/>
          <w:szCs w:val="22"/>
        </w:rPr>
      </w:pPr>
      <w:r w:rsidRPr="004B297B">
        <w:rPr>
          <w:rFonts w:ascii="仿宋" w:eastAsia="仿宋" w:hAnsi="仿宋" w:cs="仿宋" w:hint="eastAsia"/>
          <w:sz w:val="28"/>
          <w:szCs w:val="22"/>
        </w:rPr>
        <w:t>5.3若采购人无故不予验收，在供应商提出验收申请并提交相关验收资料的30个工作日后，视为验收合格。</w:t>
      </w:r>
    </w:p>
    <w:p w:rsidR="00B8315B" w:rsidRPr="004B297B" w:rsidRDefault="00B8315B"/>
    <w:sectPr w:rsidR="00B8315B" w:rsidRPr="004B29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
    <w:altName w:val="仿宋"/>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5243"/>
    <w:rsid w:val="002F5243"/>
    <w:rsid w:val="004B297B"/>
    <w:rsid w:val="00B83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5243"/>
    <w:pPr>
      <w:widowControl w:val="0"/>
      <w:jc w:val="both"/>
    </w:pPr>
    <w:rPr>
      <w:rFonts w:ascii="Calibri" w:eastAsia="方正仿宋"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4">
    <w:name w:val="_Style 4"/>
    <w:basedOn w:val="a"/>
    <w:rsid w:val="002F5243"/>
    <w:rPr>
      <w:szCs w:val="32"/>
    </w:rPr>
  </w:style>
  <w:style w:type="paragraph" w:customStyle="1" w:styleId="1">
    <w:name w:val="列出段落1"/>
    <w:basedOn w:val="a"/>
    <w:qFormat/>
    <w:rsid w:val="002F5243"/>
    <w:pPr>
      <w:ind w:firstLineChars="200" w:firstLine="420"/>
    </w:pPr>
    <w:rPr>
      <w:rFonts w:cs="黑体"/>
      <w:szCs w:val="22"/>
    </w:rPr>
  </w:style>
  <w:style w:type="paragraph" w:styleId="a0">
    <w:name w:val="Body Text"/>
    <w:basedOn w:val="a"/>
    <w:link w:val="Char"/>
    <w:uiPriority w:val="99"/>
    <w:semiHidden/>
    <w:unhideWhenUsed/>
    <w:rsid w:val="002F5243"/>
    <w:pPr>
      <w:spacing w:after="120"/>
    </w:pPr>
  </w:style>
  <w:style w:type="character" w:customStyle="1" w:styleId="Char">
    <w:name w:val="正文文本 Char"/>
    <w:basedOn w:val="a1"/>
    <w:link w:val="a0"/>
    <w:uiPriority w:val="99"/>
    <w:semiHidden/>
    <w:rsid w:val="002F5243"/>
    <w:rPr>
      <w:rFonts w:ascii="Calibri" w:eastAsia="方正仿宋" w:hAnsi="Calibri"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2022-11-18T03:54:00Z</dcterms:created>
  <dcterms:modified xsi:type="dcterms:W3CDTF">2022-11-18T03:56:00Z</dcterms:modified>
</cp:coreProperties>
</file>