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4"/>
        <w:tblW w:w="0" w:type="auto"/>
        <w:tblInd w:w="0" w:type="dxa"/>
        <w:tblLayout w:type="autofit"/>
        <w:tblCellMar>
          <w:top w:w="0" w:type="dxa"/>
          <w:left w:w="108" w:type="dxa"/>
          <w:bottom w:w="0" w:type="dxa"/>
          <w:right w:w="108" w:type="dxa"/>
        </w:tblCellMar>
      </w:tblPr>
      <w:tblGrid>
        <w:gridCol w:w="567"/>
        <w:gridCol w:w="7138"/>
      </w:tblGrid>
      <w:tr>
        <w:tblPrEx>
          <w:tblCellMar>
            <w:top w:w="0" w:type="dxa"/>
            <w:left w:w="108" w:type="dxa"/>
            <w:bottom w:w="0" w:type="dxa"/>
            <w:right w:w="108" w:type="dxa"/>
          </w:tblCellMar>
        </w:tblPrEx>
        <w:tc>
          <w:tcPr>
            <w:tcW w:w="567" w:type="dxa"/>
          </w:tcPr>
          <w:p/>
        </w:tc>
        <w:tc>
          <w:tcPr>
            <w:tcW w:w="7138" w:type="dxa"/>
          </w:tcPr>
          <w:p>
            <w:r>
              <w:t>技术参数与性能指标</w:t>
            </w:r>
          </w:p>
        </w:tc>
      </w:tr>
      <w:tr>
        <w:tblPrEx>
          <w:tblCellMar>
            <w:top w:w="0" w:type="dxa"/>
            <w:left w:w="108" w:type="dxa"/>
            <w:bottom w:w="0" w:type="dxa"/>
            <w:right w:w="108" w:type="dxa"/>
          </w:tblCellMar>
        </w:tblPrEx>
        <w:tc>
          <w:tcPr>
            <w:tcW w:w="567" w:type="dxa"/>
          </w:tcPr>
          <w:p>
            <w:r>
              <w:t>1</w:t>
            </w:r>
          </w:p>
        </w:tc>
        <w:tc>
          <w:tcPr>
            <w:tcW w:w="7138" w:type="dxa"/>
          </w:tcPr>
          <w:tbl>
            <w:tblPr>
              <w:tblStyle w:val="4"/>
              <w:tblpPr w:leftFromText="180" w:rightFromText="180" w:vertAnchor="text" w:horzAnchor="margin" w:tblpY="-108"/>
              <w:tblOverlap w:val="never"/>
              <w:tblW w:w="0" w:type="auto"/>
              <w:tblInd w:w="0" w:type="dxa"/>
              <w:tblLayout w:type="autofit"/>
              <w:tblCellMar>
                <w:top w:w="0" w:type="dxa"/>
                <w:left w:w="108" w:type="dxa"/>
                <w:bottom w:w="0" w:type="dxa"/>
                <w:right w:w="108" w:type="dxa"/>
              </w:tblCellMar>
            </w:tblPr>
            <w:tblGrid>
              <w:gridCol w:w="421"/>
              <w:gridCol w:w="630"/>
              <w:gridCol w:w="4661"/>
              <w:gridCol w:w="567"/>
              <w:gridCol w:w="609"/>
            </w:tblGrid>
            <w:tr>
              <w:tblPrEx>
                <w:tblCellMar>
                  <w:top w:w="0" w:type="dxa"/>
                  <w:left w:w="108" w:type="dxa"/>
                  <w:bottom w:w="0" w:type="dxa"/>
                  <w:right w:w="108" w:type="dxa"/>
                </w:tblCellMar>
              </w:tblPrEx>
              <w:tc>
                <w:tcPr>
                  <w:tcW w:w="41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b/>
                      <w:sz w:val="21"/>
                      <w:szCs w:val="21"/>
                    </w:rPr>
                    <w:t>序号</w:t>
                  </w:r>
                </w:p>
              </w:tc>
              <w:tc>
                <w:tcPr>
                  <w:tcW w:w="621" w:type="dxa"/>
                  <w:tcBorders>
                    <w:top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b/>
                      <w:sz w:val="21"/>
                      <w:szCs w:val="21"/>
                    </w:rPr>
                    <w:t>产品名称</w:t>
                  </w:r>
                </w:p>
              </w:tc>
              <w:tc>
                <w:tcPr>
                  <w:tcW w:w="4661" w:type="dxa"/>
                  <w:tcBorders>
                    <w:top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b/>
                      <w:sz w:val="21"/>
                      <w:szCs w:val="21"/>
                    </w:rPr>
                    <w:t>技术参数</w:t>
                  </w:r>
                </w:p>
              </w:tc>
              <w:tc>
                <w:tcPr>
                  <w:tcW w:w="567" w:type="dxa"/>
                  <w:tcBorders>
                    <w:top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b/>
                      <w:sz w:val="21"/>
                      <w:szCs w:val="21"/>
                    </w:rPr>
                    <w:t>单位</w:t>
                  </w:r>
                </w:p>
              </w:tc>
              <w:tc>
                <w:tcPr>
                  <w:tcW w:w="609" w:type="dxa"/>
                  <w:tcBorders>
                    <w:top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b/>
                      <w:sz w:val="21"/>
                      <w:szCs w:val="21"/>
                    </w:rPr>
                    <w:t>数量</w:t>
                  </w:r>
                </w:p>
              </w:tc>
            </w:tr>
            <w:tr>
              <w:tblPrEx>
                <w:tblCellMar>
                  <w:top w:w="0" w:type="dxa"/>
                  <w:left w:w="108" w:type="dxa"/>
                  <w:bottom w:w="0" w:type="dxa"/>
                  <w:right w:w="108" w:type="dxa"/>
                </w:tblCellMar>
              </w:tblPrEx>
              <w:tc>
                <w:tcPr>
                  <w:tcW w:w="6869" w:type="dxa"/>
                  <w:gridSpan w:val="5"/>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仿宋"/>
                      <w:color w:val="000000"/>
                      <w:sz w:val="21"/>
                      <w:szCs w:val="21"/>
                    </w:rPr>
                    <w:t>一、UPS系统改造</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仿宋"/>
                      <w:color w:val="000000"/>
                      <w:sz w:val="21"/>
                      <w:szCs w:val="21"/>
                    </w:rPr>
                    <w:t>UPS主机</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1.UPS类型：在线双变换式模块化UPS，单台UPS机框容量60kVA，支持3个20kVA功率模块，本次配置≥2个功率模块，功率模块支持热插拔，支持N+X冗余。</w:t>
                  </w:r>
                </w:p>
                <w:p>
                  <w:pPr>
                    <w:pStyle w:val="8"/>
                    <w:rPr>
                      <w:rFonts w:hint="default" w:ascii="宋体" w:hAnsi="宋体"/>
                      <w:sz w:val="21"/>
                      <w:szCs w:val="21"/>
                    </w:rPr>
                  </w:pPr>
                  <w:r>
                    <w:rPr>
                      <w:rFonts w:ascii="宋体" w:hAnsi="宋体" w:cs="宋体"/>
                      <w:color w:val="000000"/>
                      <w:sz w:val="21"/>
                      <w:szCs w:val="21"/>
                    </w:rPr>
                    <w:t>2.功率容量：60KVA，功率模块容量为：20KVA</w:t>
                  </w:r>
                </w:p>
                <w:p>
                  <w:pPr>
                    <w:pStyle w:val="8"/>
                    <w:rPr>
                      <w:rFonts w:hint="default" w:ascii="宋体" w:hAnsi="宋体"/>
                      <w:sz w:val="21"/>
                      <w:szCs w:val="21"/>
                    </w:rPr>
                  </w:pPr>
                  <w:r>
                    <w:rPr>
                      <w:rFonts w:ascii="宋体" w:hAnsi="宋体" w:cs="宋体"/>
                      <w:color w:val="000000"/>
                      <w:sz w:val="21"/>
                      <w:szCs w:val="21"/>
                    </w:rPr>
                    <w:t>3. 标配LCD+LED的显示方式，可显示输入输出电压、频率、功率、功率因数、电池电压、电流、电池状态、负载百分比、ups状态、历史记录、可设置UPS运行参数，可及时发现UPS的隐形故障，防患于未然；</w:t>
                  </w:r>
                </w:p>
                <w:p>
                  <w:pPr>
                    <w:pStyle w:val="8"/>
                    <w:rPr>
                      <w:rFonts w:hint="default" w:ascii="宋体" w:hAnsi="宋体"/>
                      <w:sz w:val="21"/>
                      <w:szCs w:val="21"/>
                    </w:rPr>
                  </w:pPr>
                  <w:r>
                    <w:rPr>
                      <w:rFonts w:ascii="宋体" w:hAnsi="宋体" w:cs="宋体"/>
                      <w:color w:val="000000"/>
                      <w:sz w:val="21"/>
                      <w:szCs w:val="21"/>
                    </w:rPr>
                    <w:t>4.UPS主机采用智能电池充电方式，用户可设定充电电流，恒流、恒压和浮充充电模式可自动平滑切换以延长电池的使用寿命；具备直流启动功能，可在无市电情况下启动UPS，满足应急需求；</w:t>
                  </w:r>
                </w:p>
                <w:p>
                  <w:pPr>
                    <w:pStyle w:val="8"/>
                    <w:rPr>
                      <w:rFonts w:hint="default" w:ascii="宋体" w:hAnsi="宋体"/>
                      <w:sz w:val="21"/>
                      <w:szCs w:val="21"/>
                    </w:rPr>
                  </w:pPr>
                  <w:r>
                    <w:rPr>
                      <w:rFonts w:ascii="宋体" w:hAnsi="宋体" w:cs="宋体"/>
                      <w:color w:val="000000"/>
                      <w:sz w:val="21"/>
                      <w:szCs w:val="21"/>
                    </w:rPr>
                    <w:t>5.采用输入功率因数校正（PFC）技术，输入功因高于0.99，提高电能利用率，极大消除UPS对市电电网的谐波污染，降低UPS运行成本；</w:t>
                  </w:r>
                </w:p>
                <w:p>
                  <w:pPr>
                    <w:pStyle w:val="8"/>
                    <w:rPr>
                      <w:rFonts w:hint="default" w:ascii="宋体" w:hAnsi="宋体"/>
                      <w:sz w:val="21"/>
                      <w:szCs w:val="21"/>
                    </w:rPr>
                  </w:pPr>
                  <w:r>
                    <w:rPr>
                      <w:rFonts w:ascii="宋体" w:hAnsi="宋体" w:cs="宋体"/>
                      <w:color w:val="000000"/>
                      <w:sz w:val="21"/>
                      <w:szCs w:val="21"/>
                    </w:rPr>
                    <w:t>6.输入性能指标：采用380V三相五线制输入，输入电压范围为138～485Vac；305～485Vac 不降额，138～305Vac 线性降额; 具有ECO运行模式，高效节能，可降低用户使用成本;</w:t>
                  </w:r>
                </w:p>
                <w:p>
                  <w:pPr>
                    <w:pStyle w:val="8"/>
                    <w:rPr>
                      <w:rFonts w:hint="default" w:ascii="宋体" w:hAnsi="宋体"/>
                      <w:sz w:val="21"/>
                      <w:szCs w:val="21"/>
                    </w:rPr>
                  </w:pPr>
                  <w:r>
                    <w:rPr>
                      <w:rFonts w:ascii="宋体" w:hAnsi="宋体" w:cs="宋体"/>
                      <w:color w:val="000000"/>
                      <w:sz w:val="21"/>
                      <w:szCs w:val="21"/>
                    </w:rPr>
                    <w:t>7.要求UPS具有宽广的输入电压范围,采用宽电压辅助电源PWM芯片的启动电路，投标产品需提供该电路设计的方法。</w:t>
                  </w:r>
                </w:p>
                <w:p>
                  <w:pPr>
                    <w:pStyle w:val="8"/>
                    <w:rPr>
                      <w:rFonts w:hint="default" w:ascii="宋体" w:hAnsi="宋体"/>
                      <w:sz w:val="21"/>
                      <w:szCs w:val="21"/>
                    </w:rPr>
                  </w:pPr>
                  <w:r>
                    <w:rPr>
                      <w:rFonts w:ascii="宋体" w:hAnsi="宋体" w:cs="宋体"/>
                      <w:color w:val="000000"/>
                      <w:sz w:val="21"/>
                      <w:szCs w:val="21"/>
                    </w:rPr>
                    <w:t>8.投标的UPS电源具有稳定的输出功率和输出精度，采用恒流恒功率电路设计，投标产品需提供该电路设计的方法。</w:t>
                  </w:r>
                </w:p>
                <w:p>
                  <w:pPr>
                    <w:pStyle w:val="8"/>
                    <w:rPr>
                      <w:rFonts w:hint="default" w:ascii="宋体" w:hAnsi="宋体"/>
                      <w:sz w:val="21"/>
                      <w:szCs w:val="21"/>
                    </w:rPr>
                  </w:pPr>
                  <w:r>
                    <w:rPr>
                      <w:rFonts w:ascii="宋体" w:hAnsi="宋体" w:cs="宋体"/>
                      <w:color w:val="000000"/>
                      <w:sz w:val="21"/>
                      <w:szCs w:val="21"/>
                    </w:rPr>
                    <w:t>9.输出性能指标: 输出相电压(Vac)：220/230/240±1%;输出功率因数：0.9; 100%负载下 整机效率高达＞95%。过载能力：负载≤110%，60min，≤125%，维持10min，≤150%维持1min；</w:t>
                  </w:r>
                </w:p>
                <w:p>
                  <w:pPr>
                    <w:pStyle w:val="8"/>
                    <w:rPr>
                      <w:rFonts w:hint="default" w:ascii="宋体" w:hAnsi="宋体"/>
                      <w:sz w:val="21"/>
                      <w:szCs w:val="21"/>
                    </w:rPr>
                  </w:pPr>
                  <w:r>
                    <w:rPr>
                      <w:rFonts w:ascii="宋体" w:hAnsi="宋体" w:cs="宋体"/>
                      <w:color w:val="000000"/>
                      <w:sz w:val="21"/>
                      <w:szCs w:val="21"/>
                    </w:rPr>
                    <w:t>10.直流电压设置：为保证客户的长效投资，系统在运行使用中有电池故障，可直接在线下架故障的电池，直流电压：360-600Vdc电池节数在30-50节可调（提供电池30节及50节配置操作界面截图）。；</w:t>
                  </w:r>
                </w:p>
                <w:p>
                  <w:pPr>
                    <w:pStyle w:val="8"/>
                    <w:rPr>
                      <w:rFonts w:hint="default" w:ascii="宋体" w:hAnsi="宋体"/>
                      <w:sz w:val="21"/>
                      <w:szCs w:val="21"/>
                    </w:rPr>
                  </w:pPr>
                  <w:r>
                    <w:rPr>
                      <w:rFonts w:ascii="宋体" w:hAnsi="宋体" w:cs="宋体"/>
                      <w:color w:val="000000"/>
                      <w:sz w:val="21"/>
                      <w:szCs w:val="21"/>
                    </w:rPr>
                    <w:t>11.通讯界面：投标产品具有可进行远程监控管理功能，需提供所投UPS产品的监控软件相关证书；主机自带：（标配）RS232\（选配）RS485\（选配）SNMP通讯；</w:t>
                  </w:r>
                </w:p>
                <w:p>
                  <w:pPr>
                    <w:pStyle w:val="8"/>
                    <w:rPr>
                      <w:rFonts w:hint="default" w:ascii="宋体" w:hAnsi="宋体"/>
                      <w:sz w:val="21"/>
                      <w:szCs w:val="21"/>
                    </w:rPr>
                  </w:pPr>
                  <w:r>
                    <w:rPr>
                      <w:rFonts w:ascii="宋体" w:hAnsi="宋体" w:cs="宋体"/>
                      <w:color w:val="000000"/>
                      <w:sz w:val="21"/>
                      <w:szCs w:val="21"/>
                    </w:rPr>
                    <w:t>12．功率模块散热风扇需采用容错设计，要求在单个故障情况下仍可带载50%，在两个故障情况下仍可带载30%，提供该功提供测试报告。</w:t>
                  </w:r>
                </w:p>
                <w:p>
                  <w:pPr>
                    <w:pStyle w:val="8"/>
                    <w:rPr>
                      <w:rFonts w:hint="default" w:ascii="宋体" w:hAnsi="宋体"/>
                      <w:sz w:val="21"/>
                      <w:szCs w:val="21"/>
                    </w:rPr>
                  </w:pPr>
                  <w:r>
                    <w:rPr>
                      <w:rFonts w:ascii="宋体" w:hAnsi="宋体" w:cs="宋体"/>
                      <w:color w:val="000000"/>
                      <w:sz w:val="21"/>
                      <w:szCs w:val="21"/>
                    </w:rPr>
                    <w:t>13.投标方需提供CNAS实验室认证证书，其检测领域包含所投产品的EMC及可靠性检测；</w:t>
                  </w:r>
                </w:p>
                <w:p>
                  <w:pPr>
                    <w:pStyle w:val="8"/>
                    <w:rPr>
                      <w:rFonts w:hint="default" w:ascii="宋体" w:hAnsi="宋体"/>
                      <w:sz w:val="21"/>
                      <w:szCs w:val="21"/>
                    </w:rPr>
                  </w:pPr>
                  <w:r>
                    <w:rPr>
                      <w:rFonts w:ascii="宋体" w:hAnsi="宋体" w:cs="宋体"/>
                      <w:color w:val="000000"/>
                      <w:sz w:val="21"/>
                      <w:szCs w:val="21"/>
                    </w:rPr>
                    <w:t>14.电池管理：UPS具备电池单体浮充电压、均充电压、放电终止电压最高和最低点可设置功能；电池组最大充电电流、最大电池放电时间及最大均充时间可设置功能；并可根据设置的值实现告警；投标方须提交产品证明材料验证；</w:t>
                  </w:r>
                </w:p>
                <w:p>
                  <w:pPr>
                    <w:pStyle w:val="8"/>
                    <w:rPr>
                      <w:rFonts w:hint="default" w:ascii="宋体" w:hAnsi="宋体"/>
                      <w:sz w:val="21"/>
                      <w:szCs w:val="21"/>
                    </w:rPr>
                  </w:pPr>
                  <w:r>
                    <w:rPr>
                      <w:rFonts w:ascii="宋体" w:hAnsi="宋体" w:cs="宋体"/>
                      <w:color w:val="000000"/>
                      <w:sz w:val="21"/>
                      <w:szCs w:val="21"/>
                    </w:rPr>
                    <w:t>15.UPS主要器件AC/DC变换器、DC/AC逆变器为自主研发。</w:t>
                  </w:r>
                </w:p>
                <w:p>
                  <w:pPr>
                    <w:pStyle w:val="8"/>
                    <w:rPr>
                      <w:rFonts w:hint="default" w:ascii="宋体" w:hAnsi="宋体"/>
                      <w:sz w:val="21"/>
                      <w:szCs w:val="21"/>
                    </w:rPr>
                  </w:pPr>
                  <w:r>
                    <w:rPr>
                      <w:rFonts w:ascii="宋体" w:hAnsi="宋体" w:cs="宋体"/>
                      <w:color w:val="000000"/>
                      <w:sz w:val="21"/>
                      <w:szCs w:val="21"/>
                    </w:rPr>
                    <w:t xml:space="preserve">16.无需并机柜，可直接并机，可4台并联，并机时可共用电池组；每组电池30～50只可现场设置；（要求现场测试此功能）； </w:t>
                  </w:r>
                </w:p>
                <w:p>
                  <w:pPr>
                    <w:pStyle w:val="8"/>
                    <w:rPr>
                      <w:rFonts w:hint="default" w:ascii="宋体" w:hAnsi="宋体"/>
                      <w:sz w:val="21"/>
                      <w:szCs w:val="21"/>
                    </w:rPr>
                  </w:pPr>
                  <w:r>
                    <w:rPr>
                      <w:rFonts w:ascii="宋体" w:hAnsi="宋体" w:cs="宋体"/>
                      <w:color w:val="000000"/>
                      <w:sz w:val="21"/>
                      <w:szCs w:val="21"/>
                    </w:rPr>
                    <w:t>17．针对本项目使用环境，要求UPS采用的柜体为防潮型设计；提供该功能设计材料。</w:t>
                  </w:r>
                </w:p>
                <w:p>
                  <w:pPr>
                    <w:pStyle w:val="8"/>
                    <w:rPr>
                      <w:rFonts w:hint="default" w:ascii="宋体" w:hAnsi="宋体"/>
                      <w:sz w:val="21"/>
                      <w:szCs w:val="21"/>
                    </w:rPr>
                  </w:pPr>
                  <w:r>
                    <w:rPr>
                      <w:rFonts w:ascii="宋体" w:hAnsi="宋体" w:cs="宋体"/>
                      <w:color w:val="000000"/>
                      <w:sz w:val="21"/>
                      <w:szCs w:val="21"/>
                    </w:rPr>
                    <w:t xml:space="preserve">18.提供投标产品的泰尔认证证书及节能认证复印件； </w:t>
                  </w:r>
                </w:p>
                <w:p>
                  <w:pPr>
                    <w:pStyle w:val="8"/>
                    <w:rPr>
                      <w:rFonts w:hint="default" w:ascii="宋体" w:hAnsi="宋体"/>
                      <w:sz w:val="21"/>
                      <w:szCs w:val="21"/>
                    </w:rPr>
                  </w:pPr>
                  <w:r>
                    <w:rPr>
                      <w:rFonts w:ascii="宋体" w:hAnsi="宋体" w:cs="宋体"/>
                      <w:color w:val="000000"/>
                      <w:sz w:val="21"/>
                      <w:szCs w:val="21"/>
                    </w:rPr>
                    <w:t>19．UPS该系列系列产品需通过电信设备抗震性能检测，并提供有效期内抗震合格证及抗震检测报告;</w:t>
                  </w:r>
                </w:p>
                <w:p>
                  <w:pPr>
                    <w:pStyle w:val="8"/>
                    <w:rPr>
                      <w:rFonts w:hint="default" w:ascii="宋体" w:hAnsi="宋体"/>
                      <w:sz w:val="21"/>
                      <w:szCs w:val="21"/>
                    </w:rPr>
                  </w:pPr>
                  <w:r>
                    <w:rPr>
                      <w:rFonts w:ascii="宋体" w:hAnsi="宋体" w:cs="宋体"/>
                      <w:color w:val="000000"/>
                      <w:sz w:val="21"/>
                      <w:szCs w:val="21"/>
                    </w:rPr>
                    <w:t>20.中标后供应商针对本项目三年免费上门保修，终身维护，三年售后服务承诺函原件，为防止假冒伪劣产品供货时需提供相关产品供货证明</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台</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1</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2</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免维护铅酸蓄电池</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1.容量：为保证UPS系统后期维护的一致性，UPS主机与蓄电池为同一品牌，采用阀控式免维护铅酸蓄电池12V100AH（实质性要求）。</w:t>
                  </w:r>
                </w:p>
                <w:p>
                  <w:pPr>
                    <w:pStyle w:val="8"/>
                    <w:rPr>
                      <w:rFonts w:hint="default" w:ascii="宋体" w:hAnsi="宋体"/>
                      <w:sz w:val="21"/>
                      <w:szCs w:val="21"/>
                    </w:rPr>
                  </w:pPr>
                  <w:r>
                    <w:rPr>
                      <w:rFonts w:ascii="宋体" w:hAnsi="宋体" w:cs="宋体"/>
                      <w:color w:val="000000"/>
                      <w:sz w:val="21"/>
                      <w:szCs w:val="21"/>
                    </w:rPr>
                    <w:t>2.质量要求：本次需求为足容量产品，未避免不足容量产品，本项目禁止OEM或ODM产品。并在交货时额外提供2只，在整批电池内随机抽选2只开仓查验内部有无额外添加物、填充物。</w:t>
                  </w:r>
                </w:p>
                <w:p>
                  <w:pPr>
                    <w:pStyle w:val="8"/>
                    <w:rPr>
                      <w:rFonts w:hint="default" w:ascii="宋体" w:hAnsi="宋体"/>
                      <w:sz w:val="21"/>
                      <w:szCs w:val="21"/>
                    </w:rPr>
                  </w:pPr>
                  <w:r>
                    <w:rPr>
                      <w:rFonts w:ascii="宋体" w:hAnsi="宋体" w:cs="宋体"/>
                      <w:color w:val="000000"/>
                      <w:sz w:val="21"/>
                      <w:szCs w:val="21"/>
                    </w:rPr>
                    <w:t>3.在25℃环境下,蓄电池设计寿命≥8年。</w:t>
                  </w:r>
                </w:p>
                <w:p>
                  <w:pPr>
                    <w:pStyle w:val="8"/>
                    <w:rPr>
                      <w:rFonts w:hint="default" w:ascii="宋体" w:hAnsi="宋体"/>
                      <w:sz w:val="21"/>
                      <w:szCs w:val="21"/>
                    </w:rPr>
                  </w:pPr>
                  <w:r>
                    <w:rPr>
                      <w:rFonts w:ascii="宋体" w:hAnsi="宋体" w:cs="宋体"/>
                      <w:color w:val="000000"/>
                      <w:sz w:val="21"/>
                      <w:szCs w:val="21"/>
                    </w:rPr>
                    <w:t>4.电池端电压均衡性：密封反应速率≥97%； 电池间连接电压降≤7mV；防爆性能：充电过程中，遇到明火，内部不引爆，不引燃；过度放电恢复能力：再充电性能：恒压充电24小时的再充电能力因素≥88%；容量一致性：同组电池10小时率容量实验时，最大实际容量与最小实际容量差值≤3%。</w:t>
                  </w:r>
                </w:p>
                <w:p>
                  <w:pPr>
                    <w:pStyle w:val="8"/>
                    <w:rPr>
                      <w:rFonts w:hint="default" w:ascii="宋体" w:hAnsi="宋体"/>
                      <w:sz w:val="21"/>
                      <w:szCs w:val="21"/>
                    </w:rPr>
                  </w:pPr>
                  <w:r>
                    <w:rPr>
                      <w:rFonts w:ascii="宋体" w:hAnsi="宋体" w:cs="宋体"/>
                      <w:color w:val="000000"/>
                      <w:sz w:val="21"/>
                      <w:szCs w:val="21"/>
                    </w:rPr>
                    <w:t>5.蓄电池（每个本体上）附带防伪标识或防伪标签，并可通过明确的真伪鉴别方法鉴定真伪；（提供的产品实物图片进行验证）</w:t>
                  </w:r>
                </w:p>
                <w:p>
                  <w:pPr>
                    <w:pStyle w:val="8"/>
                    <w:rPr>
                      <w:rFonts w:hint="default" w:ascii="宋体" w:hAnsi="宋体"/>
                      <w:sz w:val="21"/>
                      <w:szCs w:val="21"/>
                    </w:rPr>
                  </w:pPr>
                  <w:r>
                    <w:rPr>
                      <w:rFonts w:ascii="宋体" w:hAnsi="宋体" w:cs="宋体"/>
                      <w:color w:val="000000"/>
                      <w:sz w:val="21"/>
                      <w:szCs w:val="21"/>
                    </w:rPr>
                    <w:t>6.为了保证产品的安全性，产品需提供MSDS电池化学品安全说明报告、CNAS蓄电池电解液安全说明书。</w:t>
                  </w:r>
                </w:p>
                <w:p>
                  <w:pPr>
                    <w:pStyle w:val="8"/>
                    <w:rPr>
                      <w:rFonts w:hint="default" w:ascii="宋体" w:hAnsi="宋体" w:cs="宋体"/>
                      <w:color w:val="000000"/>
                      <w:sz w:val="21"/>
                      <w:szCs w:val="21"/>
                    </w:rPr>
                  </w:pPr>
                  <w:r>
                    <w:rPr>
                      <w:rFonts w:ascii="宋体" w:hAnsi="宋体" w:cs="宋体"/>
                      <w:color w:val="000000"/>
                      <w:sz w:val="21"/>
                      <w:szCs w:val="21"/>
                    </w:rPr>
                    <w:t>7.</w:t>
                  </w:r>
                  <w:r>
                    <w:t xml:space="preserve"> </w:t>
                  </w:r>
                  <w:r>
                    <w:rPr>
                      <w:rFonts w:hint="default" w:ascii="宋体" w:hAnsi="宋体" w:cs="宋体"/>
                      <w:color w:val="000000"/>
                      <w:sz w:val="21"/>
                      <w:szCs w:val="21"/>
                    </w:rPr>
                    <w:t>蓄电池</w:t>
                  </w:r>
                  <w:r>
                    <w:rPr>
                      <w:rFonts w:ascii="宋体" w:hAnsi="宋体" w:cs="宋体"/>
                      <w:color w:val="000000"/>
                      <w:sz w:val="21"/>
                      <w:szCs w:val="21"/>
                    </w:rPr>
                    <w:t>必须标配防漏液绝缘毯或防护托盘等防漏液措施，需具备防碰撞及控制蓄电池有效安装距离的设计；（提供产品设计说明文件及权威机构出具证书复印件）</w:t>
                  </w:r>
                  <w:r>
                    <w:rPr>
                      <w:rFonts w:ascii="宋体" w:hAnsi="宋体" w:cs="宋体"/>
                      <w:color w:val="000000"/>
                      <w:sz w:val="21"/>
                      <w:szCs w:val="21"/>
                    </w:rPr>
                    <w:t>。</w:t>
                  </w:r>
                </w:p>
                <w:p>
                  <w:pPr>
                    <w:pStyle w:val="8"/>
                    <w:rPr>
                      <w:rFonts w:hint="default" w:ascii="宋体" w:hAnsi="宋体"/>
                      <w:sz w:val="21"/>
                      <w:szCs w:val="21"/>
                    </w:rPr>
                  </w:pPr>
                  <w:r>
                    <w:rPr>
                      <w:rFonts w:ascii="宋体" w:hAnsi="宋体" w:cs="宋体"/>
                      <w:color w:val="000000"/>
                      <w:sz w:val="21"/>
                      <w:szCs w:val="21"/>
                    </w:rPr>
                    <w:t>8.提供与所投蓄电池型号完全一致的产品检测报告（提供第三方有资质检测机构出具的具有CMA、CNAS标志的产品检测报告复印件）。</w:t>
                  </w:r>
                </w:p>
                <w:p>
                  <w:pPr>
                    <w:pStyle w:val="8"/>
                    <w:rPr>
                      <w:rFonts w:hint="default" w:ascii="宋体" w:hAnsi="宋体"/>
                      <w:sz w:val="21"/>
                      <w:szCs w:val="21"/>
                    </w:rPr>
                  </w:pPr>
                  <w:r>
                    <w:rPr>
                      <w:rFonts w:ascii="宋体" w:hAnsi="宋体" w:cs="宋体"/>
                      <w:color w:val="000000"/>
                      <w:sz w:val="21"/>
                      <w:szCs w:val="21"/>
                    </w:rPr>
                    <w:t>9.提供国家电器产品安全质量监督检验中心或第三方有资质检测机构出具的与所投蓄电池型号完全一致的产品阻燃检测报告（提供检测报告复印件）。</w:t>
                  </w:r>
                </w:p>
                <w:p>
                  <w:pPr>
                    <w:pStyle w:val="8"/>
                    <w:rPr>
                      <w:rFonts w:hint="default" w:ascii="宋体" w:hAnsi="宋体"/>
                      <w:sz w:val="21"/>
                      <w:szCs w:val="21"/>
                    </w:rPr>
                  </w:pPr>
                  <w:r>
                    <w:rPr>
                      <w:rFonts w:ascii="宋体" w:hAnsi="宋体" w:cs="宋体"/>
                      <w:color w:val="000000"/>
                      <w:sz w:val="21"/>
                      <w:szCs w:val="21"/>
                    </w:rPr>
                    <w:t>10. 蓄电池该系列产品需通过电信设备抗震性能检测，并提供有效期内抗震合格证及抗震检测报告。</w:t>
                  </w:r>
                </w:p>
                <w:p>
                  <w:pPr>
                    <w:pStyle w:val="8"/>
                    <w:rPr>
                      <w:rFonts w:hint="default" w:ascii="宋体" w:hAnsi="宋体"/>
                      <w:sz w:val="21"/>
                      <w:szCs w:val="21"/>
                    </w:rPr>
                  </w:pPr>
                </w:p>
                <w:p>
                  <w:pPr>
                    <w:pStyle w:val="8"/>
                    <w:rPr>
                      <w:rFonts w:hint="default" w:ascii="宋体" w:hAnsi="宋体"/>
                      <w:sz w:val="21"/>
                      <w:szCs w:val="21"/>
                    </w:rPr>
                  </w:pPr>
                  <w:r>
                    <w:rPr>
                      <w:rFonts w:ascii="宋体" w:hAnsi="宋体" w:cs="宋体"/>
                      <w:color w:val="000000"/>
                      <w:sz w:val="21"/>
                      <w:szCs w:val="21"/>
                    </w:rPr>
                    <w:t>11.所投蓄电池板栅采用圆角或倒角设计，减少矩形角易碰撞而变形的问题，降低极板下角短路的风险，提高电池的安全性；需详细描述具备此特性的内容及结构图（提供该功能设计材料）。</w:t>
                  </w:r>
                </w:p>
                <w:p>
                  <w:pPr>
                    <w:pStyle w:val="8"/>
                    <w:rPr>
                      <w:rFonts w:hint="default" w:ascii="宋体" w:hAnsi="宋体"/>
                      <w:sz w:val="21"/>
                      <w:szCs w:val="21"/>
                    </w:rPr>
                  </w:pPr>
                  <w:r>
                    <w:rPr>
                      <w:rFonts w:ascii="宋体" w:hAnsi="宋体" w:cs="宋体"/>
                      <w:color w:val="000000"/>
                      <w:sz w:val="21"/>
                      <w:szCs w:val="21"/>
                    </w:rPr>
                    <w:t>12、中标后供应商针对本项目三年免费上门保修，终身维护，三年售后服务承诺函原件，为防止假冒伪劣产品供货时需提供相关产品供货证明。</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只</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128</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3</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电池分组总直流汇流盒</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1.每台UPS配置1套电池总汇流盒，直流开关规格：3P/200A</w:t>
                  </w:r>
                </w:p>
                <w:p>
                  <w:pPr>
                    <w:pStyle w:val="8"/>
                    <w:rPr>
                      <w:rFonts w:hint="default" w:ascii="宋体" w:hAnsi="宋体"/>
                      <w:sz w:val="21"/>
                      <w:szCs w:val="21"/>
                    </w:rPr>
                  </w:pPr>
                  <w:r>
                    <w:rPr>
                      <w:rFonts w:ascii="宋体" w:hAnsi="宋体" w:cs="宋体"/>
                      <w:color w:val="000000"/>
                      <w:sz w:val="21"/>
                      <w:szCs w:val="21"/>
                    </w:rPr>
                    <w:t>2. 拒绝使用交流开关</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套</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1</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4</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电池柜</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1、颜色：黑色、外观结构：拼装</w:t>
                  </w:r>
                </w:p>
                <w:p>
                  <w:pPr>
                    <w:pStyle w:val="8"/>
                    <w:rPr>
                      <w:rFonts w:hint="default" w:ascii="宋体" w:hAnsi="宋体"/>
                      <w:sz w:val="21"/>
                      <w:szCs w:val="21"/>
                    </w:rPr>
                  </w:pPr>
                  <w:r>
                    <w:rPr>
                      <w:rFonts w:ascii="宋体" w:hAnsi="宋体" w:cs="宋体"/>
                      <w:color w:val="000000"/>
                      <w:sz w:val="21"/>
                      <w:szCs w:val="21"/>
                    </w:rPr>
                    <w:t>2、每台电池柜可装入32只12V-100AH蓄电池</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套</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4</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5</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电池连接线</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BVR35 mm²</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套</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4</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6</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并机线</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UPS并机线缆</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套</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1</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7</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sz w:val="21"/>
                      <w:szCs w:val="21"/>
                    </w:rPr>
                    <w:t>UPS输入、输出电缆</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ZR-YJV4*25mm2+1*16mm2</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米</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50</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8</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配电柜</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输入、输出配电柜改造</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套</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1</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9</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UPS承重架</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1、承重支架由L50×5国标镀锌角钢制作而成，同时为了防震，需膨胀固定；</w:t>
                  </w:r>
                </w:p>
                <w:p>
                  <w:pPr>
                    <w:pStyle w:val="8"/>
                    <w:rPr>
                      <w:rFonts w:hint="default" w:ascii="宋体" w:hAnsi="宋体"/>
                      <w:sz w:val="21"/>
                      <w:szCs w:val="21"/>
                    </w:rPr>
                  </w:pPr>
                  <w:r>
                    <w:rPr>
                      <w:rFonts w:ascii="宋体" w:hAnsi="宋体" w:cs="宋体"/>
                      <w:color w:val="000000"/>
                      <w:sz w:val="21"/>
                      <w:szCs w:val="21"/>
                    </w:rPr>
                    <w:t xml:space="preserve">2、构架镀锌层不得有黄锈、锌瘤、毛刺及漏锌现象；                    </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套</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9</w:t>
                  </w:r>
                </w:p>
              </w:tc>
            </w:tr>
            <w:tr>
              <w:tblPrEx>
                <w:tblCellMar>
                  <w:top w:w="0" w:type="dxa"/>
                  <w:left w:w="108" w:type="dxa"/>
                  <w:bottom w:w="0" w:type="dxa"/>
                  <w:right w:w="108" w:type="dxa"/>
                </w:tblCellMar>
              </w:tblPrEx>
              <w:tc>
                <w:tcPr>
                  <w:tcW w:w="411" w:type="dxa"/>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10</w:t>
                  </w:r>
                </w:p>
              </w:tc>
              <w:tc>
                <w:tcPr>
                  <w:tcW w:w="62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辅材</w:t>
                  </w:r>
                </w:p>
              </w:tc>
              <w:tc>
                <w:tcPr>
                  <w:tcW w:w="4661"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sz w:val="21"/>
                      <w:szCs w:val="21"/>
                    </w:rPr>
                  </w:pPr>
                  <w:r>
                    <w:rPr>
                      <w:rFonts w:ascii="宋体" w:hAnsi="宋体" w:cs="宋体"/>
                      <w:color w:val="000000"/>
                      <w:sz w:val="21"/>
                      <w:szCs w:val="21"/>
                    </w:rPr>
                    <w:t>包括所有安装涉及的线槽、金属管、波纹管、铜鼻子，膨胀螺丝、绝缘胶带、扎带等辅材</w:t>
                  </w:r>
                </w:p>
              </w:tc>
              <w:tc>
                <w:tcPr>
                  <w:tcW w:w="567"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项</w:t>
                  </w:r>
                </w:p>
              </w:tc>
              <w:tc>
                <w:tcPr>
                  <w:tcW w:w="609" w:type="dxa"/>
                  <w:tcBorders>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jc w:val="center"/>
                    <w:rPr>
                      <w:rFonts w:hint="default" w:ascii="宋体" w:hAnsi="宋体"/>
                      <w:sz w:val="21"/>
                      <w:szCs w:val="21"/>
                    </w:rPr>
                  </w:pPr>
                  <w:r>
                    <w:rPr>
                      <w:rFonts w:ascii="宋体" w:hAnsi="宋体" w:cs="宋体"/>
                      <w:color w:val="000000"/>
                      <w:sz w:val="21"/>
                      <w:szCs w:val="21"/>
                    </w:rPr>
                    <w:t>1</w:t>
                  </w:r>
                </w:p>
              </w:tc>
            </w:tr>
            <w:tr>
              <w:tblPrEx>
                <w:tblCellMar>
                  <w:top w:w="0" w:type="dxa"/>
                  <w:left w:w="108" w:type="dxa"/>
                  <w:bottom w:w="0" w:type="dxa"/>
                  <w:right w:w="108" w:type="dxa"/>
                </w:tblCellMar>
              </w:tblPrEx>
              <w:tc>
                <w:tcPr>
                  <w:tcW w:w="6869" w:type="dxa"/>
                  <w:gridSpan w:val="5"/>
                  <w:tcBorders>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center"/>
                </w:tcPr>
                <w:p>
                  <w:pPr>
                    <w:pStyle w:val="8"/>
                    <w:rPr>
                      <w:rFonts w:hint="default" w:ascii="宋体" w:hAnsi="宋体" w:cs="宋体"/>
                      <w:color w:val="000000"/>
                      <w:sz w:val="21"/>
                      <w:szCs w:val="21"/>
                    </w:rPr>
                  </w:pPr>
                  <w:r>
                    <w:rPr>
                      <w:rFonts w:ascii="宋体" w:hAnsi="宋体" w:cs="宋体"/>
                      <w:color w:val="000000"/>
                      <w:sz w:val="21"/>
                      <w:szCs w:val="21"/>
                    </w:rPr>
                    <w:t>备注：1</w:t>
                  </w:r>
                  <w:r>
                    <w:rPr>
                      <w:rFonts w:hint="default" w:ascii="宋体" w:hAnsi="宋体" w:cs="宋体"/>
                      <w:color w:val="000000"/>
                      <w:sz w:val="21"/>
                      <w:szCs w:val="21"/>
                    </w:rPr>
                    <w:t>、本项目核心产品为：UPS、蓄电池。</w:t>
                  </w:r>
                </w:p>
                <w:p>
                  <w:pPr>
                    <w:pStyle w:val="8"/>
                    <w:rPr>
                      <w:rFonts w:hint="default" w:ascii="宋体" w:hAnsi="宋体"/>
                      <w:sz w:val="21"/>
                      <w:szCs w:val="21"/>
                      <w:lang w:eastAsia="zh-CN"/>
                    </w:rPr>
                  </w:pPr>
                  <w:r>
                    <w:rPr>
                      <w:rFonts w:hint="default" w:ascii="宋体" w:hAnsi="宋体" w:cs="宋体"/>
                      <w:color w:val="000000"/>
                      <w:sz w:val="21"/>
                      <w:szCs w:val="21"/>
                    </w:rPr>
                    <w:t>2、</w:t>
                  </w:r>
                  <w:r>
                    <w:rPr>
                      <w:rFonts w:hint="eastAsia" w:ascii="宋体" w:hAnsi="宋体" w:cs="宋体"/>
                      <w:color w:val="000000"/>
                      <w:sz w:val="21"/>
                      <w:szCs w:val="21"/>
                      <w:lang w:eastAsia="zh-CN"/>
                    </w:rPr>
                    <w:t>以上</w:t>
                  </w:r>
                  <w:r>
                    <w:rPr>
                      <w:rFonts w:hint="default" w:ascii="宋体" w:hAnsi="宋体" w:cs="宋体"/>
                      <w:color w:val="000000"/>
                      <w:sz w:val="21"/>
                      <w:szCs w:val="21"/>
                      <w:lang w:eastAsia="zh-CN"/>
                    </w:rPr>
                    <w:t>第三章技术参数及要求</w:t>
                  </w:r>
                  <w:r>
                    <w:rPr>
                      <w:rFonts w:hint="default" w:ascii="宋体" w:hAnsi="宋体" w:cs="宋体"/>
                      <w:color w:val="000000"/>
                      <w:sz w:val="21"/>
                      <w:szCs w:val="21"/>
                    </w:rPr>
                    <w:t>均为实质性要求</w:t>
                  </w:r>
                  <w:r>
                    <w:rPr>
                      <w:rFonts w:hint="default" w:ascii="宋体" w:hAnsi="宋体" w:cs="宋体"/>
                      <w:color w:val="000000"/>
                      <w:sz w:val="21"/>
                      <w:szCs w:val="21"/>
                      <w:lang w:eastAsia="zh-CN"/>
                    </w:rPr>
                    <w:t>，如不满足按废标处理。</w:t>
                  </w:r>
                </w:p>
                <w:p>
                  <w:pPr>
                    <w:pStyle w:val="8"/>
                    <w:rPr>
                      <w:rFonts w:hint="default" w:ascii="宋体" w:hAnsi="宋体"/>
                      <w:sz w:val="21"/>
                      <w:szCs w:val="21"/>
                    </w:rPr>
                  </w:pPr>
                  <w:r>
                    <w:rPr>
                      <w:rFonts w:ascii="宋体" w:hAnsi="宋体" w:cs="宋体"/>
                      <w:color w:val="000000"/>
                      <w:sz w:val="21"/>
                      <w:szCs w:val="21"/>
                    </w:rPr>
                    <w:t>3、项目验收标准：严格按照招标文件的资质要求及技术参数和功能验收，如有虚假响应招标文件的，作无效投标处理；并严格按政府采购法有关规定执行，且所产生一切费用由投标方负责自行承担。</w:t>
                  </w:r>
                </w:p>
                <w:p>
                  <w:pPr>
                    <w:pStyle w:val="8"/>
                    <w:rPr>
                      <w:rFonts w:hint="default" w:ascii="宋体" w:hAnsi="宋体" w:cs="宋体"/>
                      <w:color w:val="000000"/>
                      <w:sz w:val="21"/>
                      <w:szCs w:val="21"/>
                    </w:rPr>
                  </w:pPr>
                  <w:r>
                    <w:rPr>
                      <w:rFonts w:ascii="宋体" w:hAnsi="宋体" w:cs="宋体"/>
                      <w:color w:val="000000"/>
                      <w:sz w:val="21"/>
                      <w:szCs w:val="21"/>
                    </w:rPr>
                    <w:t>4、售后服务：1.质保期为验收合格后3年，质保期内出现质量问题，乙方在接到通知后3小时内响应到场，24小时内完成维修或更换，并承担修理调换的费用。货到现场后由于甲方保管不当造成的问题，乙方亦应负责修复，但费用由甲方负担。2.乙方须指派专人负责与甲方联系售后服务事宜。</w:t>
                  </w:r>
                </w:p>
                <w:p>
                  <w:pPr>
                    <w:pStyle w:val="8"/>
                    <w:rPr>
                      <w:rFonts w:hint="default" w:ascii="宋体" w:hAnsi="宋体"/>
                      <w:sz w:val="21"/>
                      <w:szCs w:val="21"/>
                    </w:rPr>
                  </w:pPr>
                  <w:r>
                    <w:rPr>
                      <w:rFonts w:ascii="宋体" w:hAnsi="宋体" w:cs="宋体"/>
                      <w:color w:val="000000"/>
                      <w:sz w:val="21"/>
                      <w:szCs w:val="21"/>
                    </w:rPr>
                    <w:t xml:space="preserve">合同签订前中标供应商应提供UPS主机、蓄电池（核心产品）由CNAS 或 CMA 认证机构出具的有对应部分招标参数检测项检测，检验报告原件备查,不能完成则视为虚假应标，供应商提供承诺函。 </w:t>
                  </w:r>
                </w:p>
              </w:tc>
            </w:tr>
          </w:tbl>
          <w:p>
            <w:pPr>
              <w:widowControl/>
              <w:jc w:val="left"/>
              <w:rPr>
                <w:rFonts w:ascii="宋体" w:hAnsi="宋体"/>
                <w:kern w:val="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NmMzZWUzNDdjNzZhZTRjZDk5MzBlNmE5NTY4ZmQifQ=="/>
  </w:docVars>
  <w:rsids>
    <w:rsidRoot w:val="006D6C1F"/>
    <w:rsid w:val="0004565F"/>
    <w:rsid w:val="00327C44"/>
    <w:rsid w:val="00474FE3"/>
    <w:rsid w:val="005E3EE2"/>
    <w:rsid w:val="006A3DAE"/>
    <w:rsid w:val="006D6C1F"/>
    <w:rsid w:val="0075519A"/>
    <w:rsid w:val="00874B1D"/>
    <w:rsid w:val="009D651C"/>
    <w:rsid w:val="00B9786E"/>
    <w:rsid w:val="00C63154"/>
    <w:rsid w:val="00E95209"/>
    <w:rsid w:val="00F72DFA"/>
    <w:rsid w:val="484E78F8"/>
    <w:rsid w:val="4EFC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null3"/>
    <w:hidden/>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2520</Words>
  <Characters>2856</Characters>
  <Lines>21</Lines>
  <Paragraphs>6</Paragraphs>
  <TotalTime>31</TotalTime>
  <ScaleCrop>false</ScaleCrop>
  <LinksUpToDate>false</LinksUpToDate>
  <CharactersWithSpaces>2894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2022-11-08T03:36:00Z</dcterms:created>
  <dc:creator>彭 高鹏</dc:creator>
  <cp:lastModifiedBy>Administrator</cp:lastModifiedBy>
  <dcterms:modified xsi:type="dcterms:W3CDTF">2022-11-18T03:09:31Z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8EC7AE43AD1F4893806ACD2927CBF2A9</vt:lpwstr>
  </property>
</Properties>
</file>