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tabs>
          <w:tab w:val="left" w:pos="0"/>
        </w:tabs>
        <w:autoSpaceDE w:val="0"/>
        <w:autoSpaceDN w:val="0"/>
        <w:adjustRightInd w:val="0"/>
        <w:spacing w:before="0" w:after="0" w:line="360" w:lineRule="auto"/>
        <w:jc w:val="center"/>
        <w:rPr>
          <w:rFonts w:hint="eastAsia" w:ascii="华文中宋" w:hAnsi="华文中宋" w:eastAsia="华文中宋"/>
        </w:rPr>
      </w:pPr>
      <w:bookmarkStart w:id="0" w:name="_Toc35393813"/>
      <w:bookmarkStart w:id="1" w:name="_Toc28359026"/>
    </w:p>
    <w:p>
      <w:pPr>
        <w:pStyle w:val="3"/>
        <w:tabs>
          <w:tab w:val="left" w:pos="0"/>
        </w:tabs>
        <w:autoSpaceDE w:val="0"/>
        <w:autoSpaceDN w:val="0"/>
        <w:adjustRightInd w:val="0"/>
        <w:spacing w:before="0" w:after="0" w:line="360" w:lineRule="auto"/>
        <w:jc w:val="center"/>
        <w:rPr>
          <w:rFonts w:hint="eastAsia" w:ascii="华文中宋" w:hAnsi="华文中宋" w:eastAsia="华文中宋"/>
          <w:sz w:val="32"/>
          <w:szCs w:val="32"/>
        </w:rPr>
      </w:pPr>
    </w:p>
    <w:p>
      <w:pPr>
        <w:pStyle w:val="3"/>
        <w:tabs>
          <w:tab w:val="left" w:pos="0"/>
        </w:tabs>
        <w:autoSpaceDE w:val="0"/>
        <w:autoSpaceDN w:val="0"/>
        <w:adjustRightInd w:val="0"/>
        <w:spacing w:before="0" w:after="0" w:line="360" w:lineRule="auto"/>
        <w:jc w:val="center"/>
        <w:rPr>
          <w:rFonts w:hint="eastAsia" w:ascii="华文中宋" w:hAnsi="华文中宋" w:eastAsia="华文中宋"/>
          <w:lang w:eastAsia="zh-CN"/>
        </w:rPr>
      </w:pPr>
      <w:r>
        <w:rPr>
          <w:rFonts w:hint="eastAsia" w:ascii="华文中宋" w:hAnsi="华文中宋" w:eastAsia="华文中宋"/>
        </w:rPr>
        <w:t>更正公告</w:t>
      </w:r>
      <w:bookmarkEnd w:id="0"/>
      <w:bookmarkEnd w:id="1"/>
      <w:r>
        <w:rPr>
          <w:rFonts w:hint="eastAsia" w:ascii="华文中宋" w:hAnsi="华文中宋" w:eastAsia="华文中宋"/>
          <w:lang w:eastAsia="zh-CN"/>
        </w:rPr>
        <w:t>（</w:t>
      </w:r>
      <w:r>
        <w:rPr>
          <w:rFonts w:hint="eastAsia" w:ascii="华文中宋" w:hAnsi="华文中宋" w:eastAsia="华文中宋"/>
          <w:lang w:val="en-US" w:eastAsia="zh-CN"/>
        </w:rPr>
        <w:t>第二次</w:t>
      </w:r>
      <w:r>
        <w:rPr>
          <w:rFonts w:hint="eastAsia" w:ascii="华文中宋" w:hAnsi="华文中宋" w:eastAsia="华文中宋"/>
          <w:lang w:eastAsia="zh-CN"/>
        </w:rPr>
        <w:t>）</w:t>
      </w:r>
    </w:p>
    <w:p>
      <w:pPr>
        <w:pStyle w:val="4"/>
        <w:pageBreakBefore w:val="0"/>
        <w:widowControl w:val="0"/>
        <w:kinsoku/>
        <w:overflowPunct/>
        <w:autoSpaceDE/>
        <w:autoSpaceDN/>
        <w:bidi w:val="0"/>
        <w:spacing w:before="0" w:after="0" w:line="360" w:lineRule="auto"/>
        <w:ind w:firstLine="480" w:firstLineChars="200"/>
        <w:textAlignment w:val="auto"/>
        <w:rPr>
          <w:rFonts w:ascii="黑体" w:hAnsi="黑体" w:cs="宋体"/>
          <w:b w:val="0"/>
          <w:sz w:val="24"/>
          <w:szCs w:val="24"/>
        </w:rPr>
      </w:pPr>
      <w:bookmarkStart w:id="2" w:name="_Toc28359027"/>
      <w:bookmarkStart w:id="3" w:name="_Toc35393814"/>
      <w:bookmarkStart w:id="4" w:name="_Toc35393645"/>
      <w:bookmarkStart w:id="5" w:name="_Toc28359104"/>
      <w:r>
        <w:rPr>
          <w:rFonts w:hint="eastAsia" w:ascii="黑体" w:hAnsi="黑体" w:cs="宋体"/>
          <w:b w:val="0"/>
          <w:sz w:val="24"/>
          <w:szCs w:val="24"/>
        </w:rPr>
        <w:t>一、项目基本情况</w:t>
      </w:r>
      <w:bookmarkEnd w:id="2"/>
      <w:bookmarkEnd w:id="3"/>
      <w:bookmarkEnd w:id="4"/>
      <w:bookmarkEnd w:id="5"/>
    </w:p>
    <w:p>
      <w:pPr>
        <w:pageBreakBefore w:val="0"/>
        <w:widowControl w:val="0"/>
        <w:kinsoku/>
        <w:overflowPunct/>
        <w:autoSpaceDE/>
        <w:autoSpaceDN/>
        <w:bidi w:val="0"/>
        <w:spacing w:line="360" w:lineRule="auto"/>
        <w:ind w:firstLine="480" w:firstLineChars="200"/>
        <w:textAlignment w:val="auto"/>
        <w:rPr>
          <w:rFonts w:ascii="仿宋" w:hAnsi="仿宋" w:eastAsia="仿宋"/>
          <w:sz w:val="24"/>
          <w:szCs w:val="24"/>
        </w:rPr>
      </w:pPr>
      <w:r>
        <w:rPr>
          <w:rFonts w:hint="eastAsia" w:ascii="仿宋" w:hAnsi="仿宋" w:eastAsia="仿宋"/>
          <w:sz w:val="24"/>
          <w:szCs w:val="24"/>
        </w:rPr>
        <w:t>原公告的采购项目编号：</w:t>
      </w:r>
      <w:r>
        <w:rPr>
          <w:rFonts w:hint="eastAsia" w:ascii="仿宋" w:hAnsi="仿宋" w:eastAsia="仿宋"/>
          <w:sz w:val="24"/>
          <w:szCs w:val="24"/>
          <w:lang w:val="en-US" w:eastAsia="zh-CN"/>
        </w:rPr>
        <w:t>N5100012022002792</w:t>
      </w:r>
    </w:p>
    <w:p>
      <w:pPr>
        <w:pageBreakBefore w:val="0"/>
        <w:widowControl w:val="0"/>
        <w:kinsoku/>
        <w:overflowPunct/>
        <w:autoSpaceDE/>
        <w:autoSpaceDN/>
        <w:bidi w:val="0"/>
        <w:spacing w:line="360" w:lineRule="auto"/>
        <w:ind w:firstLine="480" w:firstLineChars="200"/>
        <w:textAlignment w:val="auto"/>
        <w:rPr>
          <w:rFonts w:hint="eastAsia" w:ascii="仿宋" w:hAnsi="仿宋" w:eastAsia="仿宋"/>
          <w:sz w:val="24"/>
          <w:szCs w:val="24"/>
          <w:lang w:eastAsia="zh-CN"/>
        </w:rPr>
      </w:pPr>
      <w:r>
        <w:rPr>
          <w:rFonts w:hint="eastAsia" w:ascii="仿宋" w:hAnsi="仿宋" w:eastAsia="仿宋"/>
          <w:sz w:val="24"/>
          <w:szCs w:val="24"/>
        </w:rPr>
        <w:t>原公告的采购项目名称：</w:t>
      </w:r>
      <w:r>
        <w:rPr>
          <w:rFonts w:hint="eastAsia" w:ascii="仿宋" w:hAnsi="仿宋" w:eastAsia="仿宋"/>
          <w:sz w:val="24"/>
          <w:szCs w:val="24"/>
          <w:lang w:val="en-US" w:eastAsia="zh-CN"/>
        </w:rPr>
        <w:t>四川省人民医院全院医疗辅助耗材采购项目</w:t>
      </w:r>
    </w:p>
    <w:p>
      <w:pPr>
        <w:pageBreakBefore w:val="0"/>
        <w:widowControl w:val="0"/>
        <w:kinsoku/>
        <w:overflowPunct/>
        <w:autoSpaceDE/>
        <w:autoSpaceDN/>
        <w:bidi w:val="0"/>
        <w:spacing w:line="360" w:lineRule="auto"/>
        <w:ind w:firstLine="480" w:firstLineChars="200"/>
        <w:textAlignment w:val="auto"/>
        <w:rPr>
          <w:rFonts w:hint="default" w:ascii="仿宋" w:hAnsi="仿宋" w:eastAsia="仿宋"/>
          <w:sz w:val="24"/>
          <w:szCs w:val="24"/>
          <w:lang w:val="en-US" w:eastAsia="zh-CN"/>
        </w:rPr>
      </w:pPr>
      <w:r>
        <w:rPr>
          <w:rFonts w:hint="eastAsia" w:ascii="仿宋" w:hAnsi="仿宋" w:eastAsia="仿宋"/>
          <w:sz w:val="24"/>
          <w:szCs w:val="24"/>
        </w:rPr>
        <w:t>首次公告日期：</w:t>
      </w:r>
      <w:r>
        <w:rPr>
          <w:rFonts w:hint="eastAsia" w:ascii="仿宋" w:hAnsi="仿宋" w:eastAsia="仿宋"/>
          <w:sz w:val="24"/>
          <w:szCs w:val="24"/>
          <w:u w:val="none"/>
          <w:lang w:val="en-US" w:eastAsia="zh-CN"/>
        </w:rPr>
        <w:t>2022年10月31日</w:t>
      </w:r>
    </w:p>
    <w:p>
      <w:pPr>
        <w:pStyle w:val="4"/>
        <w:pageBreakBefore w:val="0"/>
        <w:widowControl w:val="0"/>
        <w:kinsoku/>
        <w:overflowPunct/>
        <w:autoSpaceDE/>
        <w:autoSpaceDN/>
        <w:bidi w:val="0"/>
        <w:spacing w:before="0" w:after="0" w:line="360" w:lineRule="auto"/>
        <w:ind w:firstLine="480" w:firstLineChars="200"/>
        <w:textAlignment w:val="auto"/>
        <w:rPr>
          <w:rFonts w:ascii="黑体" w:hAnsi="黑体" w:cs="宋体"/>
          <w:b w:val="0"/>
          <w:sz w:val="24"/>
          <w:szCs w:val="24"/>
        </w:rPr>
      </w:pPr>
      <w:bookmarkStart w:id="6" w:name="_Toc28359028"/>
      <w:bookmarkStart w:id="7" w:name="_Toc35393646"/>
      <w:bookmarkStart w:id="8" w:name="_Toc35393815"/>
      <w:bookmarkStart w:id="9" w:name="_Toc28359105"/>
      <w:r>
        <w:rPr>
          <w:rFonts w:hint="eastAsia" w:ascii="黑体" w:hAnsi="黑体" w:cs="宋体"/>
          <w:b w:val="0"/>
          <w:sz w:val="24"/>
          <w:szCs w:val="24"/>
        </w:rPr>
        <w:t>二、更正信息</w:t>
      </w:r>
      <w:bookmarkEnd w:id="6"/>
      <w:bookmarkEnd w:id="7"/>
      <w:bookmarkEnd w:id="8"/>
      <w:bookmarkEnd w:id="9"/>
    </w:p>
    <w:p>
      <w:pPr>
        <w:pageBreakBefore w:val="0"/>
        <w:widowControl w:val="0"/>
        <w:kinsoku/>
        <w:overflowPunct/>
        <w:autoSpaceDE/>
        <w:autoSpaceDN/>
        <w:bidi w:val="0"/>
        <w:spacing w:line="360" w:lineRule="auto"/>
        <w:ind w:firstLine="480" w:firstLineChars="200"/>
        <w:textAlignment w:val="auto"/>
        <w:rPr>
          <w:rFonts w:ascii="仿宋" w:hAnsi="仿宋" w:eastAsia="仿宋"/>
          <w:sz w:val="24"/>
          <w:szCs w:val="24"/>
        </w:rPr>
      </w:pPr>
      <w:r>
        <w:rPr>
          <w:rFonts w:hint="eastAsia" w:ascii="仿宋" w:hAnsi="仿宋" w:eastAsia="仿宋"/>
          <w:sz w:val="24"/>
          <w:szCs w:val="24"/>
        </w:rPr>
        <w:t>更正事项：</w:t>
      </w:r>
      <w:r>
        <w:rPr>
          <w:rFonts w:hint="eastAsia" w:ascii="仿宋" w:hAnsi="仿宋" w:eastAsia="仿宋"/>
          <w:sz w:val="24"/>
          <w:szCs w:val="24"/>
          <w:lang w:eastAsia="zh-CN"/>
        </w:rPr>
        <w:t>☑</w:t>
      </w:r>
      <w:r>
        <w:rPr>
          <w:rFonts w:hint="eastAsia" w:ascii="仿宋" w:hAnsi="仿宋" w:eastAsia="仿宋"/>
          <w:sz w:val="24"/>
          <w:szCs w:val="24"/>
        </w:rPr>
        <w:t xml:space="preserve">采购公告 </w:t>
      </w:r>
      <w:r>
        <w:rPr>
          <w:rFonts w:hint="eastAsia" w:ascii="仿宋" w:hAnsi="仿宋" w:eastAsia="仿宋"/>
          <w:sz w:val="24"/>
          <w:szCs w:val="24"/>
          <w:lang w:eastAsia="zh-CN"/>
        </w:rPr>
        <w:t>☑</w:t>
      </w:r>
      <w:r>
        <w:rPr>
          <w:rFonts w:hint="eastAsia" w:ascii="仿宋" w:hAnsi="仿宋" w:eastAsia="仿宋"/>
          <w:sz w:val="24"/>
          <w:szCs w:val="24"/>
        </w:rPr>
        <w:t xml:space="preserve">采购文件 </w:t>
      </w:r>
      <w:r>
        <w:rPr>
          <w:rFonts w:hint="eastAsia" w:ascii="仿宋" w:hAnsi="仿宋" w:eastAsia="仿宋"/>
          <w:sz w:val="24"/>
          <w:szCs w:val="24"/>
          <w:lang w:eastAsia="zh-CN"/>
        </w:rPr>
        <w:sym w:font="Wingdings 2" w:char="00A3"/>
      </w:r>
      <w:r>
        <w:rPr>
          <w:rFonts w:hint="eastAsia" w:ascii="仿宋" w:hAnsi="仿宋" w:eastAsia="仿宋"/>
          <w:sz w:val="24"/>
          <w:szCs w:val="24"/>
        </w:rPr>
        <w:t xml:space="preserve">采购结果     </w:t>
      </w:r>
    </w:p>
    <w:p>
      <w:pPr>
        <w:pageBreakBefore w:val="0"/>
        <w:widowControl w:val="0"/>
        <w:kinsoku/>
        <w:overflowPunct/>
        <w:autoSpaceDE/>
        <w:autoSpaceDN/>
        <w:bidi w:val="0"/>
        <w:spacing w:line="360" w:lineRule="auto"/>
        <w:ind w:firstLine="482" w:firstLineChars="200"/>
        <w:textAlignment w:val="auto"/>
        <w:rPr>
          <w:rFonts w:hint="eastAsia" w:ascii="仿宋" w:hAnsi="仿宋" w:eastAsia="仿宋"/>
          <w:b/>
          <w:bCs/>
          <w:sz w:val="24"/>
          <w:szCs w:val="24"/>
        </w:rPr>
      </w:pPr>
      <w:r>
        <w:rPr>
          <w:rFonts w:hint="eastAsia" w:ascii="仿宋" w:hAnsi="仿宋" w:eastAsia="仿宋"/>
          <w:b/>
          <w:bCs/>
          <w:sz w:val="24"/>
          <w:szCs w:val="24"/>
        </w:rPr>
        <w:t>更正内容：</w:t>
      </w:r>
    </w:p>
    <w:p>
      <w:pPr>
        <w:pStyle w:val="2"/>
        <w:numPr>
          <w:ilvl w:val="0"/>
          <w:numId w:val="1"/>
        </w:numPr>
        <w:rPr>
          <w:rFonts w:hint="eastAsia" w:ascii="仿宋" w:hAnsi="仿宋" w:eastAsia="仿宋"/>
          <w:b w:val="0"/>
          <w:bCs w:val="0"/>
          <w:sz w:val="24"/>
          <w:szCs w:val="24"/>
          <w:lang w:val="en-US" w:eastAsia="zh-CN"/>
        </w:rPr>
      </w:pPr>
      <w:r>
        <w:rPr>
          <w:rFonts w:hint="eastAsia" w:ascii="仿宋" w:hAnsi="仿宋" w:eastAsia="仿宋"/>
          <w:b w:val="0"/>
          <w:bCs w:val="0"/>
          <w:sz w:val="24"/>
          <w:szCs w:val="24"/>
          <w:lang w:val="en-US" w:eastAsia="zh-CN"/>
        </w:rPr>
        <w:t>将招标文件“第2章 投标人须知”中“</w:t>
      </w:r>
    </w:p>
    <w:tbl>
      <w:tblPr>
        <w:tblStyle w:val="21"/>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712"/>
        <w:gridCol w:w="681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915" w:type="pct"/>
            <w:noWrap w:val="0"/>
            <w:vAlign w:val="center"/>
          </w:tcPr>
          <w:p>
            <w:pPr>
              <w:pStyle w:val="44"/>
              <w:spacing w:line="440" w:lineRule="exact"/>
              <w:jc w:val="center"/>
              <w:rPr>
                <w:rFonts w:ascii="仿宋" w:hAnsi="仿宋" w:eastAsia="仿宋" w:cs="Times New Roman"/>
                <w:lang w:val="zh-CN"/>
              </w:rPr>
            </w:pPr>
            <w:r>
              <w:rPr>
                <w:rFonts w:ascii="仿宋" w:hAnsi="仿宋" w:eastAsia="仿宋" w:cs="Times New Roman"/>
                <w:lang w:val="zh-CN"/>
              </w:rPr>
              <w:t>最高限价</w:t>
            </w:r>
          </w:p>
        </w:tc>
        <w:tc>
          <w:tcPr>
            <w:tcW w:w="3640" w:type="pct"/>
            <w:noWrap w:val="0"/>
            <w:vAlign w:val="center"/>
          </w:tcPr>
          <w:p>
            <w:pPr>
              <w:pStyle w:val="44"/>
              <w:spacing w:line="440" w:lineRule="exact"/>
              <w:ind w:firstLine="240" w:firstLineChars="100"/>
              <w:rPr>
                <w:rFonts w:hint="eastAsia" w:ascii="仿宋" w:hAnsi="仿宋" w:eastAsia="仿宋" w:cs="Times New Roman"/>
                <w:color w:val="auto"/>
                <w:highlight w:val="none"/>
                <w:lang w:val="zh-CN"/>
              </w:rPr>
            </w:pPr>
            <w:r>
              <w:rPr>
                <w:rFonts w:hint="eastAsia" w:ascii="仿宋" w:hAnsi="仿宋" w:eastAsia="仿宋" w:cs="Times New Roman"/>
                <w:color w:val="auto"/>
                <w:highlight w:val="none"/>
                <w:lang w:val="zh-CN"/>
              </w:rPr>
              <w:t>本项目最高限价为人民币</w:t>
            </w:r>
            <w:r>
              <w:rPr>
                <w:rFonts w:hint="eastAsia" w:ascii="仿宋" w:hAnsi="仿宋" w:eastAsia="仿宋" w:cs="Times New Roman"/>
                <w:u w:val="single"/>
                <w:lang w:val="en-US" w:eastAsia="zh-CN"/>
              </w:rPr>
              <w:t>2000</w:t>
            </w:r>
            <w:r>
              <w:rPr>
                <w:rFonts w:hint="eastAsia" w:ascii="仿宋" w:hAnsi="仿宋" w:eastAsia="仿宋" w:cs="Times New Roman"/>
                <w:color w:val="auto"/>
                <w:highlight w:val="none"/>
                <w:lang w:val="zh-CN"/>
              </w:rPr>
              <w:t>万元。投标人在报价时应按结算率（</w:t>
            </w:r>
            <w:r>
              <w:rPr>
                <w:rFonts w:hint="eastAsia" w:ascii="仿宋" w:hAnsi="仿宋" w:eastAsia="仿宋" w:cs="Times New Roman"/>
                <w:color w:val="auto"/>
                <w:highlight w:val="none"/>
                <w:lang w:val="en-US" w:eastAsia="zh-CN"/>
              </w:rPr>
              <w:t>0%-100%</w:t>
            </w:r>
            <w:r>
              <w:rPr>
                <w:rFonts w:hint="eastAsia" w:ascii="仿宋" w:hAnsi="仿宋" w:eastAsia="仿宋" w:cs="Times New Roman"/>
                <w:color w:val="auto"/>
                <w:highlight w:val="none"/>
                <w:lang w:val="zh-CN"/>
              </w:rPr>
              <w:t>）进行报价，在实际结算时采购人将按中标人在投标时所报的结算率进行结算，即：结算价格=</w:t>
            </w:r>
            <w:r>
              <w:rPr>
                <w:rFonts w:hint="eastAsia" w:ascii="仿宋" w:hAnsi="仿宋" w:eastAsia="仿宋" w:cs="Times New Roman"/>
                <w:color w:val="auto"/>
                <w:highlight w:val="none"/>
                <w:lang w:val="en-US" w:eastAsia="zh-CN"/>
              </w:rPr>
              <w:t>单价限价</w:t>
            </w:r>
            <w:r>
              <w:rPr>
                <w:rFonts w:hint="eastAsia" w:ascii="仿宋" w:hAnsi="仿宋" w:eastAsia="仿宋" w:cs="Times New Roman"/>
                <w:color w:val="auto"/>
                <w:highlight w:val="none"/>
                <w:lang w:val="zh-CN"/>
              </w:rPr>
              <w:t>×投标时的结算率。（如：投标人在投标时的结算率为80%，</w:t>
            </w:r>
            <w:r>
              <w:rPr>
                <w:rFonts w:hint="eastAsia" w:ascii="仿宋" w:hAnsi="仿宋" w:eastAsia="仿宋" w:cs="Times New Roman"/>
                <w:color w:val="auto"/>
                <w:highlight w:val="none"/>
                <w:lang w:val="en-US" w:eastAsia="zh-CN"/>
              </w:rPr>
              <w:t>单价限价</w:t>
            </w:r>
            <w:r>
              <w:rPr>
                <w:rFonts w:hint="eastAsia" w:ascii="仿宋" w:hAnsi="仿宋" w:eastAsia="仿宋" w:cs="Times New Roman"/>
                <w:color w:val="auto"/>
                <w:highlight w:val="none"/>
                <w:lang w:val="zh-CN"/>
              </w:rPr>
              <w:t>为100元，则结算价格为：100元×80%＝80元。）</w:t>
            </w:r>
          </w:p>
          <w:p>
            <w:pPr>
              <w:pStyle w:val="44"/>
              <w:spacing w:line="440" w:lineRule="exact"/>
              <w:ind w:firstLine="240" w:firstLineChars="100"/>
              <w:rPr>
                <w:rFonts w:hint="eastAsia" w:ascii="仿宋" w:hAnsi="仿宋" w:eastAsia="仿宋" w:cs="Times New Roman"/>
                <w:color w:val="auto"/>
                <w:highlight w:val="none"/>
                <w:lang w:val="zh-CN"/>
              </w:rPr>
            </w:pPr>
            <w:r>
              <w:rPr>
                <w:rFonts w:hint="eastAsia" w:ascii="仿宋" w:hAnsi="仿宋" w:eastAsia="仿宋" w:cs="Times New Roman"/>
                <w:color w:val="auto"/>
                <w:highlight w:val="none"/>
                <w:lang w:val="zh-CN"/>
              </w:rPr>
              <w:t>投标人的投标报价率为负数、有超过百分之百、有多个投标结算率的，其投标文件按无效投标文件处理。</w:t>
            </w:r>
          </w:p>
          <w:p>
            <w:pPr>
              <w:pStyle w:val="44"/>
              <w:spacing w:line="440" w:lineRule="exact"/>
              <w:ind w:firstLine="241" w:firstLineChars="100"/>
              <w:rPr>
                <w:rFonts w:hint="eastAsia" w:ascii="仿宋" w:hAnsi="仿宋" w:eastAsia="宋体" w:cs="Times New Roman"/>
                <w:color w:val="FF0000"/>
                <w:lang w:val="zh-CN" w:eastAsia="zh-CN"/>
              </w:rPr>
            </w:pPr>
            <w:r>
              <w:rPr>
                <w:rFonts w:hint="eastAsia" w:ascii="仿宋" w:hAnsi="仿宋" w:eastAsia="仿宋" w:cs="Times New Roman"/>
                <w:b/>
                <w:bCs/>
                <w:color w:val="auto"/>
                <w:kern w:val="0"/>
                <w:sz w:val="24"/>
                <w:szCs w:val="24"/>
                <w:highlight w:val="none"/>
                <w:lang w:val="zh-CN" w:eastAsia="zh-CN" w:bidi="ar-SA"/>
              </w:rPr>
              <w:t>合同</w:t>
            </w:r>
            <w:r>
              <w:rPr>
                <w:rFonts w:hint="eastAsia" w:ascii="仿宋" w:hAnsi="仿宋" w:eastAsia="仿宋" w:cs="Times New Roman"/>
                <w:b/>
                <w:bCs/>
                <w:color w:val="auto"/>
                <w:kern w:val="0"/>
                <w:sz w:val="24"/>
                <w:szCs w:val="24"/>
                <w:highlight w:val="none"/>
                <w:lang w:val="en-US" w:eastAsia="zh-CN" w:bidi="ar-SA"/>
              </w:rPr>
              <w:t>生效之日起一年</w:t>
            </w:r>
            <w:r>
              <w:rPr>
                <w:rFonts w:hint="eastAsia" w:ascii="仿宋" w:hAnsi="仿宋" w:eastAsia="仿宋" w:cs="Times New Roman"/>
                <w:b/>
                <w:bCs/>
                <w:color w:val="auto"/>
                <w:kern w:val="0"/>
                <w:sz w:val="24"/>
                <w:szCs w:val="24"/>
                <w:highlight w:val="none"/>
                <w:lang w:val="zh-CN" w:eastAsia="zh-CN" w:bidi="ar-SA"/>
              </w:rPr>
              <w:t>或者合同结算金额达到</w:t>
            </w:r>
            <w:r>
              <w:rPr>
                <w:rFonts w:hint="eastAsia" w:ascii="仿宋" w:hAnsi="仿宋" w:eastAsia="仿宋" w:cs="Times New Roman"/>
                <w:b/>
                <w:bCs/>
                <w:u w:val="single"/>
                <w:lang w:val="en-US" w:eastAsia="zh-CN"/>
              </w:rPr>
              <w:t>2000</w:t>
            </w:r>
            <w:r>
              <w:rPr>
                <w:rFonts w:hint="eastAsia" w:ascii="仿宋" w:hAnsi="仿宋" w:eastAsia="仿宋" w:cs="Times New Roman"/>
                <w:b/>
                <w:bCs/>
                <w:color w:val="auto"/>
                <w:kern w:val="0"/>
                <w:sz w:val="24"/>
                <w:szCs w:val="24"/>
                <w:highlight w:val="none"/>
                <w:lang w:val="en-US" w:eastAsia="zh-CN" w:bidi="ar-SA"/>
              </w:rPr>
              <w:t>万</w:t>
            </w:r>
            <w:r>
              <w:rPr>
                <w:rFonts w:hint="eastAsia" w:ascii="仿宋" w:hAnsi="仿宋" w:eastAsia="仿宋" w:cs="Times New Roman"/>
                <w:b/>
                <w:bCs/>
                <w:color w:val="auto"/>
                <w:kern w:val="0"/>
                <w:sz w:val="24"/>
                <w:szCs w:val="24"/>
                <w:highlight w:val="none"/>
                <w:lang w:val="zh-CN" w:eastAsia="zh-CN" w:bidi="ar-SA"/>
              </w:rPr>
              <w:t>元，合同自动终止</w:t>
            </w:r>
            <w:r>
              <w:rPr>
                <w:rFonts w:hint="eastAsia"/>
                <w:lang w:eastAsia="zh-CN"/>
              </w:rPr>
              <w:t>。</w:t>
            </w:r>
          </w:p>
        </w:tc>
      </w:tr>
    </w:tbl>
    <w:p>
      <w:pPr>
        <w:pStyle w:val="2"/>
        <w:rPr>
          <w:rFonts w:hint="eastAsia" w:ascii="仿宋" w:hAnsi="仿宋" w:eastAsia="仿宋"/>
          <w:b w:val="0"/>
          <w:bCs w:val="0"/>
          <w:sz w:val="24"/>
          <w:szCs w:val="24"/>
          <w:lang w:val="en-US" w:eastAsia="zh-CN"/>
        </w:rPr>
      </w:pPr>
      <w:r>
        <w:rPr>
          <w:rFonts w:hint="eastAsia" w:ascii="仿宋" w:hAnsi="仿宋" w:eastAsia="仿宋"/>
          <w:b w:val="0"/>
          <w:bCs w:val="0"/>
          <w:sz w:val="24"/>
          <w:szCs w:val="24"/>
          <w:lang w:val="en-US" w:eastAsia="zh-CN"/>
        </w:rPr>
        <w:t>”</w:t>
      </w:r>
    </w:p>
    <w:p>
      <w:pPr>
        <w:pStyle w:val="2"/>
        <w:rPr>
          <w:rFonts w:hint="default"/>
          <w:lang w:val="en-US" w:eastAsia="zh-CN"/>
        </w:rPr>
      </w:pPr>
      <w:r>
        <w:rPr>
          <w:rFonts w:hint="eastAsia" w:ascii="仿宋" w:hAnsi="仿宋" w:eastAsia="仿宋"/>
          <w:b/>
          <w:bCs/>
          <w:sz w:val="24"/>
          <w:szCs w:val="24"/>
        </w:rPr>
        <w:t>更正</w:t>
      </w:r>
      <w:r>
        <w:rPr>
          <w:rFonts w:hint="eastAsia" w:ascii="仿宋" w:hAnsi="仿宋" w:eastAsia="仿宋"/>
          <w:b/>
          <w:bCs/>
          <w:sz w:val="24"/>
          <w:szCs w:val="24"/>
          <w:lang w:val="en-US" w:eastAsia="zh-CN"/>
        </w:rPr>
        <w:t>为</w:t>
      </w:r>
      <w:r>
        <w:rPr>
          <w:rFonts w:hint="eastAsia" w:ascii="仿宋" w:hAnsi="仿宋" w:eastAsia="仿宋"/>
          <w:b/>
          <w:bCs/>
          <w:sz w:val="24"/>
          <w:szCs w:val="24"/>
        </w:rPr>
        <w:t>：</w:t>
      </w:r>
    </w:p>
    <w:p>
      <w:pPr>
        <w:pStyle w:val="2"/>
        <w:numPr>
          <w:ilvl w:val="0"/>
          <w:numId w:val="0"/>
        </w:numPr>
        <w:rPr>
          <w:rFonts w:hint="eastAsia" w:ascii="仿宋" w:hAnsi="仿宋" w:eastAsia="仿宋"/>
          <w:b w:val="0"/>
          <w:bCs w:val="0"/>
          <w:sz w:val="24"/>
          <w:szCs w:val="24"/>
          <w:lang w:val="en-US" w:eastAsia="zh-CN"/>
        </w:rPr>
      </w:pPr>
      <w:r>
        <w:rPr>
          <w:rFonts w:hint="eastAsia" w:ascii="仿宋" w:hAnsi="仿宋" w:eastAsia="仿宋"/>
          <w:b w:val="0"/>
          <w:bCs w:val="0"/>
          <w:sz w:val="24"/>
          <w:szCs w:val="24"/>
          <w:lang w:val="en-US" w:eastAsia="zh-CN"/>
        </w:rPr>
        <w:t>“</w:t>
      </w:r>
    </w:p>
    <w:tbl>
      <w:tblPr>
        <w:tblStyle w:val="21"/>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712"/>
        <w:gridCol w:w="681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915" w:type="pct"/>
            <w:noWrap w:val="0"/>
            <w:vAlign w:val="center"/>
          </w:tcPr>
          <w:p>
            <w:pPr>
              <w:pStyle w:val="44"/>
              <w:spacing w:line="440" w:lineRule="exact"/>
              <w:jc w:val="center"/>
              <w:rPr>
                <w:rFonts w:ascii="仿宋" w:hAnsi="仿宋" w:eastAsia="仿宋" w:cs="Times New Roman"/>
                <w:lang w:val="zh-CN"/>
              </w:rPr>
            </w:pPr>
            <w:r>
              <w:rPr>
                <w:rFonts w:ascii="仿宋" w:hAnsi="仿宋" w:eastAsia="仿宋" w:cs="Times New Roman"/>
                <w:lang w:val="zh-CN"/>
              </w:rPr>
              <w:t>最高限价</w:t>
            </w:r>
          </w:p>
        </w:tc>
        <w:tc>
          <w:tcPr>
            <w:tcW w:w="3640" w:type="pct"/>
            <w:noWrap w:val="0"/>
            <w:vAlign w:val="center"/>
          </w:tcPr>
          <w:p>
            <w:pPr>
              <w:pStyle w:val="44"/>
              <w:spacing w:line="440" w:lineRule="exact"/>
              <w:ind w:firstLine="240" w:firstLineChars="100"/>
              <w:rPr>
                <w:rFonts w:hint="eastAsia" w:ascii="仿宋" w:hAnsi="仿宋" w:eastAsia="仿宋" w:cs="Times New Roman"/>
                <w:color w:val="auto"/>
                <w:highlight w:val="none"/>
                <w:lang w:val="zh-CN"/>
              </w:rPr>
            </w:pPr>
            <w:r>
              <w:rPr>
                <w:rFonts w:hint="eastAsia" w:ascii="仿宋" w:hAnsi="仿宋" w:eastAsia="仿宋" w:cs="Times New Roman"/>
                <w:color w:val="auto"/>
                <w:highlight w:val="none"/>
                <w:lang w:val="zh-CN"/>
              </w:rPr>
              <w:t>本项目最高限价为人民币</w:t>
            </w:r>
            <w:r>
              <w:rPr>
                <w:rFonts w:hint="eastAsia" w:ascii="仿宋" w:hAnsi="仿宋" w:eastAsia="仿宋" w:cs="Times New Roman"/>
                <w:u w:val="single"/>
                <w:lang w:val="en-US" w:eastAsia="zh-CN"/>
              </w:rPr>
              <w:t>1600</w:t>
            </w:r>
            <w:r>
              <w:rPr>
                <w:rFonts w:hint="eastAsia" w:ascii="仿宋" w:hAnsi="仿宋" w:eastAsia="仿宋" w:cs="Times New Roman"/>
                <w:color w:val="auto"/>
                <w:highlight w:val="none"/>
                <w:lang w:val="zh-CN"/>
              </w:rPr>
              <w:t>万元。投标人在报价时应按结算率（</w:t>
            </w:r>
            <w:r>
              <w:rPr>
                <w:rFonts w:hint="eastAsia" w:ascii="仿宋" w:hAnsi="仿宋" w:eastAsia="仿宋" w:cs="Times New Roman"/>
                <w:color w:val="auto"/>
                <w:highlight w:val="none"/>
                <w:lang w:val="en-US" w:eastAsia="zh-CN"/>
              </w:rPr>
              <w:t>0%-100%</w:t>
            </w:r>
            <w:r>
              <w:rPr>
                <w:rFonts w:hint="eastAsia" w:ascii="仿宋" w:hAnsi="仿宋" w:eastAsia="仿宋" w:cs="Times New Roman"/>
                <w:color w:val="auto"/>
                <w:highlight w:val="none"/>
                <w:lang w:val="zh-CN"/>
              </w:rPr>
              <w:t>）进行报价，在实际结算时采购人将按中标人在投标时所报的结算率进行结算，即：结算价格=</w:t>
            </w:r>
            <w:r>
              <w:rPr>
                <w:rFonts w:hint="eastAsia" w:ascii="仿宋" w:hAnsi="仿宋" w:eastAsia="仿宋" w:cs="Times New Roman"/>
                <w:color w:val="auto"/>
                <w:highlight w:val="none"/>
                <w:lang w:val="en-US" w:eastAsia="zh-CN"/>
              </w:rPr>
              <w:t>单价限价</w:t>
            </w:r>
            <w:r>
              <w:rPr>
                <w:rFonts w:hint="eastAsia" w:ascii="仿宋" w:hAnsi="仿宋" w:eastAsia="仿宋" w:cs="Times New Roman"/>
                <w:color w:val="auto"/>
                <w:highlight w:val="none"/>
                <w:lang w:val="zh-CN"/>
              </w:rPr>
              <w:t>×投标时的结算率。（如：投标人在投标时的结算率为80%，</w:t>
            </w:r>
            <w:r>
              <w:rPr>
                <w:rFonts w:hint="eastAsia" w:ascii="仿宋" w:hAnsi="仿宋" w:eastAsia="仿宋" w:cs="Times New Roman"/>
                <w:color w:val="auto"/>
                <w:highlight w:val="none"/>
                <w:lang w:val="en-US" w:eastAsia="zh-CN"/>
              </w:rPr>
              <w:t>单价限价</w:t>
            </w:r>
            <w:r>
              <w:rPr>
                <w:rFonts w:hint="eastAsia" w:ascii="仿宋" w:hAnsi="仿宋" w:eastAsia="仿宋" w:cs="Times New Roman"/>
                <w:color w:val="auto"/>
                <w:highlight w:val="none"/>
                <w:lang w:val="zh-CN"/>
              </w:rPr>
              <w:t>为100元，则结算价格为：100元×80%＝80元。）</w:t>
            </w:r>
          </w:p>
          <w:p>
            <w:pPr>
              <w:pStyle w:val="44"/>
              <w:spacing w:line="440" w:lineRule="exact"/>
              <w:ind w:firstLine="240" w:firstLineChars="100"/>
              <w:rPr>
                <w:rFonts w:hint="eastAsia" w:ascii="仿宋" w:hAnsi="仿宋" w:eastAsia="仿宋" w:cs="Times New Roman"/>
                <w:color w:val="auto"/>
                <w:highlight w:val="none"/>
                <w:lang w:val="zh-CN"/>
              </w:rPr>
            </w:pPr>
            <w:r>
              <w:rPr>
                <w:rFonts w:hint="eastAsia" w:ascii="仿宋" w:hAnsi="仿宋" w:eastAsia="仿宋" w:cs="Times New Roman"/>
                <w:color w:val="auto"/>
                <w:highlight w:val="none"/>
                <w:lang w:val="zh-CN"/>
              </w:rPr>
              <w:t>投标人的投标报价率为负数、有超过百分之百、有多个投标结算率的，其投标文件按无效投标文件处理。</w:t>
            </w:r>
          </w:p>
          <w:p>
            <w:pPr>
              <w:pStyle w:val="44"/>
              <w:spacing w:line="440" w:lineRule="exact"/>
              <w:ind w:firstLine="241" w:firstLineChars="100"/>
              <w:rPr>
                <w:rFonts w:hint="eastAsia" w:ascii="仿宋" w:hAnsi="仿宋" w:eastAsia="宋体" w:cs="Times New Roman"/>
                <w:color w:val="FF0000"/>
                <w:lang w:val="zh-CN" w:eastAsia="zh-CN"/>
              </w:rPr>
            </w:pPr>
            <w:r>
              <w:rPr>
                <w:rFonts w:hint="eastAsia" w:ascii="仿宋" w:hAnsi="仿宋" w:eastAsia="仿宋" w:cs="Times New Roman"/>
                <w:b/>
                <w:bCs/>
                <w:color w:val="auto"/>
                <w:kern w:val="0"/>
                <w:sz w:val="24"/>
                <w:szCs w:val="24"/>
                <w:highlight w:val="none"/>
                <w:lang w:val="zh-CN" w:eastAsia="zh-CN" w:bidi="ar-SA"/>
              </w:rPr>
              <w:t>合同</w:t>
            </w:r>
            <w:r>
              <w:rPr>
                <w:rFonts w:hint="eastAsia" w:ascii="仿宋" w:hAnsi="仿宋" w:eastAsia="仿宋" w:cs="Times New Roman"/>
                <w:b/>
                <w:bCs/>
                <w:color w:val="auto"/>
                <w:kern w:val="0"/>
                <w:sz w:val="24"/>
                <w:szCs w:val="24"/>
                <w:highlight w:val="none"/>
                <w:lang w:val="en-US" w:eastAsia="zh-CN" w:bidi="ar-SA"/>
              </w:rPr>
              <w:t>生效之日起一年</w:t>
            </w:r>
            <w:r>
              <w:rPr>
                <w:rFonts w:hint="eastAsia" w:ascii="仿宋" w:hAnsi="仿宋" w:eastAsia="仿宋" w:cs="Times New Roman"/>
                <w:b/>
                <w:bCs/>
                <w:color w:val="auto"/>
                <w:kern w:val="0"/>
                <w:sz w:val="24"/>
                <w:szCs w:val="24"/>
                <w:highlight w:val="none"/>
                <w:lang w:val="zh-CN" w:eastAsia="zh-CN" w:bidi="ar-SA"/>
              </w:rPr>
              <w:t>或者合同结算金额达到</w:t>
            </w:r>
            <w:r>
              <w:rPr>
                <w:rFonts w:hint="eastAsia" w:ascii="仿宋" w:hAnsi="仿宋" w:eastAsia="仿宋" w:cs="Times New Roman"/>
                <w:b/>
                <w:bCs/>
                <w:u w:val="single"/>
                <w:lang w:val="en-US" w:eastAsia="zh-CN"/>
              </w:rPr>
              <w:t>1600</w:t>
            </w:r>
            <w:r>
              <w:rPr>
                <w:rFonts w:hint="eastAsia" w:ascii="仿宋" w:hAnsi="仿宋" w:eastAsia="仿宋" w:cs="Times New Roman"/>
                <w:b/>
                <w:bCs/>
                <w:color w:val="auto"/>
                <w:kern w:val="0"/>
                <w:sz w:val="24"/>
                <w:szCs w:val="24"/>
                <w:highlight w:val="none"/>
                <w:lang w:val="en-US" w:eastAsia="zh-CN" w:bidi="ar-SA"/>
              </w:rPr>
              <w:t>万</w:t>
            </w:r>
            <w:r>
              <w:rPr>
                <w:rFonts w:hint="eastAsia" w:ascii="仿宋" w:hAnsi="仿宋" w:eastAsia="仿宋" w:cs="Times New Roman"/>
                <w:b/>
                <w:bCs/>
                <w:color w:val="auto"/>
                <w:kern w:val="0"/>
                <w:sz w:val="24"/>
                <w:szCs w:val="24"/>
                <w:highlight w:val="none"/>
                <w:lang w:val="zh-CN" w:eastAsia="zh-CN" w:bidi="ar-SA"/>
              </w:rPr>
              <w:t>元，合同自动终止</w:t>
            </w:r>
            <w:r>
              <w:rPr>
                <w:rFonts w:hint="eastAsia"/>
                <w:lang w:eastAsia="zh-CN"/>
              </w:rPr>
              <w:t>。</w:t>
            </w:r>
          </w:p>
        </w:tc>
      </w:tr>
    </w:tbl>
    <w:p>
      <w:pPr>
        <w:pStyle w:val="2"/>
        <w:numPr>
          <w:ilvl w:val="0"/>
          <w:numId w:val="0"/>
        </w:numPr>
        <w:rPr>
          <w:rFonts w:hint="eastAsia" w:ascii="仿宋" w:hAnsi="仿宋" w:eastAsia="仿宋"/>
          <w:b w:val="0"/>
          <w:bCs w:val="0"/>
          <w:sz w:val="24"/>
          <w:szCs w:val="24"/>
          <w:lang w:val="en-US" w:eastAsia="zh-CN"/>
        </w:rPr>
      </w:pPr>
      <w:r>
        <w:rPr>
          <w:rFonts w:hint="eastAsia" w:ascii="仿宋" w:hAnsi="仿宋" w:eastAsia="仿宋"/>
          <w:b w:val="0"/>
          <w:bCs w:val="0"/>
          <w:sz w:val="24"/>
          <w:szCs w:val="24"/>
          <w:lang w:val="en-US" w:eastAsia="zh-CN"/>
        </w:rPr>
        <w:t>”</w:t>
      </w:r>
    </w:p>
    <w:p>
      <w:pPr>
        <w:pStyle w:val="2"/>
        <w:numPr>
          <w:ilvl w:val="0"/>
          <w:numId w:val="1"/>
        </w:numPr>
        <w:rPr>
          <w:rFonts w:hint="eastAsia" w:ascii="仿宋" w:hAnsi="仿宋" w:eastAsia="仿宋"/>
          <w:b w:val="0"/>
          <w:bCs w:val="0"/>
          <w:sz w:val="24"/>
          <w:szCs w:val="24"/>
          <w:lang w:val="en-US" w:eastAsia="zh-CN"/>
        </w:rPr>
      </w:pPr>
      <w:r>
        <w:rPr>
          <w:rFonts w:hint="eastAsia" w:ascii="仿宋" w:hAnsi="仿宋" w:eastAsia="仿宋"/>
          <w:b w:val="0"/>
          <w:bCs w:val="0"/>
          <w:sz w:val="24"/>
          <w:szCs w:val="24"/>
          <w:lang w:val="en-US" w:eastAsia="zh-CN"/>
        </w:rPr>
        <w:t>删除招标文件“第6章 技术、商务及其他要求”中以下货物：</w:t>
      </w:r>
    </w:p>
    <w:p>
      <w:pPr>
        <w:numPr>
          <w:ilvl w:val="0"/>
          <w:numId w:val="0"/>
        </w:numPr>
        <w:rPr>
          <w:rFonts w:hint="eastAsia" w:ascii="仿宋" w:hAnsi="仿宋" w:eastAsia="仿宋" w:cs="Times New Roman"/>
          <w:kern w:val="2"/>
          <w:sz w:val="24"/>
          <w:szCs w:val="24"/>
          <w:lang w:val="en-US" w:eastAsia="zh-CN" w:bidi="ar-SA"/>
        </w:rPr>
      </w:pPr>
      <w:r>
        <w:rPr>
          <w:rFonts w:hint="eastAsia"/>
          <w:lang w:val="en-US" w:eastAsia="zh-CN"/>
        </w:rPr>
        <w:t xml:space="preserve">    </w:t>
      </w:r>
    </w:p>
    <w:tbl>
      <w:tblPr>
        <w:tblStyle w:val="21"/>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318"/>
        <w:gridCol w:w="936"/>
        <w:gridCol w:w="5046"/>
        <w:gridCol w:w="12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货物名称</w:t>
            </w: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单位</w:t>
            </w:r>
          </w:p>
        </w:tc>
        <w:tc>
          <w:tcPr>
            <w:tcW w:w="29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技  术  要  求</w:t>
            </w:r>
          </w:p>
        </w:tc>
        <w:tc>
          <w:tcPr>
            <w:tcW w:w="7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限高价</w:t>
            </w:r>
          </w:p>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PE板材</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张</w:t>
            </w:r>
          </w:p>
        </w:tc>
        <w:tc>
          <w:tcPr>
            <w:tcW w:w="29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1、材质：硬聚乙烯；</w:t>
            </w:r>
          </w:p>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2、尺寸：1000mm±2mm*2000mm±2mm*3mm±2mm；用于制作足部、及小腿部位专用矫形器，FO/AFO矫形器。</w:t>
            </w:r>
          </w:p>
        </w:tc>
        <w:tc>
          <w:tcPr>
            <w:tcW w:w="7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PE板材</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张</w:t>
            </w:r>
          </w:p>
        </w:tc>
        <w:tc>
          <w:tcPr>
            <w:tcW w:w="29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1、材质：硬聚乙烯；</w:t>
            </w:r>
          </w:p>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2、尺寸：1000mm±2mm*2000mm±2mm*4mm±2mm；用于制作小腿、及大腿部位专用矫形器，KAFO矫形器。</w:t>
            </w:r>
          </w:p>
        </w:tc>
        <w:tc>
          <w:tcPr>
            <w:tcW w:w="7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1721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PE板材</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张</w:t>
            </w:r>
          </w:p>
        </w:tc>
        <w:tc>
          <w:tcPr>
            <w:tcW w:w="29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1、材质：硬聚乙烯；</w:t>
            </w:r>
          </w:p>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2、尺寸：1000mm±2mm*2000mm±2mm*5mm±2mm；用于制作足部、大腿KAFO/脊柱侧弯矫形器。</w:t>
            </w:r>
          </w:p>
        </w:tc>
        <w:tc>
          <w:tcPr>
            <w:tcW w:w="7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2182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PE板材</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张</w:t>
            </w:r>
          </w:p>
        </w:tc>
        <w:tc>
          <w:tcPr>
            <w:tcW w:w="29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1、材质：柔聚乙烯；</w:t>
            </w:r>
          </w:p>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2、尺寸：1000mm±2mm*2000±2mmmm*2mm±2mm；用于制作足部、及小腿部位专用矫形器，FO/AFO矫形器。</w:t>
            </w:r>
          </w:p>
        </w:tc>
        <w:tc>
          <w:tcPr>
            <w:tcW w:w="7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1133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PE板材</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张</w:t>
            </w:r>
          </w:p>
        </w:tc>
        <w:tc>
          <w:tcPr>
            <w:tcW w:w="29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1、材质：柔聚乙烯；</w:t>
            </w:r>
          </w:p>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2、尺寸：1000mm±2mm*2000mm±2mm*3mm±2mm；用于制作足部、及小腿部位专用矫形器，FO/AFO矫形器。</w:t>
            </w:r>
          </w:p>
        </w:tc>
        <w:tc>
          <w:tcPr>
            <w:tcW w:w="7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1679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PE板材</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张</w:t>
            </w:r>
          </w:p>
        </w:tc>
        <w:tc>
          <w:tcPr>
            <w:tcW w:w="29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1、材质：柔聚乙烯；</w:t>
            </w:r>
          </w:p>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2、尺寸：1000mm±2mm*2000mm±2mm*4mm±2mm；用于制作小腿、及大腿部位专用矫形器，KAFO矫形器。</w:t>
            </w:r>
          </w:p>
        </w:tc>
        <w:tc>
          <w:tcPr>
            <w:tcW w:w="7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2238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PE板材</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张</w:t>
            </w:r>
          </w:p>
        </w:tc>
        <w:tc>
          <w:tcPr>
            <w:tcW w:w="29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1、材质：柔聚乙烯；</w:t>
            </w:r>
          </w:p>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2、尺寸：1000mm±2mm*2000mm±2mm*5mm±2mm；用于制作足部、大腿KAFO/脊柱侧弯矫形器。</w:t>
            </w:r>
          </w:p>
        </w:tc>
        <w:tc>
          <w:tcPr>
            <w:tcW w:w="7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2798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PP板材</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张</w:t>
            </w:r>
          </w:p>
        </w:tc>
        <w:tc>
          <w:tcPr>
            <w:tcW w:w="29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1、材质：聚丙烯；</w:t>
            </w:r>
          </w:p>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2、尺寸：1000mm±2mm*2000mm±2mm*3mm±2mm；用于制作足部、及小腿部位专用矫形器，FO/AFO矫形器。</w:t>
            </w:r>
          </w:p>
        </w:tc>
        <w:tc>
          <w:tcPr>
            <w:tcW w:w="7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1497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PP板材</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张</w:t>
            </w:r>
          </w:p>
        </w:tc>
        <w:tc>
          <w:tcPr>
            <w:tcW w:w="29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1、材质：聚丙烯；</w:t>
            </w:r>
          </w:p>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2、尺寸：1000mm±2mm*2000mm±2mm*4mm±2mm；用于制作小腿、及大腿部位专用矫形器，KAFO矫形器。</w:t>
            </w:r>
          </w:p>
        </w:tc>
        <w:tc>
          <w:tcPr>
            <w:tcW w:w="7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1945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PP板材</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张</w:t>
            </w:r>
          </w:p>
        </w:tc>
        <w:tc>
          <w:tcPr>
            <w:tcW w:w="29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1、材质：聚丙烯；</w:t>
            </w:r>
          </w:p>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2、尺寸：1000mm±2mm*2000mm±2mm*5mm±2mm；用于制作足部、大腿KAFO/脊柱侧弯矫形器。</w:t>
            </w:r>
          </w:p>
        </w:tc>
        <w:tc>
          <w:tcPr>
            <w:tcW w:w="7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2448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30" w:hRule="atLeast"/>
        </w:trPr>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碳纤储能脚板</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件</w:t>
            </w:r>
          </w:p>
        </w:tc>
        <w:tc>
          <w:tcPr>
            <w:tcW w:w="29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1.符合国家标准要求。</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2,结构高度：≤31.5mm</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3，材料：钛合金材质</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4.自重≤95g</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5.适用体重：最大100Kg</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6.表面进行拉丝处理，连接座可调节旋转角度，外表光洁，无麻点。</w:t>
            </w:r>
          </w:p>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7.零部件组件每套独立包装，零件之间有分隔，防止碰撞。</w:t>
            </w:r>
          </w:p>
        </w:tc>
        <w:tc>
          <w:tcPr>
            <w:tcW w:w="7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11546.00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30" w:hRule="atLeast"/>
        </w:trPr>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阳四棱锥接受腔连接件</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件</w:t>
            </w:r>
          </w:p>
        </w:tc>
        <w:tc>
          <w:tcPr>
            <w:tcW w:w="29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1.符合国家标准要求。</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2,结构高度：≤31.5mm</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3，材料：钛合金材质</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4.自重≤95g</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5.适用体重：最大100Kg</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6.表面进行拉丝处理，连接座可调节旋转角度，外表光洁，无麻点。</w:t>
            </w:r>
          </w:p>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7.零部件组件每套独立包装，零件之间有分隔，防止碰撞。</w:t>
            </w:r>
          </w:p>
        </w:tc>
        <w:tc>
          <w:tcPr>
            <w:tcW w:w="7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4352.00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0" w:hRule="atLeast"/>
        </w:trPr>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铝合金一体化管-短</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件</w:t>
            </w:r>
          </w:p>
        </w:tc>
        <w:tc>
          <w:tcPr>
            <w:tcW w:w="29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1.符合国家标准要求。</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2.材质：管为铝合金材料，表面氧化着色。管连接头为钛合金材料。</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3.自重≤200g（长度200mm）</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4.适用体重：最大100Kg</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5.铝合金管长度不低于200mm，管壁厚度不低于2.5mm，管外经30mm。管连接头为管内连接，两者连接不松动。</w:t>
            </w:r>
          </w:p>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6.零部件组件每套独立包装，零件之间有分隔，防止碰撞。</w:t>
            </w:r>
          </w:p>
        </w:tc>
        <w:tc>
          <w:tcPr>
            <w:tcW w:w="7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2878.00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20" w:hRule="atLeast"/>
        </w:trPr>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锁紧管接头</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件</w:t>
            </w:r>
          </w:p>
        </w:tc>
        <w:tc>
          <w:tcPr>
            <w:tcW w:w="29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1.铝合金材料精密加工而成；</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2.最大承重：100kg；</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 xml:space="preserve">3.内径:30mm；   </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4.重量:≤125克；</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5.外表光洁无麻点；</w:t>
            </w:r>
          </w:p>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6.每件独立包装。</w:t>
            </w:r>
          </w:p>
        </w:tc>
        <w:tc>
          <w:tcPr>
            <w:tcW w:w="7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2292.00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小腿外装饰海绵</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件</w:t>
            </w:r>
          </w:p>
        </w:tc>
        <w:tc>
          <w:tcPr>
            <w:tcW w:w="29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 xml:space="preserve">1、材质：聚乙烯EVA材料；             </w:t>
            </w:r>
          </w:p>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2、成品海绵，黏性好；产品呈肤色；本品密度轻，耐水屈挠，抗拉强度高，寿命长。外形美观，穿用舒适，无毒无味，装配操作简单。长度和</w:t>
            </w:r>
          </w:p>
        </w:tc>
        <w:tc>
          <w:tcPr>
            <w:tcW w:w="7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551.00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0" w:hRule="atLeast"/>
        </w:trPr>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万力飞毛腿</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件</w:t>
            </w:r>
          </w:p>
        </w:tc>
        <w:tc>
          <w:tcPr>
            <w:tcW w:w="29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1、全长碳纤脚板，脚芯脚套分离设置。</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2、具有减震及动态储能功能</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3、脚掌中分设计，可提供万象功能</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4、结构高度： 最低68cm,最高170cm</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5、脚芯脚套可分离。</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6、适用活动级别 2-3 级；承重上限≤166kg</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7、尺码范围：22cm-30cm</w:t>
            </w:r>
          </w:p>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8、适用于低、中、高活动级别截者患者，根据患者体重级别进行对应配置，且根据活动级别适配要求九个等级</w:t>
            </w:r>
          </w:p>
        </w:tc>
        <w:tc>
          <w:tcPr>
            <w:tcW w:w="7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28943.00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0" w:hRule="atLeast"/>
        </w:trPr>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气压几何锁膝关节</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件</w:t>
            </w:r>
          </w:p>
        </w:tc>
        <w:tc>
          <w:tcPr>
            <w:tcW w:w="29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1.四种不同的连接方式</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2.适和大腿、膝离断、髋离断截肢者装配使用</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3.具有几何锁</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4.K2-K3 中高活动级别</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5.重量1025克</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6.整体高度215mm</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7.最大屈曲角度150度</w:t>
            </w:r>
          </w:p>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8.体重上限125公斤</w:t>
            </w:r>
          </w:p>
        </w:tc>
        <w:tc>
          <w:tcPr>
            <w:tcW w:w="7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26980.00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0" w:hRule="atLeast"/>
        </w:trPr>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可旋转阴三爪连接盘</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件</w:t>
            </w:r>
          </w:p>
        </w:tc>
        <w:tc>
          <w:tcPr>
            <w:tcW w:w="29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1.符合国家标准要求。</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2，结构高度：≤52mm</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3，材料：钛合金材质</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4.自重≤160g</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5.适用体重：最大100Kg</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6.表面进行研磨处理，外表光洁，无麻点。</w:t>
            </w:r>
          </w:p>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7.零部件组件每套独立包装，零件之间有分隔，防止碰撞。</w:t>
            </w:r>
          </w:p>
        </w:tc>
        <w:tc>
          <w:tcPr>
            <w:tcW w:w="7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3162.00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0" w:hRule="atLeast"/>
        </w:trPr>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铝合金一体化管-长</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件</w:t>
            </w:r>
          </w:p>
        </w:tc>
        <w:tc>
          <w:tcPr>
            <w:tcW w:w="29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1.符合国家标准要求。</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2.材质：管为铝合金材料，表面氧化着色。管连接头为铝合金材料。</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3.自重≤310g（长度400mm）</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4.适用体重：最大100Kg</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5.铝合金管长度不低于400mm，管壁厚度不低于2.5mm，管外经30mm。管连接头为管内连接，两者连接不松动。</w:t>
            </w:r>
          </w:p>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6.零部件组件每套独立包装，零件之间有分隔，防止碰撞</w:t>
            </w:r>
          </w:p>
        </w:tc>
        <w:tc>
          <w:tcPr>
            <w:tcW w:w="7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3624.00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0" w:hRule="atLeast"/>
        </w:trPr>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七轴几何锁液压膝关节</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件</w:t>
            </w:r>
          </w:p>
        </w:tc>
        <w:tc>
          <w:tcPr>
            <w:tcW w:w="29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1.适用于大腿、膝离断、髋离断截肢</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2.体重上限：100公斤</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3.活动级别：中-高活动级别</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4.可以在各种步速下行走</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5.三段式控制液压缸</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6.可调节的弹性屈曲</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7.可调节几何锁灵敏度</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8.结构高度173mm±2mm</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9.重量695±2克</w:t>
            </w:r>
          </w:p>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10.最大屈曲160°</w:t>
            </w:r>
          </w:p>
        </w:tc>
        <w:tc>
          <w:tcPr>
            <w:tcW w:w="7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66521.00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0" w:hRule="atLeast"/>
        </w:trPr>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可旋转阴三爪连接盘</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件</w:t>
            </w:r>
          </w:p>
        </w:tc>
        <w:tc>
          <w:tcPr>
            <w:tcW w:w="29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1.符合国家标准要求。</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2，结构高度：≤52mm</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3，材料：钛合金材质</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4.自重≤160g</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5.适用体重：最大100Kg</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6.表面进行研磨处理，外表光洁，无麻点。</w:t>
            </w:r>
          </w:p>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7.零部件组件每套独立包装，零件之间有分隔，防止碰撞。</w:t>
            </w:r>
          </w:p>
        </w:tc>
        <w:tc>
          <w:tcPr>
            <w:tcW w:w="7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3162.00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0" w:hRule="atLeast"/>
        </w:trPr>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铝合金一体化管-长</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件</w:t>
            </w:r>
          </w:p>
        </w:tc>
        <w:tc>
          <w:tcPr>
            <w:tcW w:w="29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1.符合国家标准要求。</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2.材质：管为铝合金材料，表面氧化着色。管连接头为铝合金材料。</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3.自重≤310g（长度400mm）</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4.适用体重：最大100Kg</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5.铝合金管长度不低于400mm，管壁厚度不低于2.5mm，管外经30mm。管连接头为管内连接，两者连接不松动。</w:t>
            </w:r>
          </w:p>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6.零部件组件每套独立包装，零件之间有分隔，防止碰撞</w:t>
            </w:r>
          </w:p>
        </w:tc>
        <w:tc>
          <w:tcPr>
            <w:tcW w:w="7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3624.00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90" w:hRule="atLeast"/>
        </w:trPr>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水垢去除剂</w:t>
            </w: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桶</w:t>
            </w:r>
          </w:p>
        </w:tc>
        <w:tc>
          <w:tcPr>
            <w:tcW w:w="29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1、去除自动清洗机内壁上的各种水垢、锈斑和生物膜</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2、SMDS标识成分安全，保护使用者安全</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3、稀释比例1:1</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4、去除陈年水垢，预防硬水导致的矿物质沉积，保持高品质清洗机处于最佳各种条件</w:t>
            </w:r>
          </w:p>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5、适用范围：用于不锈钢设备和制品</w:t>
            </w:r>
          </w:p>
        </w:tc>
        <w:tc>
          <w:tcPr>
            <w:tcW w:w="7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883.90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20" w:hRule="atLeast"/>
        </w:trPr>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环氧乙烷灭菌包内化学指示卡</w:t>
            </w: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盒</w:t>
            </w:r>
          </w:p>
        </w:tc>
        <w:tc>
          <w:tcPr>
            <w:tcW w:w="29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1.适用范围：用于环氧乙烷灭菌效果的化学监测。</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2.长条形结构内有化学指示染料，环氧乙烷浓度为600mg/L±30mg/L，温度54℃±1℃和相对湿度60%±10%，作用时间60分钟。</w:t>
            </w:r>
          </w:p>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3.长条型的灭菌指示，可以对更多的区域进行灭菌监测。</w:t>
            </w:r>
          </w:p>
        </w:tc>
        <w:tc>
          <w:tcPr>
            <w:tcW w:w="7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369.36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0" w:hRule="atLeast"/>
        </w:trPr>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压力蒸汽灭菌包内化学指示卡（爬行式）</w:t>
            </w: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片</w:t>
            </w:r>
          </w:p>
        </w:tc>
        <w:tc>
          <w:tcPr>
            <w:tcW w:w="29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1.用于压力蒸汽灭菌锅包内灭菌质量的化学监测，可用于121℃或者132℃-134℃压力蒸汽灭菌锅。</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2.第五类化学指示卡，符合 ISO 11140-1标准要求。</w:t>
            </w:r>
          </w:p>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3.爬行式，防水设计。</w:t>
            </w:r>
          </w:p>
        </w:tc>
        <w:tc>
          <w:tcPr>
            <w:tcW w:w="7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1.35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6" w:hRule="atLeast"/>
        </w:trPr>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极速生物综合挑战测试包</w:t>
            </w: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包</w:t>
            </w:r>
          </w:p>
        </w:tc>
        <w:tc>
          <w:tcPr>
            <w:tcW w:w="29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1.适用范围：用于132℃-135℃预真空压力蒸汽灭菌器灭菌过程验证。</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2.一次性测试包性能符合WS 的标准要求。</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3.生物监测阴性结果判读时间1小时。</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4.包内所含化学指示物为第五类综合指示物，防水设计，移动式判读设计。</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5.可匹配采购人现有的3M490生物阅读器使用。</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6.生物指示物配有挤碎器。</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7.配备中国第三方实验室实时老化监测报告，时间不小于21个月。</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8.菌片为嗜热脂肪杆菌芽孢，符合ISO 11138标准。</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9.安瓿瓶中内含芽孢生长所需充足的培养液和非荧光底物。</w:t>
            </w:r>
          </w:p>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10.具有芽孢载体设计。</w:t>
            </w:r>
          </w:p>
        </w:tc>
        <w:tc>
          <w:tcPr>
            <w:tcW w:w="7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183.60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0" w:hRule="atLeast"/>
        </w:trPr>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蒸汽灭菌化学测试包</w:t>
            </w: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包</w:t>
            </w:r>
          </w:p>
        </w:tc>
        <w:tc>
          <w:tcPr>
            <w:tcW w:w="29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 xml:space="preserve">1. 适用范围：用于121℃下排气压力蒸汽灭菌或132℃预真空压力蒸汽灭菌器的负荷放行和灭菌质量批量监测。               </w:t>
            </w:r>
          </w:p>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2.模拟辅料PCD,挑战灭菌过程。                                                                          3.PCD装置,可以反映全锅/包内内含第五类化学指示剂(爬行卡),高度模拟生物指示剂性能。                           4.比生物PCD更快速,可立即得到监测结果:判读简单,排除人为因素。                                                      5.一次性使用,保证抗力稳定,确保每次监测均达到ST79规范要求。</w:t>
            </w:r>
          </w:p>
        </w:tc>
        <w:tc>
          <w:tcPr>
            <w:tcW w:w="7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43.74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0" w:hRule="atLeast"/>
        </w:trPr>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压力蒸汽灭菌包内化学指示卡（爬行式）</w:t>
            </w: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片</w:t>
            </w:r>
          </w:p>
        </w:tc>
        <w:tc>
          <w:tcPr>
            <w:tcW w:w="29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 使用范围:用于压力蒸汽灭菌锅包内灭菌质量好坏的化学监测;可用于121℃和132℃的压力燕汽灭菌循环。（121℃用时21.6分钟；128℃用时3.9分钟；135℃用时1.5分钟）</w:t>
            </w:r>
          </w:p>
        </w:tc>
        <w:tc>
          <w:tcPr>
            <w:tcW w:w="7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1.85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环氧乙烷灭菌指示胶带</w:t>
            </w: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卷</w:t>
            </w:r>
          </w:p>
        </w:tc>
        <w:tc>
          <w:tcPr>
            <w:tcW w:w="29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1、经过EO浓度600ml/L.温度50-55度。</w:t>
            </w:r>
          </w:p>
        </w:tc>
        <w:tc>
          <w:tcPr>
            <w:tcW w:w="7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187.50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20" w:hRule="atLeast"/>
        </w:trPr>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一次性包装材料专用灭菌指示胶带（压力蒸汽）</w:t>
            </w: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卷</w:t>
            </w:r>
          </w:p>
        </w:tc>
        <w:tc>
          <w:tcPr>
            <w:tcW w:w="29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 使用范围: 3MTM1355 -次性包装材料专用灭菌指示胶带(压力蒸汽)，用于压力蒸汽灭菌的包外化学监测，显示包裹是否经过灭菌过程。可用于1219C, 132*C的压力蒸汽灭菌过程指示。</w:t>
            </w:r>
          </w:p>
        </w:tc>
        <w:tc>
          <w:tcPr>
            <w:tcW w:w="7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63.00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30" w:hRule="atLeast"/>
        </w:trPr>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蒸汽灭菌指示胶带</w:t>
            </w: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卷</w:t>
            </w:r>
          </w:p>
        </w:tc>
        <w:tc>
          <w:tcPr>
            <w:tcW w:w="29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1.适用范围：用于下排气式和预真空式（包括脉动）压力蒸汽灭菌的包外化学监测；本胶带可使用于棉织物、无纺布、纸等多种包装材料。直接粘贴于包外，可直接观察变色情况，判断物品包是否通过灭菌处理。</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2.采用压敏性粘合剂。</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3.无铅和非有机溶剂配方。</w:t>
            </w:r>
          </w:p>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4.背衬为皱纹纸，具有较好的伸缩性能和强的拉伸强度。</w:t>
            </w:r>
          </w:p>
        </w:tc>
        <w:tc>
          <w:tcPr>
            <w:tcW w:w="7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61.60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压力蒸汽灭菌包内化学指示卡</w:t>
            </w: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盒</w:t>
            </w:r>
          </w:p>
        </w:tc>
        <w:tc>
          <w:tcPr>
            <w:tcW w:w="29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 适用范围：用于132℃-134℃预真空式压力蒸汽灭菌时，作为灭菌效果的化学监测。</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2.可监测多个灭菌循环和多个灭菌关键参数。</w:t>
            </w:r>
          </w:p>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3.长条设计，20cm变色区域。</w:t>
            </w:r>
          </w:p>
        </w:tc>
        <w:tc>
          <w:tcPr>
            <w:tcW w:w="7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218.70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0" w:hRule="atLeast"/>
        </w:trPr>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测试包</w:t>
            </w: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包</w:t>
            </w:r>
          </w:p>
        </w:tc>
        <w:tc>
          <w:tcPr>
            <w:tcW w:w="29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1.适用范围：用于检测预真空压力蒸汽灭菌器空气排出效果。</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2.严格符合最新《消毒技术规范》对于BD测试的各项要求。</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3.一次性产品设计，免清洗。</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4.无铅配方，安全，环保。</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5.内含预警纸，预警式BD测试包在出现失败结果前提供有效警示。</w:t>
            </w:r>
          </w:p>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6.BD试纸图案按照人眼生理设计，提高人工阅读精确度。</w:t>
            </w:r>
          </w:p>
        </w:tc>
        <w:tc>
          <w:tcPr>
            <w:tcW w:w="7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68.00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0" w:hRule="atLeast"/>
        </w:trPr>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器械托盘</w:t>
            </w: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个</w:t>
            </w:r>
          </w:p>
        </w:tc>
        <w:tc>
          <w:tcPr>
            <w:tcW w:w="29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 聚丙烯材质。</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2. 材质无毒且对健康无危害。</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3. 耐受温度4-135℃。</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4. 确保所有霉菌介质穿透，适用于所有灭菌方式。</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5. 产品可承受1.25米冲击测试。</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6. 耐腐蚀。</w:t>
            </w:r>
          </w:p>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7.尺寸：300*250*52mm。</w:t>
            </w:r>
          </w:p>
        </w:tc>
        <w:tc>
          <w:tcPr>
            <w:tcW w:w="7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416.00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90" w:hRule="atLeast"/>
        </w:trPr>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器械托盘</w:t>
            </w: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个</w:t>
            </w:r>
          </w:p>
        </w:tc>
        <w:tc>
          <w:tcPr>
            <w:tcW w:w="29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1.聚丙烯材质。</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2.材质无毒且对健康无危害。</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3.耐受温度4-135℃。</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4.确保所有霉菌介质穿透，适用于所有灭菌方式。</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5.产品可承受至少1.25米冲击测试。</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 xml:space="preserve">6.耐腐蚀。    </w:t>
            </w:r>
          </w:p>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7.尺寸：480*255*50mm。            </w:t>
            </w:r>
          </w:p>
        </w:tc>
        <w:tc>
          <w:tcPr>
            <w:tcW w:w="7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995.00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90" w:hRule="atLeast"/>
        </w:trPr>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PCD批量测试指示卡</w:t>
            </w: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片</w:t>
            </w:r>
          </w:p>
        </w:tc>
        <w:tc>
          <w:tcPr>
            <w:tcW w:w="29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1、满足ISO 11140-1对第五类化学指示物的要求，能完整监测压力蒸汽灭菌过程中的三个关键要素：温度、时间、水。</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2、满足ISO 11140-1中暴露于干热条件下，指示物不应达到终点的要求。</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3、聚合方式合成，表面覆膜，稳定安全。</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4、监测结果变色后稳定性强，可永久保存，满足追溯要求。</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5、指示物为背胶设计，撕开背胶即可直接粘贴存档。</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6、监测异常时，可对照厂家资料快速根据变色情况诊断失败原因，快速排查和检修。</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7、每锅次使用1片指示物，提升和保障灭菌监测有效性、准确性。</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8、 灭菌后可立刻读取结果，作为发放依据，保障临床科室使用。</w:t>
            </w:r>
          </w:p>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9、适用范围：高温灭菌批次放行监测。</w:t>
            </w:r>
          </w:p>
        </w:tc>
        <w:tc>
          <w:tcPr>
            <w:tcW w:w="7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58.32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30" w:hRule="atLeast"/>
        </w:trPr>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戊二醛内镜消毒液</w:t>
            </w: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桶</w:t>
            </w:r>
          </w:p>
        </w:tc>
        <w:tc>
          <w:tcPr>
            <w:tcW w:w="29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1、主要有效成分及含量：戊二醛，24±1.0％（w/w）</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2、性状：液体、无味，pH 值（20℃）3.75±0.25</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3、可杀灭细菌芽孢等微生物</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4、适用于索洛普牌 2 型全自动软式内镜清洗消毒机的浓缩消毒剂，用于对软式内镜的高水平消毒。</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5、保质期 1 年，开启后保质期为≥45 天</w:t>
            </w:r>
          </w:p>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6、规格：5L/桶</w:t>
            </w:r>
          </w:p>
        </w:tc>
        <w:tc>
          <w:tcPr>
            <w:tcW w:w="7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1495.00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70" w:hRule="atLeast"/>
        </w:trPr>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含酶内镜清洗液</w:t>
            </w: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桶</w:t>
            </w:r>
          </w:p>
        </w:tc>
        <w:tc>
          <w:tcPr>
            <w:tcW w:w="29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1、主要有效成分：酶清洗剂</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2、制剂用途：</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清洗医疗设备，手术器械和内镜。</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4、物理化学特性：</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密度: 1.037 ± 0.05 kg/m3</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20°C时的pH : 7.5 ± 0.5</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水溶性 [%重量]: 完全可溶</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20℃时物理状态: 液体</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5、有效期</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1年或开盖后至少2个月</w:t>
            </w:r>
          </w:p>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6、规格：2L/桶</w:t>
            </w:r>
          </w:p>
        </w:tc>
        <w:tc>
          <w:tcPr>
            <w:tcW w:w="7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850.00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包药纸</w:t>
            </w: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卷</w:t>
            </w:r>
          </w:p>
        </w:tc>
        <w:tc>
          <w:tcPr>
            <w:tcW w:w="29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 xml:space="preserve">1、耗材成分：玉米淀粉、木浆、聚乙烯 </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2、耗材作用：药品包装。</w:t>
            </w:r>
          </w:p>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3、适用于汤山片剂摆药机。</w:t>
            </w:r>
          </w:p>
        </w:tc>
        <w:tc>
          <w:tcPr>
            <w:tcW w:w="7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683.00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0" w:hRule="atLeast"/>
        </w:trPr>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医用润滑剂</w:t>
            </w: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桶</w:t>
            </w:r>
          </w:p>
        </w:tc>
        <w:tc>
          <w:tcPr>
            <w:tcW w:w="29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 xml:space="preserve">1、产品物性：水溶性矿物油；2、产品用途：用于手术器械，机器上油和手工上油两用。                    </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 xml:space="preserve">3、穿透性：为保证灭菌效果，厂商提供蒸汽、环氧乙烷可穿透的报告。        </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 xml:space="preserve">4、抑菌作用：厂商提供报告。         </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 xml:space="preserve">5、适用于STERIS史帝瑞单腔清洗消毒机，用于达芬奇手术机器人专用手术器械的清洗、消毒、润滑。       </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6、材质兼容性：需与手术器械的材质相兼容，提供相关报告。</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7、生物降解：对环境和人员无害，提供相关报告。</w:t>
            </w:r>
          </w:p>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8、认证：具有ISO认证 ；9、5加仑/桶</w:t>
            </w:r>
          </w:p>
        </w:tc>
        <w:tc>
          <w:tcPr>
            <w:tcW w:w="7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3816.72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40" w:hRule="atLeast"/>
        </w:trPr>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喷雾型器械润滑剂</w:t>
            </w: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瓶</w:t>
            </w:r>
          </w:p>
        </w:tc>
        <w:tc>
          <w:tcPr>
            <w:tcW w:w="29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 xml:space="preserve">1、适用于各类手术器械关机、牙科手机轴承、各类推车脚轮的手工润滑。                                </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2、食品药品级润滑成分，水溶性配方，安全无毒害。</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3、高效润滑，可针对器械关节上油，在器械表面形成保护膜，无斑点残留。</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4、配备喷嘴式加注管，可对器械关节进行精准手工润滑。</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5、包装规格：400ml/瓶。</w:t>
            </w:r>
          </w:p>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6、透明无色，不含水，在包装区使用，不会引起器械生锈，推进剂为丙烷丁烷，不会造成润滑油的二次污染。</w:t>
            </w:r>
          </w:p>
        </w:tc>
        <w:tc>
          <w:tcPr>
            <w:tcW w:w="7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422.00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刀片</w:t>
            </w: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盒</w:t>
            </w:r>
          </w:p>
        </w:tc>
        <w:tc>
          <w:tcPr>
            <w:tcW w:w="29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1、石蜡切片刀片（窄），用于石蜡切片机</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2、尺寸：80 mm x 8 mm x 0.25 mm</w:t>
            </w:r>
          </w:p>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3、50片/盒，材质：高级不锈钢</w:t>
            </w:r>
          </w:p>
        </w:tc>
        <w:tc>
          <w:tcPr>
            <w:tcW w:w="7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930.00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刀片</w:t>
            </w: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盒</w:t>
            </w:r>
          </w:p>
        </w:tc>
        <w:tc>
          <w:tcPr>
            <w:tcW w:w="29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1、一次性病理刀片</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2、规格：0.254 mm*8 mm*80mm</w:t>
            </w:r>
          </w:p>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3、50片/盒，材质：高级不锈钢</w:t>
            </w:r>
          </w:p>
        </w:tc>
        <w:tc>
          <w:tcPr>
            <w:tcW w:w="7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810.00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造口粉</w:t>
            </w: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瓶</w:t>
            </w:r>
          </w:p>
        </w:tc>
        <w:tc>
          <w:tcPr>
            <w:tcW w:w="29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1、包装：50g /瓶</w:t>
            </w:r>
          </w:p>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2、材质：梧桐胶及柑橘果胶类粉膏状保护剂</w:t>
            </w:r>
          </w:p>
        </w:tc>
        <w:tc>
          <w:tcPr>
            <w:tcW w:w="7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144.50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防漏膏</w:t>
            </w: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支</w:t>
            </w:r>
          </w:p>
        </w:tc>
        <w:tc>
          <w:tcPr>
            <w:tcW w:w="29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1、包装：100g /支</w:t>
            </w:r>
          </w:p>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2、材质：梧桐胶及柑橘果胶类粉膏状保护剂</w:t>
            </w:r>
          </w:p>
        </w:tc>
        <w:tc>
          <w:tcPr>
            <w:tcW w:w="7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187.00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80" w:hRule="atLeast"/>
        </w:trPr>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黄色TPE盖</w:t>
            </w: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箱</w:t>
            </w:r>
          </w:p>
        </w:tc>
        <w:tc>
          <w:tcPr>
            <w:tcW w:w="29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1、产品材质：管盖材料为热塑性材质，在-80°C到+100°C环境下能保持其性能稳定。</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2、兼容性：可兼容96 孔规格的0.50毫升到2.00毫升内旋冻存管。</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3、洁净要求：在10万级洁净车间生产，确保不含DNase / RNase污染物、无热源，提供相关佐证材料，并加盖公章。</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4、便捷性：可96只一次封盖，每只盖塞也可单独使用。</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5、密封性：瓶盖可以被吸头反复穿孔而不会失去密封完整性，提供相关佐证材料，并加盖公章。</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6、规格：标准SBS尺寸，能够匹配自动化设备实现自动开关盖。</w:t>
            </w:r>
          </w:p>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7、960管/包,4包/箱</w:t>
            </w:r>
          </w:p>
        </w:tc>
        <w:tc>
          <w:tcPr>
            <w:tcW w:w="7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587.60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80" w:hRule="atLeast"/>
        </w:trPr>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绿色TPE盖</w:t>
            </w: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箱</w:t>
            </w:r>
          </w:p>
        </w:tc>
        <w:tc>
          <w:tcPr>
            <w:tcW w:w="29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1、产品材质：管盖材料为热塑性材质，在-80°C到+100°C环境下能保持其性能稳定。</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2、兼容性：可兼容96 孔规格的0.50毫升到2.00毫升内旋冻存管。</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3、洁净要求：在10万级洁净车间生产，确保不含DNase / RNase污染物、无热源，提供相关佐证材料，并加盖公章。</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4、便捷性：可96只一次封盖，每只盖塞也可单独使用。</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5、密封性：瓶盖可以被吸头反复穿孔而不会失去密封完整性，提供相关佐证材料，并加盖公章。</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6、规格：标准 SBS 尺寸，能够匹配自动化设备实现自动开关盖。</w:t>
            </w:r>
          </w:p>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7、960管/包,4包/箱</w:t>
            </w:r>
          </w:p>
        </w:tc>
        <w:tc>
          <w:tcPr>
            <w:tcW w:w="7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587.60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0" w:hRule="atLeast"/>
        </w:trPr>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针式过滤器</w:t>
            </w: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个</w:t>
            </w:r>
          </w:p>
        </w:tc>
        <w:tc>
          <w:tcPr>
            <w:tcW w:w="29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1、规格：33mm，孔径0.22um</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过滤体积：200ml</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2、材质：亲水聚醚砜(PES)</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3、无菌</w:t>
            </w:r>
          </w:p>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4、独立包装，亲水性</w:t>
            </w:r>
          </w:p>
        </w:tc>
        <w:tc>
          <w:tcPr>
            <w:tcW w:w="7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10.80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针式过滤器</w:t>
            </w: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个</w:t>
            </w:r>
          </w:p>
        </w:tc>
        <w:tc>
          <w:tcPr>
            <w:tcW w:w="29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1、规格：33mm,孔径0.45um，过滤体积：100ML</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2、材质：亲水聚偏氟乙烯(PVDF)</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3、无菌</w:t>
            </w:r>
          </w:p>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4、独立包装，亲水性</w:t>
            </w:r>
          </w:p>
        </w:tc>
        <w:tc>
          <w:tcPr>
            <w:tcW w:w="7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10.80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PVDF膜转印膜</w:t>
            </w: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卷</w:t>
            </w:r>
          </w:p>
        </w:tc>
        <w:tc>
          <w:tcPr>
            <w:tcW w:w="29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1、材质：PVDF</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2、尺寸：26.5cm*3.75m</w:t>
            </w:r>
          </w:p>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3、孔径：0.45µm</w:t>
            </w:r>
          </w:p>
        </w:tc>
        <w:tc>
          <w:tcPr>
            <w:tcW w:w="7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2494.80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PVDF膜转印膜</w:t>
            </w: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卷</w:t>
            </w:r>
          </w:p>
        </w:tc>
        <w:tc>
          <w:tcPr>
            <w:tcW w:w="29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1、材质：PVDF</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2、尺寸：26.5cm*3.75m</w:t>
            </w:r>
          </w:p>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3、孔径：0.2µm</w:t>
            </w:r>
          </w:p>
        </w:tc>
        <w:tc>
          <w:tcPr>
            <w:tcW w:w="7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2655.50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硝酸纤维素膜</w:t>
            </w: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卷</w:t>
            </w:r>
          </w:p>
        </w:tc>
        <w:tc>
          <w:tcPr>
            <w:tcW w:w="29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1、材质：硝酸纤维素；2、规格：33cm*3m*0.45µm</w:t>
            </w:r>
          </w:p>
        </w:tc>
        <w:tc>
          <w:tcPr>
            <w:tcW w:w="7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2278.80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一次性刀片</w:t>
            </w: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盒</w:t>
            </w:r>
          </w:p>
        </w:tc>
        <w:tc>
          <w:tcPr>
            <w:tcW w:w="29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1、规格：0.25mm*8mm*80mm</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冰冻切片专用</w:t>
            </w:r>
          </w:p>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2、20片/盒，材质：碳钢</w:t>
            </w:r>
          </w:p>
        </w:tc>
        <w:tc>
          <w:tcPr>
            <w:tcW w:w="7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820.80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20" w:hRule="atLeast"/>
        </w:trPr>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封口膜</w:t>
            </w: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盒</w:t>
            </w:r>
          </w:p>
        </w:tc>
        <w:tc>
          <w:tcPr>
            <w:tcW w:w="29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1、具有密封性，透气不透水，</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无气味、无颜色，半透明材质</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可拉伸超过原长度的200%。</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可以耐受无机盐、酸、碱等多种极性物质的溶液，最长可达48小时</w:t>
            </w:r>
          </w:p>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2、规格要求（长宽）：0.1mx38m</w:t>
            </w:r>
          </w:p>
        </w:tc>
        <w:tc>
          <w:tcPr>
            <w:tcW w:w="7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313.20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整支消毒单道移液器</w:t>
            </w: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支</w:t>
            </w:r>
          </w:p>
        </w:tc>
        <w:tc>
          <w:tcPr>
            <w:tcW w:w="29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 带弹性吸嘴</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2、可根据实际情况对整支移液器或仅对移液器下半部分进行高温高压灭菌，确保消除污染。</w:t>
            </w:r>
          </w:p>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3、量程：0.5-10ul</w:t>
            </w:r>
          </w:p>
        </w:tc>
        <w:tc>
          <w:tcPr>
            <w:tcW w:w="7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2376.00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整支消毒单道移液器</w:t>
            </w: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支</w:t>
            </w:r>
          </w:p>
        </w:tc>
        <w:tc>
          <w:tcPr>
            <w:tcW w:w="29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 带弹性吸嘴</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2、可根据实际情况对整支移液器或仅对移液器下半部分进行高温高压灭菌，确保消除污染。</w:t>
            </w:r>
          </w:p>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3、量程：20-200ul</w:t>
            </w:r>
          </w:p>
        </w:tc>
        <w:tc>
          <w:tcPr>
            <w:tcW w:w="7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2376.00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整支消毒单道移液器</w:t>
            </w: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支</w:t>
            </w:r>
          </w:p>
        </w:tc>
        <w:tc>
          <w:tcPr>
            <w:tcW w:w="29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 带弹性吸嘴</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2、可根据实际情况对整支移液器或仅对移液器下半部分进行高温高压灭菌，确保消除污染。</w:t>
            </w:r>
          </w:p>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3、量程：100-1000ul</w:t>
            </w:r>
          </w:p>
        </w:tc>
        <w:tc>
          <w:tcPr>
            <w:tcW w:w="7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2376.00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整支消毒单道移液器</w:t>
            </w: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支</w:t>
            </w:r>
          </w:p>
        </w:tc>
        <w:tc>
          <w:tcPr>
            <w:tcW w:w="29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 带弹性吸嘴</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2、可根据实际情况对整支移液器或仅对移液器下半部分进行高温高压灭菌，确保消除污染。</w:t>
            </w:r>
          </w:p>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3、量程：2-20ul</w:t>
            </w:r>
          </w:p>
        </w:tc>
        <w:tc>
          <w:tcPr>
            <w:tcW w:w="7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2376.00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整支消毒单道移液器</w:t>
            </w: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支</w:t>
            </w:r>
          </w:p>
        </w:tc>
        <w:tc>
          <w:tcPr>
            <w:tcW w:w="29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 带弹性吸嘴</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2、可根据实际情况对整支移液器或仅对移液器下半部分进行高温高压灭菌，确保消除污染。</w:t>
            </w:r>
          </w:p>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3、量程：10-100ul</w:t>
            </w:r>
          </w:p>
        </w:tc>
        <w:tc>
          <w:tcPr>
            <w:tcW w:w="7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2376.00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0" w:hRule="atLeast"/>
        </w:trPr>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手动十二道整支消毒移液器</w:t>
            </w: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支</w:t>
            </w:r>
          </w:p>
        </w:tc>
        <w:tc>
          <w:tcPr>
            <w:tcW w:w="29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 带弹性吸嘴</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2、可根据实际情况对整支移液器或仅对移液器下半部分进行高温高压灭菌，确保消除污染。</w:t>
            </w:r>
          </w:p>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3、量程：30-300ul,10-100ul，0.5-100ul可供选择</w:t>
            </w:r>
          </w:p>
        </w:tc>
        <w:tc>
          <w:tcPr>
            <w:tcW w:w="7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7776.00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0" w:hRule="atLeast"/>
        </w:trPr>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手动八道整支消毒移液器</w:t>
            </w: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支</w:t>
            </w:r>
          </w:p>
        </w:tc>
        <w:tc>
          <w:tcPr>
            <w:tcW w:w="29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 带弹性吸嘴</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2、可根据实际情况对整支移液器或仅对移液器下半部分进行高温高压灭菌，确保消除污染。</w:t>
            </w:r>
          </w:p>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3、量程：30-300ul,10-100ul，0.5-100ul可供选择</w:t>
            </w:r>
          </w:p>
        </w:tc>
        <w:tc>
          <w:tcPr>
            <w:tcW w:w="7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7776.00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0" w:hRule="atLeast"/>
        </w:trPr>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单道移液器</w:t>
            </w: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支</w:t>
            </w:r>
          </w:p>
        </w:tc>
        <w:tc>
          <w:tcPr>
            <w:tcW w:w="29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1、通用吸头</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2、无需拆卸任何部件，整支可121℃高压灭菌</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3、无需使用任何工具即可自行进行校准，且校准过程可通过数字显示进行调整，无需盲调</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4、量程调节拨轮，机身与量程锁具有颜色标识</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5、可设定量程，移液与褪除吸头，所有操作都无需换手</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6、全量程段数字显示，便于清晰的设定和读取移液体积，避免了读刻度时可能的人为误差</w:t>
            </w:r>
          </w:p>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7、量程：5-50ul</w:t>
            </w:r>
          </w:p>
        </w:tc>
        <w:tc>
          <w:tcPr>
            <w:tcW w:w="7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1710.00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0" w:hRule="atLeast"/>
        </w:trPr>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单道移液器</w:t>
            </w: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支</w:t>
            </w:r>
          </w:p>
        </w:tc>
        <w:tc>
          <w:tcPr>
            <w:tcW w:w="29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1、通用吸头</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2、无需拆卸任何部件，整支可121℃高压灭菌</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3、无需使用任何工具即可自行进行校准，且校准过程可通过数字显示进行调整，无需盲调</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4、量程调节拨轮，机身与量程锁具有颜色标识</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5、可设定量程，移液与褪除吸头，所有操作都无需换手</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6、全量程段数字显示，便于清晰的设定和读取移液体积，避免了读刻度时可能的人为误差</w:t>
            </w:r>
          </w:p>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7、量程：20-200ul</w:t>
            </w:r>
          </w:p>
        </w:tc>
        <w:tc>
          <w:tcPr>
            <w:tcW w:w="7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1710.00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0" w:hRule="atLeast"/>
        </w:trPr>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单道移液器</w:t>
            </w: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支</w:t>
            </w:r>
          </w:p>
        </w:tc>
        <w:tc>
          <w:tcPr>
            <w:tcW w:w="29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1、通用吸头</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2、无需拆卸任何部件，整支可121℃高压灭菌</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3、无需使用任何工具即可自行进行校准，且校准过程可通过数字显示进行调整，无需盲调</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4、量程调节拨轮，机身与量程锁具有颜色标识</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5、可设定量程，移液与褪除吸头，所有操作都无需换手</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6、全量程段数字显示，便于清晰的设定和读取移液体积，避免了读刻度时可能的人为误差</w:t>
            </w:r>
          </w:p>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7、量程：100-1000ul</w:t>
            </w:r>
          </w:p>
        </w:tc>
        <w:tc>
          <w:tcPr>
            <w:tcW w:w="7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1710.00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0" w:hRule="atLeast"/>
        </w:trPr>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单道移液器</w:t>
            </w: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支</w:t>
            </w:r>
          </w:p>
        </w:tc>
        <w:tc>
          <w:tcPr>
            <w:tcW w:w="29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1、通用吸头</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2、无需拆卸任何部件，整支可121℃高压灭菌</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3、无需使用任何工具即可自行进行校准，且校准过程可通过数字显示进行调整，无需盲调</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4、量程调节拨轮，机身与量程锁具有颜色标识</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5、可设定量程，移液与褪除吸头，所有操作都无需换手</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6、全量程段数字显示，便于清晰的设定和读取移液体积，避免了读刻度时可能的人为误差</w:t>
            </w:r>
          </w:p>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7、量程：10-100ul</w:t>
            </w:r>
          </w:p>
        </w:tc>
        <w:tc>
          <w:tcPr>
            <w:tcW w:w="7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1710.00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刀片</w:t>
            </w: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盒</w:t>
            </w:r>
          </w:p>
        </w:tc>
        <w:tc>
          <w:tcPr>
            <w:tcW w:w="29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1、石蜡切片刀片（窄）</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2、尺寸：80mmx8mmx0.25mm</w:t>
            </w:r>
          </w:p>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3、50片/盒，材质：高级不锈钢</w:t>
            </w:r>
          </w:p>
        </w:tc>
        <w:tc>
          <w:tcPr>
            <w:tcW w:w="7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930.00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刀片</w:t>
            </w: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盒</w:t>
            </w:r>
          </w:p>
        </w:tc>
        <w:tc>
          <w:tcPr>
            <w:tcW w:w="29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1、一次性病理刀片</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2、规格：0.25mm*8mm*80mm</w:t>
            </w:r>
          </w:p>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3、50片/盒，材质：高级不锈钢</w:t>
            </w:r>
          </w:p>
        </w:tc>
        <w:tc>
          <w:tcPr>
            <w:tcW w:w="7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810.00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单道移液器</w:t>
            </w: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支</w:t>
            </w:r>
          </w:p>
        </w:tc>
        <w:tc>
          <w:tcPr>
            <w:tcW w:w="29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1、规格：100-1000ul , 末端可以灭菌</w:t>
            </w:r>
          </w:p>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2、带有量程锁，可防止出现量程的偏移</w:t>
            </w:r>
          </w:p>
        </w:tc>
        <w:tc>
          <w:tcPr>
            <w:tcW w:w="7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3150.00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单道移液器</w:t>
            </w: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支</w:t>
            </w:r>
          </w:p>
        </w:tc>
        <w:tc>
          <w:tcPr>
            <w:tcW w:w="29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1、格：20-200ul , 末端可以灭菌</w:t>
            </w:r>
          </w:p>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2、带有量程锁，可防止出现量程的偏移</w:t>
            </w:r>
          </w:p>
        </w:tc>
        <w:tc>
          <w:tcPr>
            <w:tcW w:w="7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3150.00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单道移液器</w:t>
            </w: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支</w:t>
            </w:r>
          </w:p>
        </w:tc>
        <w:tc>
          <w:tcPr>
            <w:tcW w:w="29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1、规格：10-100ul , 末端可以灭菌</w:t>
            </w:r>
          </w:p>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2、带有量程锁，可防止出现量程的偏移</w:t>
            </w:r>
          </w:p>
        </w:tc>
        <w:tc>
          <w:tcPr>
            <w:tcW w:w="7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3150.00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手动连续分液器</w:t>
            </w: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支</w:t>
            </w:r>
          </w:p>
        </w:tc>
        <w:tc>
          <w:tcPr>
            <w:tcW w:w="29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1、可调重复移液器</w:t>
            </w:r>
          </w:p>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2、量程：2ul-5ml</w:t>
            </w:r>
          </w:p>
        </w:tc>
        <w:tc>
          <w:tcPr>
            <w:tcW w:w="7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7081.50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90" w:hRule="atLeast"/>
        </w:trPr>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手动8道移液器</w:t>
            </w: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支</w:t>
            </w:r>
          </w:p>
        </w:tc>
        <w:tc>
          <w:tcPr>
            <w:tcW w:w="29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1、量程：20ul-200ul</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2、步进量（手动）: 0.2 µL</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33准确性±:20 µL:2.5%/0.5µL ;100 µL:0.8%/0.8µL;200µL:0.8%/1.6µL</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4、精度±:20µL:1.2%/0.24µL ;100µL: 0.25%/0.25µL;</w:t>
            </w:r>
          </w:p>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5、具有轻触式去吸头系统</w:t>
            </w:r>
          </w:p>
        </w:tc>
        <w:tc>
          <w:tcPr>
            <w:tcW w:w="7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9720.00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加样吸头</w:t>
            </w: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盒</w:t>
            </w:r>
          </w:p>
        </w:tc>
        <w:tc>
          <w:tcPr>
            <w:tcW w:w="29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1、材质：PP</w:t>
            </w:r>
          </w:p>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2、规格：5000支/盒</w:t>
            </w:r>
          </w:p>
        </w:tc>
        <w:tc>
          <w:tcPr>
            <w:tcW w:w="7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6609.00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接种涂布器</w:t>
            </w: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筒</w:t>
            </w:r>
          </w:p>
        </w:tc>
        <w:tc>
          <w:tcPr>
            <w:tcW w:w="29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1、材质：金属</w:t>
            </w:r>
          </w:p>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2、规格：1000支/筒</w:t>
            </w:r>
          </w:p>
        </w:tc>
        <w:tc>
          <w:tcPr>
            <w:tcW w:w="7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4005.80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一次性切片刀片</w:t>
            </w: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盒</w:t>
            </w:r>
          </w:p>
        </w:tc>
        <w:tc>
          <w:tcPr>
            <w:tcW w:w="29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1、尺寸：80 mm x 8 mm x 0.25 mm</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2、用于石蜡切片</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3、材质：304不锈钢</w:t>
            </w:r>
          </w:p>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4、50片/盒</w:t>
            </w:r>
          </w:p>
        </w:tc>
        <w:tc>
          <w:tcPr>
            <w:tcW w:w="7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678.00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0" w:hRule="atLeast"/>
        </w:trPr>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反应杯</w:t>
            </w: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箱</w:t>
            </w:r>
          </w:p>
        </w:tc>
        <w:tc>
          <w:tcPr>
            <w:tcW w:w="29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独立非连体反应杯，材料为聚丙烯树脂。</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杯高40mm.杯口14mm*65mm，体积为1200微升。</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储存温度为2～40 ℃。</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可适配于雅培alinity化学发光分析仪。</w:t>
            </w:r>
          </w:p>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包装规格：4000只/箱。</w:t>
            </w:r>
          </w:p>
        </w:tc>
        <w:tc>
          <w:tcPr>
            <w:tcW w:w="7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3240.00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反应杯</w:t>
            </w: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盒</w:t>
            </w:r>
          </w:p>
        </w:tc>
        <w:tc>
          <w:tcPr>
            <w:tcW w:w="29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1、适用索灵LIAISON XL化学发光分析仪一次性使用</w:t>
            </w:r>
          </w:p>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2、4盒/箱，9*200个/盒</w:t>
            </w:r>
          </w:p>
        </w:tc>
        <w:tc>
          <w:tcPr>
            <w:tcW w:w="7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835.00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一次性吸头</w:t>
            </w: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盒</w:t>
            </w:r>
          </w:p>
        </w:tc>
        <w:tc>
          <w:tcPr>
            <w:tcW w:w="29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1、适用索灵LIAISON XL化学发光分析仪一次性使用；2、12盒/箱，6*96个/盒；</w:t>
            </w:r>
          </w:p>
        </w:tc>
        <w:tc>
          <w:tcPr>
            <w:tcW w:w="7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350.00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90" w:hRule="atLeast"/>
        </w:trPr>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反应杯</w:t>
            </w: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盒</w:t>
            </w:r>
          </w:p>
        </w:tc>
        <w:tc>
          <w:tcPr>
            <w:tcW w:w="29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1、可配套SYSMEX CS系列全自动凝血分析仪使用；</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2、2、反应杯尺寸为全长29.8±0.1mm；样本管与对照管在405nm的透过光的水平（OD值）在±200以内；</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3、常温下运输和保存。</w:t>
            </w:r>
          </w:p>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4、3000支/盒</w:t>
            </w:r>
          </w:p>
        </w:tc>
        <w:tc>
          <w:tcPr>
            <w:tcW w:w="7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2150.00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0" w:hRule="atLeast"/>
        </w:trPr>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S-Y细胞计数板</w:t>
            </w: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盒</w:t>
            </w:r>
          </w:p>
        </w:tc>
        <w:tc>
          <w:tcPr>
            <w:tcW w:w="29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1、尺寸：7.5cm*4.0cm</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2、规格：10计数区/片，计数区尺寸：9mm*9mm*0.1mm</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3、容积：8.1微升</w:t>
            </w:r>
          </w:p>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4、100片/盒</w:t>
            </w:r>
          </w:p>
        </w:tc>
        <w:tc>
          <w:tcPr>
            <w:tcW w:w="7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1657.50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稀释杯</w:t>
            </w: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盒</w:t>
            </w:r>
          </w:p>
        </w:tc>
        <w:tc>
          <w:tcPr>
            <w:tcW w:w="29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材质：塑料，适用西门子BNⅡ特定蛋白分析仪稀释样本</w:t>
            </w:r>
          </w:p>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规格型号为：6*1100个/盒</w:t>
            </w:r>
          </w:p>
        </w:tc>
        <w:tc>
          <w:tcPr>
            <w:tcW w:w="7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956.00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反应杯</w:t>
            </w: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盒</w:t>
            </w:r>
          </w:p>
        </w:tc>
        <w:tc>
          <w:tcPr>
            <w:tcW w:w="29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材质：塑料，适用西门子BNⅡ特定蛋白分析仪反应比色</w:t>
            </w:r>
          </w:p>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规格型号为：60*5个/盒</w:t>
            </w:r>
          </w:p>
        </w:tc>
        <w:tc>
          <w:tcPr>
            <w:tcW w:w="7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1296.00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反应试管</w:t>
            </w: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盒</w:t>
            </w:r>
          </w:p>
        </w:tc>
        <w:tc>
          <w:tcPr>
            <w:tcW w:w="29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1、适用于西门子Immulite2000化学发光分析仪。</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2、反应杯可不停机随时添加，常温存储。</w:t>
            </w:r>
          </w:p>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3、1000支/盒</w:t>
            </w:r>
          </w:p>
        </w:tc>
        <w:tc>
          <w:tcPr>
            <w:tcW w:w="7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1038.00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20" w:hRule="atLeast"/>
        </w:trPr>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全自动微生物质谱检测系统-VITEK MS-DS靶板</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盒</w:t>
            </w:r>
          </w:p>
        </w:tc>
        <w:tc>
          <w:tcPr>
            <w:tcW w:w="29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1、能够适用于梅里埃的全自动快速微生物质谱检测系统VIKET MS;   2、规格：8*4靶板/盒</w:t>
            </w:r>
          </w:p>
        </w:tc>
        <w:tc>
          <w:tcPr>
            <w:tcW w:w="7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标签打印纸</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卷</w:t>
            </w:r>
          </w:p>
        </w:tc>
        <w:tc>
          <w:tcPr>
            <w:tcW w:w="29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1、适用于梅里埃WASPlab自动接种仪；2、规格：10*40mm，大约6000张</w:t>
            </w:r>
          </w:p>
        </w:tc>
        <w:tc>
          <w:tcPr>
            <w:tcW w:w="7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打印机墨带</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卷</w:t>
            </w:r>
          </w:p>
        </w:tc>
        <w:tc>
          <w:tcPr>
            <w:tcW w:w="29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1、适用于梅里埃WASPlab自动接种仪；2、规格：大约可打12000个标签/卷</w:t>
            </w:r>
          </w:p>
        </w:tc>
        <w:tc>
          <w:tcPr>
            <w:tcW w:w="7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一次性悬浮液管</w:t>
            </w: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箱</w:t>
            </w:r>
          </w:p>
        </w:tc>
        <w:tc>
          <w:tcPr>
            <w:tcW w:w="29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1、聚苯乙烯材质，尺寸12*75mm，适用于梅里埃VITEK2细菌鉴定仪</w:t>
            </w:r>
          </w:p>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2、2000支/箱</w:t>
            </w:r>
          </w:p>
        </w:tc>
        <w:tc>
          <w:tcPr>
            <w:tcW w:w="7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970.00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分析吸头</w:t>
            </w: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箱</w:t>
            </w:r>
          </w:p>
        </w:tc>
        <w:tc>
          <w:tcPr>
            <w:tcW w:w="29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1、材质：塑料。适用于罗氏e601仪器。</w:t>
            </w:r>
          </w:p>
        </w:tc>
        <w:tc>
          <w:tcPr>
            <w:tcW w:w="7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3294.50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亲水性正电荷防脱载玻片</w:t>
            </w: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盒</w:t>
            </w:r>
          </w:p>
        </w:tc>
        <w:tc>
          <w:tcPr>
            <w:tcW w:w="29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1、适用于罗氏免疫组化染色仪Benchmark XT/ULTRA</w:t>
            </w:r>
          </w:p>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2、100片/盒</w:t>
            </w:r>
          </w:p>
        </w:tc>
        <w:tc>
          <w:tcPr>
            <w:tcW w:w="7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178.50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氙气灯</w:t>
            </w: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个</w:t>
            </w:r>
          </w:p>
        </w:tc>
        <w:tc>
          <w:tcPr>
            <w:tcW w:w="29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1、适用于罗氏免疫组化染色仪Benchmark XT/ULTRA</w:t>
            </w:r>
          </w:p>
        </w:tc>
        <w:tc>
          <w:tcPr>
            <w:tcW w:w="7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16703.50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储存卡</w:t>
            </w: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张</w:t>
            </w:r>
          </w:p>
        </w:tc>
        <w:tc>
          <w:tcPr>
            <w:tcW w:w="29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1、适用于罗氏免疫组化染色仪Benchmark XT/ULTRA</w:t>
            </w:r>
          </w:p>
        </w:tc>
        <w:tc>
          <w:tcPr>
            <w:tcW w:w="7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119.50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一抗用空试剂瓶注册卡</w:t>
            </w: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张</w:t>
            </w:r>
          </w:p>
        </w:tc>
        <w:tc>
          <w:tcPr>
            <w:tcW w:w="29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1、适用于罗氏免疫组化染色仪Benchmark XT/ULTRA</w:t>
            </w:r>
          </w:p>
        </w:tc>
        <w:tc>
          <w:tcPr>
            <w:tcW w:w="7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119.50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试剂填充瓶</w:t>
            </w: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个</w:t>
            </w:r>
          </w:p>
        </w:tc>
        <w:tc>
          <w:tcPr>
            <w:tcW w:w="29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1、适用于罗氏免疫组化染色仪Benchmark XT/ULTRA</w:t>
            </w:r>
          </w:p>
        </w:tc>
        <w:tc>
          <w:tcPr>
            <w:tcW w:w="7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391.90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切片标签</w:t>
            </w: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盒</w:t>
            </w:r>
          </w:p>
        </w:tc>
        <w:tc>
          <w:tcPr>
            <w:tcW w:w="29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1、适用于罗氏免疫组化染色仪Benchmark XT/ULTRA</w:t>
            </w:r>
          </w:p>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2、500个x5卷/盒</w:t>
            </w:r>
          </w:p>
        </w:tc>
        <w:tc>
          <w:tcPr>
            <w:tcW w:w="7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6362.50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整支消毒单道移液器</w:t>
            </w: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支</w:t>
            </w:r>
          </w:p>
        </w:tc>
        <w:tc>
          <w:tcPr>
            <w:tcW w:w="29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 带弹性吸嘴</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2、可根据实际情况对整支移液器或仅对移液器下半部分进行高温高压灭菌，确保消除污染。</w:t>
            </w:r>
          </w:p>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3、量程：1-10ul</w:t>
            </w:r>
          </w:p>
        </w:tc>
        <w:tc>
          <w:tcPr>
            <w:tcW w:w="7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2376.00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20" w:hRule="atLeast"/>
        </w:trPr>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过氧化氢低温等离子灭菌快速生物监测指示剂</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支</w:t>
            </w:r>
          </w:p>
        </w:tc>
        <w:tc>
          <w:tcPr>
            <w:tcW w:w="29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生物指示剂培养基中的非荧光物质与嗜热脂肪杆菌芽孢生长分泌物发生化学反应后，产生荧光物质。通过快速生物阅读器的荧光检测技术，确定生物监测的阳性与阴性结果。检测时间≤30分钟，能够满足于我院目前在院使用的过氧化氢低温等离子体灭菌器使用。</w:t>
            </w:r>
          </w:p>
        </w:tc>
        <w:tc>
          <w:tcPr>
            <w:tcW w:w="7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118.80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墨盒</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个</w:t>
            </w:r>
          </w:p>
        </w:tc>
        <w:tc>
          <w:tcPr>
            <w:tcW w:w="29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墨盒，12个/件，适配于3M封口机，规格80*300</w:t>
            </w:r>
          </w:p>
        </w:tc>
        <w:tc>
          <w:tcPr>
            <w:tcW w:w="7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381.24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30" w:hRule="atLeast"/>
        </w:trPr>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环氧乙烷快速生物测试包</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包</w:t>
            </w:r>
          </w:p>
        </w:tc>
        <w:tc>
          <w:tcPr>
            <w:tcW w:w="29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 xml:space="preserve">1.指示剂含枯草芽孢杆菌。                                                               2.自含式设计，操作简便，不易污染，只需要设置阳性对照。                                                3.4小时内读出最终结果，快速准确。                                                </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 xml:space="preserve">4.为一次性生物测试包，性能稳定，监测可靠准确。          </w:t>
            </w:r>
          </w:p>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5.适配于我院在用的环氧乙烷灭菌器，可监测环氧乙烷（包括100%环氧乙烷气体和环氧乙烷混合气体）灭菌效果。 生物指示物（1298）</w:t>
            </w:r>
          </w:p>
        </w:tc>
        <w:tc>
          <w:tcPr>
            <w:tcW w:w="7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147.96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表面采样棒</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支</w:t>
            </w:r>
          </w:p>
        </w:tc>
        <w:tc>
          <w:tcPr>
            <w:tcW w:w="29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1.表面涂抹采样 ；2.达到10-15mol灵敏度 ；3.10秒出结果；4、适配于荧光检测仪；10支/袋；</w:t>
            </w:r>
          </w:p>
        </w:tc>
        <w:tc>
          <w:tcPr>
            <w:tcW w:w="7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36.70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压力蒸汽灭菌标准生物测试包</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包</w:t>
            </w:r>
          </w:p>
        </w:tc>
        <w:tc>
          <w:tcPr>
            <w:tcW w:w="29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1.快速生物测试包是用于高温压力蒸汽灭菌生物监测,测试包内含生物指示物   2. 能够迅速可靠地检测压力蒸汽灭菌过程的生物监测结果。生物指示物（1296）</w:t>
            </w:r>
          </w:p>
        </w:tc>
        <w:tc>
          <w:tcPr>
            <w:tcW w:w="7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102.60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90" w:hRule="atLeast"/>
        </w:trPr>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显微镜镜油</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瓶</w:t>
            </w:r>
          </w:p>
        </w:tc>
        <w:tc>
          <w:tcPr>
            <w:tcW w:w="29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用于全自动染色体扫描仪油镜使用，规格：480 ml 16 fl.oz.</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粘度：300 cSt ± 10% @23oC （Medium）</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折射率：F Line (486.1 nm) – 1.5238</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e Line (546.1 nm) – 1.5180</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D Line (589.3 nm) – 1.5150</w:t>
            </w:r>
          </w:p>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C Line (656.3 nm) – 1.5116</w:t>
            </w:r>
          </w:p>
        </w:tc>
        <w:tc>
          <w:tcPr>
            <w:tcW w:w="7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1728.00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冷冻标签</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盒</w:t>
            </w:r>
          </w:p>
        </w:tc>
        <w:tc>
          <w:tcPr>
            <w:tcW w:w="29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乙烯基材质，≦25.4*25.4mm，*防水，表面可打印，能在零下196摄氏度下使用，粘性良好不脱落，不开胶,材质通过ROHS认证。</w:t>
            </w:r>
          </w:p>
        </w:tc>
        <w:tc>
          <w:tcPr>
            <w:tcW w:w="7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1323.00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色带</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个  </w:t>
            </w:r>
          </w:p>
        </w:tc>
        <w:tc>
          <w:tcPr>
            <w:tcW w:w="29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希森美康SP系列推染片机专用色带</w:t>
            </w:r>
          </w:p>
        </w:tc>
        <w:tc>
          <w:tcPr>
            <w:tcW w:w="7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1512.00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浸油</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袋</w:t>
            </w:r>
          </w:p>
        </w:tc>
        <w:tc>
          <w:tcPr>
            <w:tcW w:w="29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 DI-60阅片机专用浸油，无需清洗显微镜头；                    2、折射率1.5150，粘度300cSt，不含多氯联苯；一袋浸油可用于约3000张玻片</w:t>
            </w:r>
          </w:p>
        </w:tc>
        <w:tc>
          <w:tcPr>
            <w:tcW w:w="7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5508.00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20" w:hRule="atLeast"/>
        </w:trPr>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全自动血液凝固装置清洗液</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盒</w:t>
            </w:r>
          </w:p>
        </w:tc>
        <w:tc>
          <w:tcPr>
            <w:tcW w:w="29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1、适用于全自动凝血分析仪CS-5100，主要是用于吸液针的清洗;</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2、主要成分为次氯酸钠钠（氯浓度1%）及其它添加剂；</w:t>
            </w:r>
          </w:p>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3、储存条件及有效期：2〜8℃保存，有效期12个月；开盖后在1个月内性质稳定。</w:t>
            </w:r>
          </w:p>
        </w:tc>
        <w:tc>
          <w:tcPr>
            <w:tcW w:w="7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370.00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CS系列反应杯</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盒</w:t>
            </w:r>
          </w:p>
        </w:tc>
        <w:tc>
          <w:tcPr>
            <w:tcW w:w="29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1、适用于全自动凝血分析仪CS-5100；由特殊材质组成，与CS系列仪器配套使用，作为凝血实验反应过程的容器及光学检测容器。</w:t>
            </w:r>
          </w:p>
        </w:tc>
        <w:tc>
          <w:tcPr>
            <w:tcW w:w="7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2235.60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0" w:hRule="atLeast"/>
        </w:trPr>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碱性清洗剂 </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桶</w:t>
            </w:r>
          </w:p>
        </w:tc>
        <w:tc>
          <w:tcPr>
            <w:tcW w:w="29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1.超浓缩配方，稀释比例可达1：5000（5L水使用1ml原液）。</w:t>
            </w:r>
          </w:p>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使用性价比高；价格比较与单位使用成本计算（如每升水加清洗液的价格是多少），单次清洗成本低。                                                2.适用于清洗手术器械及其他医疗用品，适合手工清洗、超声清洗及自动清洗消毒机，参照产品说明书;3.能够兼容常见金属、非金属类材质，需提供检测报告;4.适应不同水质，有效预防水垢和金属沉积，需提供检测报告;5.使用安全，无毒性，需提供检测报告  5.有效去除阮毒体，防止阮毒体感染，需提供检测报告;                          6.提供CE证书</w:t>
            </w:r>
          </w:p>
        </w:tc>
        <w:tc>
          <w:tcPr>
            <w:tcW w:w="7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3261.60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清洗液</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盒</w:t>
            </w:r>
          </w:p>
        </w:tc>
        <w:tc>
          <w:tcPr>
            <w:tcW w:w="29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50ml/盒，适用于希森美康XN-550仪器</w:t>
            </w:r>
          </w:p>
        </w:tc>
        <w:tc>
          <w:tcPr>
            <w:tcW w:w="7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778.00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样本稀释液</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盒</w:t>
            </w:r>
          </w:p>
        </w:tc>
        <w:tc>
          <w:tcPr>
            <w:tcW w:w="29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2x36ml/盒，适用于罗氏cobas 6000仪器</w:t>
            </w:r>
          </w:p>
        </w:tc>
        <w:tc>
          <w:tcPr>
            <w:tcW w:w="7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952.60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清洗液</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盒</w:t>
            </w:r>
          </w:p>
        </w:tc>
        <w:tc>
          <w:tcPr>
            <w:tcW w:w="29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5x600mL/盒，磷酸缓冲液10mmol/L;氯化钠20mmol/L;适用于罗氏cobas 6000仪器</w:t>
            </w:r>
          </w:p>
        </w:tc>
        <w:tc>
          <w:tcPr>
            <w:tcW w:w="7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888.00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清洗液</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盒</w:t>
            </w:r>
          </w:p>
        </w:tc>
        <w:tc>
          <w:tcPr>
            <w:tcW w:w="29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12x70mL/盒，KOH176mmol/L;适用于罗氏cobas 6000仪器</w:t>
            </w:r>
          </w:p>
        </w:tc>
        <w:tc>
          <w:tcPr>
            <w:tcW w:w="7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1183.00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分析吸头/分析杯</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盒</w:t>
            </w:r>
          </w:p>
        </w:tc>
        <w:tc>
          <w:tcPr>
            <w:tcW w:w="29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8x6x84个/盒，用于试剂和样本反应用。</w:t>
            </w:r>
          </w:p>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适用于罗氏cobas 6000仪器</w:t>
            </w:r>
          </w:p>
        </w:tc>
        <w:tc>
          <w:tcPr>
            <w:tcW w:w="7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3618.00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样本稀释液</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盒</w:t>
            </w:r>
          </w:p>
        </w:tc>
        <w:tc>
          <w:tcPr>
            <w:tcW w:w="29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2*22ml/盒，适用于罗氏cobas 6000仪器</w:t>
            </w:r>
          </w:p>
        </w:tc>
        <w:tc>
          <w:tcPr>
            <w:tcW w:w="7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1154.80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样本稀释液</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盒</w:t>
            </w:r>
          </w:p>
        </w:tc>
        <w:tc>
          <w:tcPr>
            <w:tcW w:w="29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2x15mL/盒，适用于罗氏cobas 6000仪器</w:t>
            </w:r>
          </w:p>
        </w:tc>
        <w:tc>
          <w:tcPr>
            <w:tcW w:w="7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1341.50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神经元特异性烯醇化酶稀释液</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盒</w:t>
            </w:r>
          </w:p>
        </w:tc>
        <w:tc>
          <w:tcPr>
            <w:tcW w:w="29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4x3.0mL/盒，适用于罗氏cobas 6000仪器</w:t>
            </w:r>
          </w:p>
        </w:tc>
        <w:tc>
          <w:tcPr>
            <w:tcW w:w="7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1306.50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清洗液</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盒</w:t>
            </w:r>
          </w:p>
        </w:tc>
        <w:tc>
          <w:tcPr>
            <w:tcW w:w="29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1×500 ml/盒，适用于罗氏cobas 6000仪器</w:t>
            </w:r>
          </w:p>
        </w:tc>
        <w:tc>
          <w:tcPr>
            <w:tcW w:w="7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924.00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样本释放剂</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盒</w:t>
            </w:r>
          </w:p>
        </w:tc>
        <w:tc>
          <w:tcPr>
            <w:tcW w:w="29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4x200mL/盒，适用于罗氏cobas 6000仪器</w:t>
            </w:r>
          </w:p>
        </w:tc>
        <w:tc>
          <w:tcPr>
            <w:tcW w:w="7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3343.80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清洗液</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盒</w:t>
            </w:r>
          </w:p>
        </w:tc>
        <w:tc>
          <w:tcPr>
            <w:tcW w:w="29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5x100mL/盒，适用于罗氏cobas 6000仪器</w:t>
            </w:r>
          </w:p>
        </w:tc>
        <w:tc>
          <w:tcPr>
            <w:tcW w:w="7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2090.00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钾电极</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盒</w:t>
            </w:r>
          </w:p>
        </w:tc>
        <w:tc>
          <w:tcPr>
            <w:tcW w:w="29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对于血清、血浆或尿液中的钾进行定量检测，适用于罗氏cobas 6000仪器</w:t>
            </w:r>
          </w:p>
        </w:tc>
        <w:tc>
          <w:tcPr>
            <w:tcW w:w="7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3479.80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钠电极</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盒</w:t>
            </w:r>
          </w:p>
        </w:tc>
        <w:tc>
          <w:tcPr>
            <w:tcW w:w="29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对于血清、血浆或尿液中的钠进行定量检测，适用于罗氏cobas 6000仪器</w:t>
            </w:r>
          </w:p>
        </w:tc>
        <w:tc>
          <w:tcPr>
            <w:tcW w:w="7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3839.40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氯电极</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盒</w:t>
            </w:r>
          </w:p>
        </w:tc>
        <w:tc>
          <w:tcPr>
            <w:tcW w:w="29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用于定量检测血清、血浆或尿液中氯含量，</w:t>
            </w:r>
          </w:p>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适用于罗氏cobas 6000仪器</w:t>
            </w:r>
          </w:p>
        </w:tc>
        <w:tc>
          <w:tcPr>
            <w:tcW w:w="7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4412.90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零点校准标签</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盒</w:t>
            </w:r>
          </w:p>
        </w:tc>
        <w:tc>
          <w:tcPr>
            <w:tcW w:w="29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适用于罗氏cobas 6000仪器</w:t>
            </w:r>
          </w:p>
        </w:tc>
        <w:tc>
          <w:tcPr>
            <w:tcW w:w="7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184.80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清洗液</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盒</w:t>
            </w:r>
          </w:p>
        </w:tc>
        <w:tc>
          <w:tcPr>
            <w:tcW w:w="29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适用于罗氏cobas 6000仪器</w:t>
            </w:r>
          </w:p>
        </w:tc>
        <w:tc>
          <w:tcPr>
            <w:tcW w:w="7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2148.00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参比电极</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盒</w:t>
            </w:r>
          </w:p>
        </w:tc>
        <w:tc>
          <w:tcPr>
            <w:tcW w:w="29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用于辅助进行钾、钠、氯离子的定量检测，适用于罗氏cobas 6000仪器</w:t>
            </w:r>
          </w:p>
        </w:tc>
        <w:tc>
          <w:tcPr>
            <w:tcW w:w="7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5832.00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氢氧化钠</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盒</w:t>
            </w:r>
          </w:p>
        </w:tc>
        <w:tc>
          <w:tcPr>
            <w:tcW w:w="29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适用于罗氏cobas 6000仪器</w:t>
            </w:r>
          </w:p>
        </w:tc>
        <w:tc>
          <w:tcPr>
            <w:tcW w:w="7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141.50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氢氧化钠基础洗液</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盒</w:t>
            </w:r>
          </w:p>
        </w:tc>
        <w:tc>
          <w:tcPr>
            <w:tcW w:w="29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适用于罗氏cobas 6000仪器</w:t>
            </w:r>
          </w:p>
        </w:tc>
        <w:tc>
          <w:tcPr>
            <w:tcW w:w="7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384.90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酸性洗液</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盒</w:t>
            </w:r>
          </w:p>
        </w:tc>
        <w:tc>
          <w:tcPr>
            <w:tcW w:w="29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 50ml/盒，适用于罗氏cobas 6000仪器  </w:t>
            </w:r>
          </w:p>
        </w:tc>
        <w:tc>
          <w:tcPr>
            <w:tcW w:w="7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145.00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酸性洗液</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盒</w:t>
            </w:r>
          </w:p>
        </w:tc>
        <w:tc>
          <w:tcPr>
            <w:tcW w:w="29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2x1.8L，适用于罗氏cobas 6000仪器</w:t>
            </w:r>
          </w:p>
        </w:tc>
        <w:tc>
          <w:tcPr>
            <w:tcW w:w="7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2010.00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c501/c502比色杯</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盒</w:t>
            </w:r>
          </w:p>
        </w:tc>
        <w:tc>
          <w:tcPr>
            <w:tcW w:w="29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24个/盒，适用于罗氏cobas 6000仪器</w:t>
            </w:r>
          </w:p>
        </w:tc>
        <w:tc>
          <w:tcPr>
            <w:tcW w:w="7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10549.50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多用洗液</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盒</w:t>
            </w:r>
          </w:p>
        </w:tc>
        <w:tc>
          <w:tcPr>
            <w:tcW w:w="29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12x59ml/盒，适用于罗氏cobas 6000仪器</w:t>
            </w:r>
          </w:p>
        </w:tc>
        <w:tc>
          <w:tcPr>
            <w:tcW w:w="7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757.00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501/502 清洗液</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盒</w:t>
            </w:r>
          </w:p>
        </w:tc>
        <w:tc>
          <w:tcPr>
            <w:tcW w:w="29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12×59 mL/盒，适用于罗氏cobas 6000仪器</w:t>
            </w:r>
          </w:p>
        </w:tc>
        <w:tc>
          <w:tcPr>
            <w:tcW w:w="7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3364.50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pack 试剂空盒</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个</w:t>
            </w:r>
          </w:p>
        </w:tc>
        <w:tc>
          <w:tcPr>
            <w:tcW w:w="29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 xml:space="preserve"> 适用于罗氏cobas c 501全自动生化分析仪器  </w:t>
            </w:r>
          </w:p>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 规格：60mm*35mm*60mm    材质：塑料;   单个装 </w:t>
            </w:r>
          </w:p>
        </w:tc>
        <w:tc>
          <w:tcPr>
            <w:tcW w:w="7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70.20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pack试剂空盒工具</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袋</w:t>
            </w:r>
          </w:p>
        </w:tc>
        <w:tc>
          <w:tcPr>
            <w:tcW w:w="29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适用于罗氏cobas 6000仪器</w:t>
            </w:r>
          </w:p>
        </w:tc>
        <w:tc>
          <w:tcPr>
            <w:tcW w:w="7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1137.50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样本杯</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箱</w:t>
            </w:r>
          </w:p>
        </w:tc>
        <w:tc>
          <w:tcPr>
            <w:tcW w:w="29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适用于罗氏cobas 6000仪器，5000个/箱</w:t>
            </w:r>
          </w:p>
        </w:tc>
        <w:tc>
          <w:tcPr>
            <w:tcW w:w="7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1382.40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比色杯清洗液</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盒</w:t>
            </w:r>
          </w:p>
        </w:tc>
        <w:tc>
          <w:tcPr>
            <w:tcW w:w="29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适用于罗氏cobas 6000仪器，50ml/盒</w:t>
            </w:r>
          </w:p>
        </w:tc>
        <w:tc>
          <w:tcPr>
            <w:tcW w:w="7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136.20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卤钨灯</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盒</w:t>
            </w:r>
          </w:p>
        </w:tc>
        <w:tc>
          <w:tcPr>
            <w:tcW w:w="29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12V 50W. 单个装  .  适用于罗氏cobas 6000仪器</w:t>
            </w:r>
          </w:p>
        </w:tc>
        <w:tc>
          <w:tcPr>
            <w:tcW w:w="7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4919.40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一次性使用塑料样品杯</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袋</w:t>
            </w:r>
          </w:p>
        </w:tc>
        <w:tc>
          <w:tcPr>
            <w:tcW w:w="29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材质：聚苯乙烯  无色透明   适用于罗氏cobas 6000仪器</w:t>
            </w:r>
          </w:p>
        </w:tc>
        <w:tc>
          <w:tcPr>
            <w:tcW w:w="7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129.60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深度清洗液</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盒</w:t>
            </w:r>
          </w:p>
        </w:tc>
        <w:tc>
          <w:tcPr>
            <w:tcW w:w="29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24x15mL/盒，适用于思塔高STA Compact Max</w:t>
            </w:r>
          </w:p>
        </w:tc>
        <w:tc>
          <w:tcPr>
            <w:tcW w:w="7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1187.80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清洗液</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盒</w:t>
            </w:r>
          </w:p>
        </w:tc>
        <w:tc>
          <w:tcPr>
            <w:tcW w:w="29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6x2500mL/盒，适用于思塔高STA Compact Max</w:t>
            </w:r>
          </w:p>
        </w:tc>
        <w:tc>
          <w:tcPr>
            <w:tcW w:w="7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1335.00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mini 减蒸器</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盒</w:t>
            </w:r>
          </w:p>
        </w:tc>
        <w:tc>
          <w:tcPr>
            <w:tcW w:w="29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100只/盒，适用于思塔高试剂盒</w:t>
            </w:r>
          </w:p>
        </w:tc>
        <w:tc>
          <w:tcPr>
            <w:tcW w:w="7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1170.00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20" w:hRule="atLeast"/>
        </w:trPr>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STA-I型一次性塑料反应杯(全自动测量杯含钢珠)</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盒</w:t>
            </w:r>
          </w:p>
        </w:tc>
        <w:tc>
          <w:tcPr>
            <w:tcW w:w="29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反应杯由杯体(聚苯乙烯塑料)、不锈钢珠、固定带、固定盘、卷轴组成。</w:t>
            </w:r>
          </w:p>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盘式设计，每盘1000个反应杯。规格：6盘*1000个/盒，适用于思塔高STA Compact Max仪器</w:t>
            </w:r>
          </w:p>
        </w:tc>
        <w:tc>
          <w:tcPr>
            <w:tcW w:w="7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8640.00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磁力搅拌棒（红色)</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盒</w:t>
            </w:r>
          </w:p>
        </w:tc>
        <w:tc>
          <w:tcPr>
            <w:tcW w:w="29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搅拌棒带有磁性，适用于思塔高仪器试剂混匀。颜色：红色  材质：聚四氟乙烯 .单根独立包装</w:t>
            </w:r>
          </w:p>
        </w:tc>
        <w:tc>
          <w:tcPr>
            <w:tcW w:w="7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265.5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磁力搅拌棒（白色)</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盒</w:t>
            </w:r>
          </w:p>
        </w:tc>
        <w:tc>
          <w:tcPr>
            <w:tcW w:w="29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搅拌棒带有磁性，适用于思塔高仪器试剂混匀。颜色：白色 ； 材质：聚四氟乙烯 . 单根独立包装</w:t>
            </w:r>
          </w:p>
        </w:tc>
        <w:tc>
          <w:tcPr>
            <w:tcW w:w="7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265.5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20" w:hRule="atLeast"/>
        </w:trPr>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清洗液II</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盒</w:t>
            </w:r>
          </w:p>
        </w:tc>
        <w:tc>
          <w:tcPr>
            <w:tcW w:w="29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1、适用于全自动凝血分析仪CS-5100，用于吸液装置和管路的清洗；</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2、主要成分为次氯酸钠钠，氯浓度0.16%以及非离子表面活性剂0.5%等其它添加剂；</w:t>
            </w:r>
          </w:p>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3、储存条件及有效期：5~35℃保存勿冷冻，有效期12个月，开启后在2月内使用完</w:t>
            </w:r>
          </w:p>
        </w:tc>
        <w:tc>
          <w:tcPr>
            <w:tcW w:w="7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3619.80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 ATP 水质采样棒</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支</w:t>
            </w:r>
          </w:p>
        </w:tc>
        <w:tc>
          <w:tcPr>
            <w:tcW w:w="29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1.表面涂抹采样；2.达到10-15mol灵敏度；3.10秒出结果</w:t>
            </w:r>
          </w:p>
        </w:tc>
        <w:tc>
          <w:tcPr>
            <w:tcW w:w="7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34.40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0" w:hRule="atLeast"/>
        </w:trPr>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藻酸盐印模材料托盘清洗剂</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袋</w:t>
            </w:r>
          </w:p>
        </w:tc>
        <w:tc>
          <w:tcPr>
            <w:tcW w:w="29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1、粉水溶解比例：1:20</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2、水溶性呈中性，无腐蚀性</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3、适用范围：清除粘附在托盘上难以剥出的藻酸  盐印模材料</w:t>
            </w:r>
          </w:p>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4、规格：100g/袋</w:t>
            </w:r>
          </w:p>
        </w:tc>
        <w:tc>
          <w:tcPr>
            <w:tcW w:w="7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35.00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3" w:hRule="atLeast"/>
        </w:trPr>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纸塑型平卷料</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卷</w:t>
            </w:r>
          </w:p>
        </w:tc>
        <w:tc>
          <w:tcPr>
            <w:tcW w:w="29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 符合ISO11607，GB19633纸塑包装袋的标准要求产品。</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2. 符合更严格的德国DIN EN868-5标准要求。</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3. 具有国内第三方权威检测机构的卫生安全评价报告。</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4. 适合高温高压蒸汽灭菌、低温环氧乙烷灭菌和低温甲醛蒸汽灭菌。</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5. 医用透析纸 70g/m²，细菌阻隔性更好，强度更高，不容易撕裂。</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6. 复合薄膜PET/PP 膜（聚酯／聚丙烯），强度大，韧性好，耐温性稳定。</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7. 参照YY/T 0698-5\4.4和GB18282.1，指示区分灭菌和未灭菌包装材料。</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8. 灭菌过程指示标识不含重金属。</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 侧面有禁止二次使用和包装袋破损禁止使用标识。</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10. 侧面标识了纸塑包装袋规格尺寸。</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11. 封口强度稳定，防止灭菌过程中发生爆裂。</w:t>
            </w:r>
          </w:p>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12. 优秀的无撕屑开启，撕口均匀完整，无纸屑残留 。13.规格：5cm/200m。</w:t>
            </w:r>
          </w:p>
        </w:tc>
        <w:tc>
          <w:tcPr>
            <w:tcW w:w="7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7" w:hRule="atLeast"/>
        </w:trPr>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纸塑型平卷料</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卷</w:t>
            </w:r>
          </w:p>
        </w:tc>
        <w:tc>
          <w:tcPr>
            <w:tcW w:w="29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2"/>
              </w:numPr>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符合ISO11607，GB19633纸塑包装袋的标准要求产品。</w:t>
            </w:r>
          </w:p>
          <w:p>
            <w:pPr>
              <w:keepNext w:val="0"/>
              <w:keepLines w:val="0"/>
              <w:widowControl/>
              <w:numPr>
                <w:ilvl w:val="0"/>
                <w:numId w:val="2"/>
              </w:numPr>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2. 符合更严格的德国DIN EN868-5标准要求。</w:t>
            </w:r>
          </w:p>
          <w:p>
            <w:pPr>
              <w:keepNext w:val="0"/>
              <w:keepLines w:val="0"/>
              <w:widowControl/>
              <w:numPr>
                <w:ilvl w:val="0"/>
                <w:numId w:val="2"/>
              </w:numPr>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3. 具有国内第三方权威检测机构的卫生安全评价报告。</w:t>
            </w:r>
          </w:p>
          <w:p>
            <w:pPr>
              <w:keepNext w:val="0"/>
              <w:keepLines w:val="0"/>
              <w:widowControl/>
              <w:numPr>
                <w:ilvl w:val="0"/>
                <w:numId w:val="2"/>
              </w:numPr>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4. 适合高温高压蒸汽灭菌、低温环氧乙烷灭菌和低温甲醛蒸汽灭菌。</w:t>
            </w:r>
          </w:p>
          <w:p>
            <w:pPr>
              <w:keepNext w:val="0"/>
              <w:keepLines w:val="0"/>
              <w:widowControl/>
              <w:numPr>
                <w:ilvl w:val="0"/>
                <w:numId w:val="2"/>
              </w:numPr>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5. 医用透析纸 70g/m²，细菌阻隔性更好，强度更高，不容易撕裂。</w:t>
            </w:r>
          </w:p>
          <w:p>
            <w:pPr>
              <w:keepNext w:val="0"/>
              <w:keepLines w:val="0"/>
              <w:widowControl/>
              <w:numPr>
                <w:ilvl w:val="0"/>
                <w:numId w:val="2"/>
              </w:numPr>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6. 复合薄膜PET/PP 膜（聚酯／聚丙烯），强度大，韧性好，耐温性稳定。</w:t>
            </w:r>
          </w:p>
          <w:p>
            <w:pPr>
              <w:keepNext w:val="0"/>
              <w:keepLines w:val="0"/>
              <w:widowControl/>
              <w:numPr>
                <w:ilvl w:val="0"/>
                <w:numId w:val="2"/>
              </w:numPr>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7. 参照YY/T 0698-5\4.4和GB18282.1，指示区分灭菌和未灭菌包装材料。</w:t>
            </w:r>
          </w:p>
          <w:p>
            <w:pPr>
              <w:keepNext w:val="0"/>
              <w:keepLines w:val="0"/>
              <w:widowControl/>
              <w:numPr>
                <w:ilvl w:val="0"/>
                <w:numId w:val="2"/>
              </w:numPr>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8. 灭菌过程指示标识不含重金属。</w:t>
            </w:r>
          </w:p>
          <w:p>
            <w:pPr>
              <w:keepNext w:val="0"/>
              <w:keepLines w:val="0"/>
              <w:widowControl/>
              <w:numPr>
                <w:ilvl w:val="0"/>
                <w:numId w:val="2"/>
              </w:numPr>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 侧面有禁止二次使用和包装袋破损禁止使用标识。</w:t>
            </w:r>
          </w:p>
          <w:p>
            <w:pPr>
              <w:keepNext w:val="0"/>
              <w:keepLines w:val="0"/>
              <w:widowControl/>
              <w:numPr>
                <w:ilvl w:val="0"/>
                <w:numId w:val="2"/>
              </w:numPr>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10. 侧面标识了纸塑包装袋规格尺寸。</w:t>
            </w:r>
          </w:p>
          <w:p>
            <w:pPr>
              <w:keepNext w:val="0"/>
              <w:keepLines w:val="0"/>
              <w:widowControl/>
              <w:numPr>
                <w:ilvl w:val="0"/>
                <w:numId w:val="2"/>
              </w:numPr>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11. 封口强度稳定，防止灭菌过程中发生爆裂。</w:t>
            </w:r>
          </w:p>
          <w:p>
            <w:pPr>
              <w:keepNext w:val="0"/>
              <w:keepLines w:val="0"/>
              <w:widowControl/>
              <w:numPr>
                <w:ilvl w:val="0"/>
                <w:numId w:val="2"/>
              </w:numPr>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12. 优秀的无撕屑开启，撕口均匀完整，无纸屑残留 。</w:t>
            </w:r>
          </w:p>
          <w:p>
            <w:pPr>
              <w:keepNext w:val="0"/>
              <w:keepLines w:val="0"/>
              <w:widowControl/>
              <w:numPr>
                <w:ilvl w:val="0"/>
                <w:numId w:val="0"/>
              </w:numPr>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13.规格：7.5cm/200m。</w:t>
            </w:r>
          </w:p>
        </w:tc>
        <w:tc>
          <w:tcPr>
            <w:tcW w:w="7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337.5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0" w:hRule="atLeast"/>
        </w:trPr>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纸塑型平卷料</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卷</w:t>
            </w:r>
          </w:p>
        </w:tc>
        <w:tc>
          <w:tcPr>
            <w:tcW w:w="29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 符合ISO11607，GB19633纸塑包装袋的标准要求产品。</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2. 符合更严格的德国DIN EN868-5标准要求。</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3. 具有国内第三方权威检测机构的卫生安全评价报告。</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4. 适合高温高压蒸汽灭菌、低温环氧乙烷灭菌和低温甲醛蒸汽灭菌。</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5. 医用透析纸 70g/m²，细菌阻隔性更好，强度更高，不容易撕裂。</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6. 复合薄膜PET/PP 膜（聚酯／聚丙烯），强度大，韧性好，耐温性稳定。</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7. 参照YY/T 0698-5\4.4和GB18282.1，指示区分灭菌和未灭菌包装材料。</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8. 灭菌过程指示标识不含重金属。</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 侧面有禁止二次使用和包装袋破损禁止使用标识。</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10. 侧面标识了纸塑包装袋规格尺寸。</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11. 封口强度稳定，防止灭菌过程中发生爆裂。</w:t>
            </w:r>
          </w:p>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12. 优秀的无撕屑开启，撕口均匀完整，无纸屑残留 。13.规格：10cm/200m。</w:t>
            </w:r>
          </w:p>
        </w:tc>
        <w:tc>
          <w:tcPr>
            <w:tcW w:w="7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383.4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纸塑型平卷料</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卷</w:t>
            </w:r>
          </w:p>
        </w:tc>
        <w:tc>
          <w:tcPr>
            <w:tcW w:w="29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3"/>
              </w:numPr>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符合ISO11607，GB19633纸塑包装袋的标准要求产品。</w:t>
            </w:r>
          </w:p>
          <w:p>
            <w:pPr>
              <w:keepNext w:val="0"/>
              <w:keepLines w:val="0"/>
              <w:widowControl/>
              <w:numPr>
                <w:ilvl w:val="0"/>
                <w:numId w:val="3"/>
              </w:numPr>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2. 符合更严格的德国DIN EN868-5标准要求。</w:t>
            </w:r>
          </w:p>
          <w:p>
            <w:pPr>
              <w:keepNext w:val="0"/>
              <w:keepLines w:val="0"/>
              <w:widowControl/>
              <w:numPr>
                <w:ilvl w:val="0"/>
                <w:numId w:val="3"/>
              </w:numPr>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3. 具有国内第三方权威检测机构的卫生安全评价报告。</w:t>
            </w:r>
          </w:p>
          <w:p>
            <w:pPr>
              <w:keepNext w:val="0"/>
              <w:keepLines w:val="0"/>
              <w:widowControl/>
              <w:numPr>
                <w:ilvl w:val="0"/>
                <w:numId w:val="3"/>
              </w:numPr>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4. 适合高温高压蒸汽灭菌、低温环氧乙烷灭菌和低温甲醛蒸汽灭菌。</w:t>
            </w:r>
          </w:p>
          <w:p>
            <w:pPr>
              <w:keepNext w:val="0"/>
              <w:keepLines w:val="0"/>
              <w:widowControl/>
              <w:numPr>
                <w:ilvl w:val="0"/>
                <w:numId w:val="3"/>
              </w:numPr>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5. 医用透析纸 70g/m²，细菌阻隔性更好，强度更高，不容易撕裂。</w:t>
            </w:r>
          </w:p>
          <w:p>
            <w:pPr>
              <w:keepNext w:val="0"/>
              <w:keepLines w:val="0"/>
              <w:widowControl/>
              <w:numPr>
                <w:ilvl w:val="0"/>
                <w:numId w:val="3"/>
              </w:numPr>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6. 复合薄膜PET/PP 膜（聚酯／聚丙烯），强度大，韧性好，耐温性稳定。</w:t>
            </w:r>
          </w:p>
          <w:p>
            <w:pPr>
              <w:keepNext w:val="0"/>
              <w:keepLines w:val="0"/>
              <w:widowControl/>
              <w:numPr>
                <w:ilvl w:val="0"/>
                <w:numId w:val="3"/>
              </w:numPr>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7. 参照YY/T 0698-5\4.4和GB18282.1，指示区分灭菌和未灭菌包装材料。</w:t>
            </w:r>
          </w:p>
          <w:p>
            <w:pPr>
              <w:keepNext w:val="0"/>
              <w:keepLines w:val="0"/>
              <w:widowControl/>
              <w:numPr>
                <w:ilvl w:val="0"/>
                <w:numId w:val="3"/>
              </w:numPr>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8. 灭菌过程指示标识不含重金属。</w:t>
            </w:r>
          </w:p>
          <w:p>
            <w:pPr>
              <w:keepNext w:val="0"/>
              <w:keepLines w:val="0"/>
              <w:widowControl/>
              <w:numPr>
                <w:ilvl w:val="0"/>
                <w:numId w:val="3"/>
              </w:numPr>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 侧面有禁止二次使用和包装袋破损禁止使用标识。</w:t>
            </w:r>
          </w:p>
          <w:p>
            <w:pPr>
              <w:keepNext w:val="0"/>
              <w:keepLines w:val="0"/>
              <w:widowControl/>
              <w:numPr>
                <w:ilvl w:val="0"/>
                <w:numId w:val="3"/>
              </w:numPr>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10. 侧面标识了纸塑包装袋规格尺寸。</w:t>
            </w:r>
          </w:p>
          <w:p>
            <w:pPr>
              <w:keepNext w:val="0"/>
              <w:keepLines w:val="0"/>
              <w:widowControl/>
              <w:numPr>
                <w:ilvl w:val="0"/>
                <w:numId w:val="3"/>
              </w:numPr>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11. 封口强度稳定，防止灭菌过程中发生爆裂。</w:t>
            </w:r>
          </w:p>
          <w:p>
            <w:pPr>
              <w:keepNext w:val="0"/>
              <w:keepLines w:val="0"/>
              <w:widowControl/>
              <w:numPr>
                <w:ilvl w:val="0"/>
                <w:numId w:val="3"/>
              </w:numPr>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12. 优秀的无撕屑开启，撕口均匀完整，无纸屑残留 。</w:t>
            </w:r>
          </w:p>
          <w:p>
            <w:pPr>
              <w:keepNext w:val="0"/>
              <w:keepLines w:val="0"/>
              <w:widowControl/>
              <w:numPr>
                <w:ilvl w:val="0"/>
                <w:numId w:val="0"/>
              </w:numPr>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13.规格：15cm/200m。</w:t>
            </w:r>
          </w:p>
        </w:tc>
        <w:tc>
          <w:tcPr>
            <w:tcW w:w="7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0" w:hRule="atLeast"/>
        </w:trPr>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纸塑型平卷料</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卷</w:t>
            </w:r>
          </w:p>
        </w:tc>
        <w:tc>
          <w:tcPr>
            <w:tcW w:w="29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 符合ISO11607，GB19633纸塑包装袋的标准要求产品。</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2. 符合更严格的德国DIN EN868-5标准要求。</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3. 具有国内第三方权威检测机构的卫生安全评价报告。</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4. 适合高温高压蒸汽灭菌、低温环氧乙烷灭菌和低温甲醛蒸汽灭菌。</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5. 医用透析纸 70g/m²，细菌阻隔性更好，强度更高，不容易撕裂。</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6. 复合薄膜PET/PP 膜（聚酯／聚丙烯），强度大，韧性好，耐温性稳定。</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7. 参照YY/T 0698-5\4.4和GB18282.1，指示区分灭菌和未灭菌包装材料。</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8. 灭菌过程指示标识不含重金属。</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 侧面有禁止二次使用和包装袋破损禁止使用标识。</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10. 侧面标识了纸塑包装袋规格尺寸。</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11. 封口强度稳定，防止灭菌过程中发生爆裂。</w:t>
            </w:r>
          </w:p>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12. 优秀的无撕屑开启，撕口均匀完整，无纸屑残留 。13.规格：20cm/200m。</w:t>
            </w:r>
          </w:p>
        </w:tc>
        <w:tc>
          <w:tcPr>
            <w:tcW w:w="7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3" w:hRule="atLeast"/>
        </w:trPr>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纸塑型平卷料</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卷</w:t>
            </w:r>
          </w:p>
        </w:tc>
        <w:tc>
          <w:tcPr>
            <w:tcW w:w="29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4"/>
              </w:numPr>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符合ISO11607，GB19633纸塑包装袋的标准要求产品。</w:t>
            </w:r>
          </w:p>
          <w:p>
            <w:pPr>
              <w:keepNext w:val="0"/>
              <w:keepLines w:val="0"/>
              <w:widowControl/>
              <w:numPr>
                <w:ilvl w:val="0"/>
                <w:numId w:val="4"/>
              </w:numPr>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2. 符合更严格的德国DIN EN868-5标准要求。</w:t>
            </w:r>
          </w:p>
          <w:p>
            <w:pPr>
              <w:keepNext w:val="0"/>
              <w:keepLines w:val="0"/>
              <w:widowControl/>
              <w:numPr>
                <w:ilvl w:val="0"/>
                <w:numId w:val="4"/>
              </w:numPr>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3. 具有国内第三方权威检测机构的卫生安全评价报告。</w:t>
            </w:r>
          </w:p>
          <w:p>
            <w:pPr>
              <w:keepNext w:val="0"/>
              <w:keepLines w:val="0"/>
              <w:widowControl/>
              <w:numPr>
                <w:ilvl w:val="0"/>
                <w:numId w:val="4"/>
              </w:numPr>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4. 适合高温高压蒸汽灭菌、低温环氧乙烷灭菌和低温甲醛蒸汽灭菌。</w:t>
            </w:r>
          </w:p>
          <w:p>
            <w:pPr>
              <w:keepNext w:val="0"/>
              <w:keepLines w:val="0"/>
              <w:widowControl/>
              <w:numPr>
                <w:ilvl w:val="0"/>
                <w:numId w:val="4"/>
              </w:numPr>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5. 医用透析纸 70g/m²，细菌阻隔性更好，强度更高，不容易撕裂。</w:t>
            </w:r>
          </w:p>
          <w:p>
            <w:pPr>
              <w:keepNext w:val="0"/>
              <w:keepLines w:val="0"/>
              <w:widowControl/>
              <w:numPr>
                <w:ilvl w:val="0"/>
                <w:numId w:val="4"/>
              </w:numPr>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6. 复合薄膜PET/PP 膜（聚酯／聚丙烯），强度大，韧性好，耐温性稳定。</w:t>
            </w:r>
          </w:p>
          <w:p>
            <w:pPr>
              <w:keepNext w:val="0"/>
              <w:keepLines w:val="0"/>
              <w:widowControl/>
              <w:numPr>
                <w:ilvl w:val="0"/>
                <w:numId w:val="4"/>
              </w:numPr>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7. 参照YY/T 0698-5\4.4和GB18282.1，指示区分灭菌和未灭菌包装材料。</w:t>
            </w:r>
          </w:p>
          <w:p>
            <w:pPr>
              <w:keepNext w:val="0"/>
              <w:keepLines w:val="0"/>
              <w:widowControl/>
              <w:numPr>
                <w:ilvl w:val="0"/>
                <w:numId w:val="4"/>
              </w:numPr>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8. 灭菌过程指示标识不含重金属。</w:t>
            </w:r>
          </w:p>
          <w:p>
            <w:pPr>
              <w:keepNext w:val="0"/>
              <w:keepLines w:val="0"/>
              <w:widowControl/>
              <w:numPr>
                <w:ilvl w:val="0"/>
                <w:numId w:val="4"/>
              </w:numPr>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 侧面有禁止二次使用和包装袋破损禁止使用标识。</w:t>
            </w:r>
          </w:p>
          <w:p>
            <w:pPr>
              <w:keepNext w:val="0"/>
              <w:keepLines w:val="0"/>
              <w:widowControl/>
              <w:numPr>
                <w:ilvl w:val="0"/>
                <w:numId w:val="4"/>
              </w:numPr>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10. 侧面标识了纸塑包装袋规格尺寸。</w:t>
            </w:r>
          </w:p>
          <w:p>
            <w:pPr>
              <w:keepNext w:val="0"/>
              <w:keepLines w:val="0"/>
              <w:widowControl/>
              <w:numPr>
                <w:ilvl w:val="0"/>
                <w:numId w:val="4"/>
              </w:numPr>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11. 封口强度稳定，防止灭菌过程中发生爆裂。</w:t>
            </w:r>
          </w:p>
          <w:p>
            <w:pPr>
              <w:keepNext w:val="0"/>
              <w:keepLines w:val="0"/>
              <w:widowControl/>
              <w:numPr>
                <w:ilvl w:val="0"/>
                <w:numId w:val="4"/>
              </w:numPr>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12. 优秀的无撕屑开启，撕口均匀完整，无纸屑残留 。</w:t>
            </w:r>
          </w:p>
          <w:p>
            <w:pPr>
              <w:keepNext w:val="0"/>
              <w:keepLines w:val="0"/>
              <w:widowControl/>
              <w:numPr>
                <w:ilvl w:val="0"/>
                <w:numId w:val="0"/>
              </w:numPr>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13.规格：25cm/200m。</w:t>
            </w:r>
          </w:p>
        </w:tc>
        <w:tc>
          <w:tcPr>
            <w:tcW w:w="7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0" w:hRule="atLeast"/>
        </w:trPr>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纸塑型平卷料</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卷</w:t>
            </w:r>
          </w:p>
        </w:tc>
        <w:tc>
          <w:tcPr>
            <w:tcW w:w="29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 符合ISO11607，GB19633纸塑包装袋的标准要求产品。</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2. 符合更严格的德国DIN EN868-5标准要求。</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3. 具有国内第三方权威检测机构的卫生安全评价报告。</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4. 适合高温高压蒸汽灭菌、低温环氧乙烷灭菌和低温甲醛蒸汽灭菌。</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5. 医用透析纸 70g/m²，细菌阻隔性更好，强度更高，不容易撕裂。</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6. 复合薄膜PET/PP 膜（聚酯／聚丙烯），强度大，韧性好，耐温性稳定。</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7. 参照YY/T 0698-5\4.4和GB18282.1，指示区分灭菌和未灭菌包装材料。</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8. 灭菌过程指示标识不含重金属。</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 侧面有禁止二次使用和包装袋破损禁止使用标识。</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10. 侧面标识了纸塑包装袋规格尺寸。</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11. 封口强度稳定，防止灭菌过程中发生爆裂。</w:t>
            </w:r>
          </w:p>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12. 优秀的无撕屑开启，撕口均匀完整，无纸屑残留 。13.规格：30cm/200m。</w:t>
            </w:r>
          </w:p>
        </w:tc>
        <w:tc>
          <w:tcPr>
            <w:tcW w:w="7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1170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0" w:hRule="atLeast"/>
        </w:trPr>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纸塑型平卷料</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卷</w:t>
            </w:r>
          </w:p>
        </w:tc>
        <w:tc>
          <w:tcPr>
            <w:tcW w:w="29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 符合ISO11607，GB19633纸塑包装袋的标准要求产品。</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2. 符合更严格的德国DIN EN868-5标准要求。</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3. 具有国内第三方权威检测机构的卫生安全评价报告。</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4. 适合高温高压蒸汽灭菌、低温环氧乙烷灭菌和低温甲醛蒸汽灭菌。</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5. 医用透析纸 70g/m²，细菌阻隔性更好，强度更高，不容易撕裂。</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6. 复合薄膜PET/PP 膜（聚酯／聚丙烯），强度大，韧性好，耐温性稳定。</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7. 参照YY/T 0698-5\4.4和GB18282.1，指示区分灭菌和未灭菌包装材料。</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8. 灭菌过程指示标识不含重金属。</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 侧面有禁止二次使用和包装袋破损禁止使用标识。</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10. 侧面标识了纸塑包装袋规格尺寸。</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11. 封口强度稳定，防止灭菌过程中发生爆裂。</w:t>
            </w:r>
          </w:p>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12. 优秀的无撕屑开启，撕口均匀完整，无纸屑残留 。13.规格：38cm/200m。</w:t>
            </w:r>
          </w:p>
        </w:tc>
        <w:tc>
          <w:tcPr>
            <w:tcW w:w="7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1610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30" w:hRule="atLeast"/>
        </w:trPr>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喷雾型器械</w:t>
            </w:r>
          </w:p>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润滑剂</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瓶</w:t>
            </w:r>
          </w:p>
        </w:tc>
        <w:tc>
          <w:tcPr>
            <w:tcW w:w="29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1、适用于各类手术器械关机、牙科手机轴承、各类推车脚轮的手工润滑。2、食品药品级润滑成分，水溶性配方，安全无毒害。 3、高效润滑，可针对器械关节上油，在器械表面形成保护膜，无斑点残留。  4、配备喷嘴式加注管，可对器械关节进行精准手工润滑。  5、包装规格：400ml/瓶。 6、透明无色，不含水，在包装区使用，不会引起器械生锈，推进剂为丙烷丁烷，不会造成润滑油的二次污染。                          </w:t>
            </w:r>
          </w:p>
        </w:tc>
        <w:tc>
          <w:tcPr>
            <w:tcW w:w="7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594.00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6" w:hRule="atLeast"/>
        </w:trPr>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封口性能测试条</w:t>
            </w:r>
          </w:p>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（高温）</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盒</w:t>
            </w:r>
          </w:p>
        </w:tc>
        <w:tc>
          <w:tcPr>
            <w:tcW w:w="29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1.根据WS 310.2-2016标准要求，适用于每日检测封口机的闭合完整性，以及封口机安装检测，封口性能抽测、封口机大修后的测试等。2.可检测封口机对适用于压力蒸汽、环氧乙烷灭菌包装材料的闭合性能，以及检测与包装材料封口温度、封口压力或封口速度参数的匹配性。3.测试条为医用级透析纸材料，闭合完整性检测要求参照GB 19633、ISO 11607标准以及德国DGSV、RKI验证指引。4.可检测封纹的宽度是否连续、封纹是否有漏孔、材料是否有分离、是否有狭缝或者开口等情况。5.可检测出封口温度或封口压力的偏离。6.测试条自带数字生产批号和条形码，便于进行消毒供应中心进行质量追溯记录和管理。7.可确保封口机在日常运行时维持良好工作状态，帮助检测密封性能不合格的不良情况，从而减少医院感染的发生。</w:t>
            </w:r>
          </w:p>
        </w:tc>
        <w:tc>
          <w:tcPr>
            <w:tcW w:w="7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1,512.00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0" w:hRule="atLeast"/>
        </w:trPr>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封口性能测试条</w:t>
            </w:r>
          </w:p>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（低温）</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盒</w:t>
            </w:r>
          </w:p>
        </w:tc>
        <w:tc>
          <w:tcPr>
            <w:tcW w:w="29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1.根据WS 310.2-2016标准要求，适用于每日检测封口机的闭合完整性，以及封口机安装检测，封口性能抽测、更换零配件后的测试等。2.可检测封口机对适用于过氧化氢低温等离子体灭菌包装材料的闭合性能，以及检测与包装材料封口温度、封口压力或封口速度参数的匹配性。3.测试条为医用级Tyvek材料，闭合完整性检测要求参照GB 19633、ISO 11607标准以及德国DGSV、RKI验证指引。4.可检测封纹的宽度是否连续、封纹是否有漏孔、材料是否有分离、是否有狭缝或者开口等情况。5.能够检测出封口温度或封口压力的偏离。6.测试条自带数字生产批号和条形码，便于进行消毒供应中心进行质量追溯记录和管理。7.可确保封口机在日常运行时维持良好工作状态，帮助检测密封性能不合格的不良情况，从而减少医院感染的发生。</w:t>
            </w:r>
          </w:p>
        </w:tc>
        <w:tc>
          <w:tcPr>
            <w:tcW w:w="7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8,640.00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90" w:hRule="atLeast"/>
        </w:trPr>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吸头</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盒</w:t>
            </w:r>
          </w:p>
        </w:tc>
        <w:tc>
          <w:tcPr>
            <w:tcW w:w="29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盒装滤芯吸头，200µL，10盒/箱，96支/盒。</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 采用LTS轻触式去吸头技术：</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圆柱形吸头套柄，完美线状密封，准确性好；</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前挡点设计，保证密封一致性，防止装吸头过度用力。</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(2) BioClean Ultra吸头：</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RNase≤10-9 Kunitz units/µL, DNase≤10-7 Kunitz units/µL, Human DNA&lt;0.32pg,</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Bacterial DNA&lt;1pg, Endotoxin≤0.001EU/mL，ATP&lt;2×10-12mg/µL, Protein&lt;2ng/sample (no visible band), Protease≤500ng/mL, PCR Inhibitors: none detected.</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(3) 纯聚丙烯原材料：</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采用100%纯聚丙烯原材料，并获得CFR21认证，其中不含任何添加剂或染料。</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(4) 纯聚乙烯滤芯</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纯聚乙烯烧结滤芯，不含添加剂，滤芯坚固不会剥落或脱落颗粒物；</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滤芯平均孔径40μm，可防止气溶胶通过，但不限制气流。</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(5) 洁净生产工艺：</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吸头在100,000级洁净室内生产，全自动吸头生产分装系统，消除外部污染源，符合ISO9001生产流程。</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(6) 盒装吸头：</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吸头整体包装经过γ射线辐照，无微生物污染。</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不仅对吸头进行生物污染物检测，也会检测吸头盒和包装。</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(7) 可移动盖的吸头盒：</w:t>
            </w:r>
          </w:p>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吸头盒盖可移动，两种封盖方式，可进行高压灭菌。</w:t>
            </w:r>
          </w:p>
        </w:tc>
        <w:tc>
          <w:tcPr>
            <w:tcW w:w="7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90" w:hRule="atLeast"/>
        </w:trPr>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吸头</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盒</w:t>
            </w:r>
          </w:p>
        </w:tc>
        <w:tc>
          <w:tcPr>
            <w:tcW w:w="29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盒装滤芯吸头, 1000µL，8盒/箱，96支/盒。</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 采用LTS轻触式去吸头技术：</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圆柱形吸头套柄，完美线状密封，准确性好；</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前挡点设计，保证密封一致性，防止装吸头过度用力。</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(2) BioClean Ultra吸头：</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RNase≤10-9 Kunitz units/µL, DNase≤10-7 Kunitz units/µL, Human DNA&lt;0.32pg,</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Bacterial DNA&lt;1pg, Endotoxin≤0.001EU/mL，ATP&lt;2×10-12mg/µL, Protein&lt;2ng/sample (no visible band), Protease≤500ng/mL, PCR Inhibitors: none detected.</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(3) 纯聚丙烯原材料：</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采用100%纯聚丙烯原材料，并获得CFR21认证，其中不含任何添加剂或染料。</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(4) 纯聚乙烯滤芯</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纯聚乙烯烧结滤芯，不含添加剂，滤芯坚固不会剥落或脱落颗粒物；</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滤芯平均孔径40μm，可防止气溶胶通过，但不限制气流。</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(5) 洁净生产工艺：</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吸头在100,000级洁净室内生产，全自动吸头生产分装系统，消除外部污染源，符合ISO9001生产流程。</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(6) 盒装吸头：</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吸头整体包装经过γ射线辐照，无微生物污染。</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不仅对吸头进行生物污染物检测，也会检测吸头盒和包装。</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(7) 可移动盖的吸头盒：</w:t>
            </w:r>
          </w:p>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吸头盒盖可移动，两种封盖方式，可进行高压灭菌。</w:t>
            </w:r>
          </w:p>
        </w:tc>
        <w:tc>
          <w:tcPr>
            <w:tcW w:w="7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0" w:hRule="atLeast"/>
        </w:trPr>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浓缩碱性清洁剂</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桶</w:t>
            </w:r>
          </w:p>
        </w:tc>
        <w:tc>
          <w:tcPr>
            <w:tcW w:w="29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5"/>
              </w:numPr>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产品特点：稀释比例可达1：5000，减少运输风险，降低使用成本。</w:t>
            </w:r>
          </w:p>
          <w:p>
            <w:pPr>
              <w:keepNext w:val="0"/>
              <w:keepLines w:val="0"/>
              <w:widowControl/>
              <w:numPr>
                <w:ilvl w:val="0"/>
                <w:numId w:val="5"/>
              </w:numPr>
              <w:suppressLineNumbers w:val="0"/>
              <w:ind w:left="0" w:leftChars="0" w:firstLine="0" w:firstLineChars="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产品用途：用于去除手术器械与医疗用品上的血渍与脂类等污渍。</w:t>
            </w:r>
          </w:p>
          <w:p>
            <w:pPr>
              <w:keepNext w:val="0"/>
              <w:keepLines w:val="0"/>
              <w:widowControl/>
              <w:numPr>
                <w:ilvl w:val="0"/>
                <w:numId w:val="5"/>
              </w:numPr>
              <w:suppressLineNumbers w:val="0"/>
              <w:ind w:left="0" w:leftChars="0" w:firstLine="0" w:firstLineChars="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可去除血渍, 脂肪, 粘液以及其他污渍。</w:t>
            </w:r>
          </w:p>
          <w:p>
            <w:pPr>
              <w:keepNext w:val="0"/>
              <w:keepLines w:val="0"/>
              <w:widowControl/>
              <w:numPr>
                <w:ilvl w:val="0"/>
                <w:numId w:val="5"/>
              </w:numPr>
              <w:suppressLineNumbers w:val="0"/>
              <w:ind w:left="0" w:leftChars="0" w:firstLine="0" w:firstLineChars="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产品认证：拥有达芬奇机器人的器械清洗能力认证，提供证书报告。</w:t>
            </w:r>
          </w:p>
          <w:p>
            <w:pPr>
              <w:keepNext w:val="0"/>
              <w:keepLines w:val="0"/>
              <w:widowControl/>
              <w:numPr>
                <w:ilvl w:val="0"/>
                <w:numId w:val="5"/>
              </w:numPr>
              <w:suppressLineNumbers w:val="0"/>
              <w:ind w:left="0" w:leftChars="0" w:firstLine="0" w:firstLineChars="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使用范围:机洗、手洗均可使用，手工清洗和机器清洗使用比例不同。</w:t>
            </w:r>
          </w:p>
          <w:p>
            <w:pPr>
              <w:keepNext w:val="0"/>
              <w:keepLines w:val="0"/>
              <w:widowControl/>
              <w:numPr>
                <w:ilvl w:val="0"/>
                <w:numId w:val="5"/>
              </w:numPr>
              <w:suppressLineNumbers w:val="0"/>
              <w:ind w:left="0" w:leftChars="0" w:firstLine="0" w:firstLineChars="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器械保护：不会对手术器械造成腐蚀，提供相关报告说明。</w:t>
            </w:r>
          </w:p>
          <w:p>
            <w:pPr>
              <w:keepNext w:val="0"/>
              <w:keepLines w:val="0"/>
              <w:widowControl/>
              <w:numPr>
                <w:ilvl w:val="0"/>
                <w:numId w:val="5"/>
              </w:numPr>
              <w:suppressLineNumbers w:val="0"/>
              <w:ind w:left="0" w:leftChars="0" w:firstLine="0" w:firstLineChars="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原产地:原装进口 ，提供进口报关单。                                  7、材质兼容性：需与各种手术器械的材质，如金属类、软金属及塑料类材料的兼容性等，需提供报告说明。</w:t>
            </w:r>
          </w:p>
          <w:p>
            <w:pPr>
              <w:keepNext w:val="0"/>
              <w:keepLines w:val="0"/>
              <w:widowControl/>
              <w:numPr>
                <w:ilvl w:val="0"/>
                <w:numId w:val="5"/>
              </w:numPr>
              <w:suppressLineNumbers w:val="0"/>
              <w:ind w:left="0" w:leftChars="0" w:firstLine="0" w:firstLineChars="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朊病毒灭活：可有效杀灭朊病毒，厂商提供报告。</w:t>
            </w:r>
          </w:p>
          <w:p>
            <w:pPr>
              <w:keepNext w:val="0"/>
              <w:keepLines w:val="0"/>
              <w:widowControl/>
              <w:numPr>
                <w:ilvl w:val="0"/>
                <w:numId w:val="5"/>
              </w:numPr>
              <w:suppressLineNumbers w:val="0"/>
              <w:ind w:left="0" w:leftChars="0" w:firstLine="0" w:firstLineChars="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生物降解：对环境和人员无害，厂商提供报告。</w:t>
            </w:r>
          </w:p>
          <w:p>
            <w:pPr>
              <w:keepNext w:val="0"/>
              <w:keepLines w:val="0"/>
              <w:widowControl/>
              <w:numPr>
                <w:ilvl w:val="0"/>
                <w:numId w:val="5"/>
              </w:numPr>
              <w:suppressLineNumbers w:val="0"/>
              <w:ind w:left="0" w:leftChars="0" w:firstLine="0" w:firstLineChars="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标准认证： 具有CE认证。</w:t>
            </w:r>
          </w:p>
          <w:p>
            <w:pPr>
              <w:keepNext w:val="0"/>
              <w:keepLines w:val="0"/>
              <w:widowControl/>
              <w:numPr>
                <w:ilvl w:val="0"/>
                <w:numId w:val="0"/>
              </w:numPr>
              <w:suppressLineNumbers w:val="0"/>
              <w:ind w:left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11、售后服务承诺：维修服务是设备的性能和运做质量保证的非常重要的途径。厂商提供有效服务计划。</w:t>
            </w:r>
          </w:p>
        </w:tc>
        <w:tc>
          <w:tcPr>
            <w:tcW w:w="7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13" w:hRule="atLeast"/>
        </w:trPr>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浓缩酶清洁剂</w:t>
            </w: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桶</w:t>
            </w:r>
          </w:p>
        </w:tc>
        <w:tc>
          <w:tcPr>
            <w:tcW w:w="29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6"/>
              </w:numPr>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产品特点：稀释比例高达1：5000，减少运输风险，降低使用成本。</w:t>
            </w:r>
          </w:p>
          <w:p>
            <w:pPr>
              <w:keepNext w:val="0"/>
              <w:keepLines w:val="0"/>
              <w:widowControl/>
              <w:numPr>
                <w:ilvl w:val="0"/>
                <w:numId w:val="6"/>
              </w:numPr>
              <w:suppressLineNumbers w:val="0"/>
              <w:ind w:left="0" w:leftChars="0" w:firstLine="0" w:firstLineChars="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产品用途： 用于去除手术器械与医疗用品上的蛋白质与脂类等污渍。</w:t>
            </w:r>
          </w:p>
          <w:p>
            <w:pPr>
              <w:keepNext w:val="0"/>
              <w:keepLines w:val="0"/>
              <w:widowControl/>
              <w:numPr>
                <w:ilvl w:val="0"/>
                <w:numId w:val="6"/>
              </w:numPr>
              <w:suppressLineNumbers w:val="0"/>
              <w:ind w:left="0" w:leftChars="0" w:firstLine="0" w:firstLineChars="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可以去除血、蛋白质、粘液和脂类等顽渍，可用于手术器械、软式内镜、硬式内镜、呼吸管道及其它医疗用品。</w:t>
            </w:r>
          </w:p>
          <w:p>
            <w:pPr>
              <w:keepNext w:val="0"/>
              <w:keepLines w:val="0"/>
              <w:widowControl/>
              <w:numPr>
                <w:ilvl w:val="0"/>
                <w:numId w:val="6"/>
              </w:numPr>
              <w:suppressLineNumbers w:val="0"/>
              <w:ind w:left="0" w:leftChars="0" w:firstLine="0" w:firstLineChars="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产品认证: 拥有达芬奇机器人的器械清洗能力认证，提供证书报告。</w:t>
            </w:r>
          </w:p>
          <w:p>
            <w:pPr>
              <w:keepNext w:val="0"/>
              <w:keepLines w:val="0"/>
              <w:widowControl/>
              <w:numPr>
                <w:ilvl w:val="0"/>
                <w:numId w:val="6"/>
              </w:numPr>
              <w:suppressLineNumbers w:val="0"/>
              <w:ind w:left="0" w:leftChars="0" w:firstLine="0" w:firstLineChars="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使用范围：机洗、手洗两用，手工清洗和机器清洗使用比例不同。</w:t>
            </w:r>
          </w:p>
          <w:p>
            <w:pPr>
              <w:keepNext w:val="0"/>
              <w:keepLines w:val="0"/>
              <w:widowControl/>
              <w:numPr>
                <w:ilvl w:val="0"/>
                <w:numId w:val="6"/>
              </w:numPr>
              <w:suppressLineNumbers w:val="0"/>
              <w:ind w:left="0" w:leftChars="0" w:firstLine="0" w:firstLineChars="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PH值:PH值为中性，与多种材质兼容，如铝、阳极氧化铝及塑料，提供相关数据说明。                               6、产品特性：低湿或无泡。</w:t>
            </w:r>
          </w:p>
          <w:p>
            <w:pPr>
              <w:keepNext w:val="0"/>
              <w:keepLines w:val="0"/>
              <w:widowControl/>
              <w:numPr>
                <w:ilvl w:val="0"/>
                <w:numId w:val="6"/>
              </w:numPr>
              <w:suppressLineNumbers w:val="0"/>
              <w:ind w:left="0" w:leftChars="0" w:firstLine="0" w:firstLineChars="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材质兼容性：需与各种手术器械的材质，如金属类、软金属、内镜材质及塑料类材料的兼容性等，需提供报告说明。</w:t>
            </w:r>
          </w:p>
          <w:p>
            <w:pPr>
              <w:keepNext w:val="0"/>
              <w:keepLines w:val="0"/>
              <w:widowControl/>
              <w:numPr>
                <w:ilvl w:val="0"/>
                <w:numId w:val="6"/>
              </w:numPr>
              <w:suppressLineNumbers w:val="0"/>
              <w:ind w:left="0" w:leftChars="0" w:firstLine="0" w:firstLineChars="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抑菌作用：厂商提供相关报告。          9、原产地：原装进口 ，提供进口报关单。                                  10、清洗效果对比：厂商提供报告。</w:t>
            </w:r>
          </w:p>
          <w:p>
            <w:pPr>
              <w:keepNext w:val="0"/>
              <w:keepLines w:val="0"/>
              <w:widowControl/>
              <w:numPr>
                <w:ilvl w:val="0"/>
                <w:numId w:val="5"/>
              </w:numPr>
              <w:suppressLineNumbers w:val="0"/>
              <w:ind w:left="0" w:leftChars="0" w:firstLine="0" w:firstLineChars="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生物降解：对环境和人员无害，厂商提供相关报告。</w:t>
            </w:r>
          </w:p>
          <w:p>
            <w:pPr>
              <w:keepNext w:val="0"/>
              <w:keepLines w:val="0"/>
              <w:widowControl/>
              <w:numPr>
                <w:ilvl w:val="0"/>
                <w:numId w:val="5"/>
              </w:numPr>
              <w:suppressLineNumbers w:val="0"/>
              <w:ind w:left="0" w:leftChars="0" w:firstLine="0" w:firstLineChars="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标准认证：具有CE认证。</w:t>
            </w:r>
          </w:p>
          <w:p>
            <w:pPr>
              <w:keepNext w:val="0"/>
              <w:keepLines w:val="0"/>
              <w:widowControl/>
              <w:numPr>
                <w:ilvl w:val="0"/>
                <w:numId w:val="0"/>
              </w:numPr>
              <w:suppressLineNumbers w:val="0"/>
              <w:ind w:left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 售后服务承：维修服务是设备的性能和运做质量保证的非常重要的途径。厂商提供有效服务计划。</w:t>
            </w:r>
          </w:p>
        </w:tc>
        <w:tc>
          <w:tcPr>
            <w:tcW w:w="7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9072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保护柱柱芯</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个</w:t>
            </w:r>
          </w:p>
        </w:tc>
        <w:tc>
          <w:tcPr>
            <w:tcW w:w="29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与Phenomenex的C18柱、Dikma的C18柱相匹配的保护柱柱芯</w:t>
            </w:r>
          </w:p>
        </w:tc>
        <w:tc>
          <w:tcPr>
            <w:tcW w:w="7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保护柱柱套</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个</w:t>
            </w:r>
          </w:p>
        </w:tc>
        <w:tc>
          <w:tcPr>
            <w:tcW w:w="29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与Phenomenex的C18柱、Dikma的C18柱相匹配的保护柱柱套</w:t>
            </w:r>
          </w:p>
        </w:tc>
        <w:tc>
          <w:tcPr>
            <w:tcW w:w="7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90" w:hRule="atLeast"/>
        </w:trPr>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胶带</w:t>
            </w: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卷</w:t>
            </w:r>
          </w:p>
        </w:tc>
        <w:tc>
          <w:tcPr>
            <w:tcW w:w="29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一、主要功能或目标1.固定、捆扎、密封通用胶带2.涂料遮蔽3.压敏胶带4.胶带厚度大于0.14mm，55m长；耐高温250℃(60分钟)。二、质量：1.强力粘和、耐高温高绝缘、易撕高温高压后不留残胶、易操作、耐油漆、耐透性，粘合度高，柔韧性佳，无溶剂制造；2.不卷边断裂伸长率9%，拉伸强度350牛/100mm。</w:t>
            </w:r>
          </w:p>
        </w:tc>
        <w:tc>
          <w:tcPr>
            <w:tcW w:w="7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黑色色带</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个</w:t>
            </w:r>
          </w:p>
        </w:tc>
        <w:tc>
          <w:tcPr>
            <w:tcW w:w="29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黑色色带，适配于进口封口机</w:t>
            </w:r>
          </w:p>
        </w:tc>
        <w:tc>
          <w:tcPr>
            <w:tcW w:w="7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381.24 </w:t>
            </w:r>
          </w:p>
        </w:tc>
      </w:tr>
    </w:tbl>
    <w:p>
      <w:pPr>
        <w:pStyle w:val="2"/>
        <w:ind w:left="0" w:leftChars="0" w:firstLine="480" w:firstLineChars="200"/>
        <w:rPr>
          <w:rFonts w:hint="default"/>
          <w:lang w:val="en-US" w:eastAsia="zh-CN"/>
        </w:rPr>
      </w:pPr>
      <w:r>
        <w:rPr>
          <w:rFonts w:hint="eastAsia" w:ascii="仿宋" w:hAnsi="仿宋" w:eastAsia="仿宋" w:cs="Times New Roman"/>
          <w:kern w:val="2"/>
          <w:sz w:val="24"/>
          <w:szCs w:val="24"/>
          <w:lang w:val="en-US" w:eastAsia="zh-CN" w:bidi="ar-SA"/>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textAlignment w:val="auto"/>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三、将本项目投标截止时间和开标时间更正为：2022年12月13日10:00（北京时间）。</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仿宋" w:hAnsi="仿宋" w:eastAsia="仿宋" w:cs="仿宋"/>
          <w:i w:val="0"/>
          <w:iCs w:val="0"/>
          <w:color w:val="000000"/>
          <w:kern w:val="0"/>
          <w:sz w:val="24"/>
          <w:szCs w:val="24"/>
          <w:u w:val="none"/>
          <w:lang w:val="en-US" w:eastAsia="zh-CN" w:bidi="ar"/>
        </w:rPr>
      </w:pP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四、将本项目</w:t>
      </w:r>
      <w:r>
        <w:rPr>
          <w:rFonts w:hint="eastAsia" w:ascii="仿宋" w:hAnsi="仿宋" w:eastAsia="仿宋" w:cs="仿宋"/>
          <w:b w:val="0"/>
          <w:color w:val="auto"/>
          <w:kern w:val="2"/>
          <w:sz w:val="24"/>
          <w:szCs w:val="24"/>
          <w:lang w:val="en-US"/>
        </w:rPr>
        <w:t>招标文件获取时间</w:t>
      </w:r>
      <w:r>
        <w:rPr>
          <w:rFonts w:hint="eastAsia" w:ascii="仿宋" w:hAnsi="仿宋" w:eastAsia="仿宋" w:cs="仿宋"/>
          <w:i w:val="0"/>
          <w:iCs w:val="0"/>
          <w:color w:val="000000"/>
          <w:kern w:val="0"/>
          <w:sz w:val="24"/>
          <w:szCs w:val="24"/>
          <w:u w:val="none"/>
          <w:lang w:val="en-US" w:eastAsia="zh-CN" w:bidi="ar"/>
        </w:rPr>
        <w:t>更正为</w:t>
      </w:r>
      <w:r>
        <w:rPr>
          <w:rFonts w:hint="eastAsia" w:ascii="仿宋" w:hAnsi="仿宋" w:eastAsia="仿宋" w:cs="仿宋"/>
          <w:b w:val="0"/>
          <w:color w:val="auto"/>
          <w:kern w:val="2"/>
          <w:sz w:val="24"/>
          <w:szCs w:val="24"/>
          <w:lang w:val="en-US"/>
        </w:rPr>
        <w:t>：自2022年</w:t>
      </w:r>
      <w:r>
        <w:rPr>
          <w:rFonts w:hint="eastAsia" w:ascii="仿宋" w:hAnsi="仿宋" w:eastAsia="仿宋" w:cs="仿宋"/>
          <w:b w:val="0"/>
          <w:color w:val="auto"/>
          <w:kern w:val="2"/>
          <w:sz w:val="24"/>
          <w:szCs w:val="24"/>
          <w:lang w:val="en-US" w:eastAsia="zh-CN"/>
        </w:rPr>
        <w:t>11</w:t>
      </w:r>
      <w:r>
        <w:rPr>
          <w:rFonts w:hint="eastAsia" w:ascii="仿宋" w:hAnsi="仿宋" w:eastAsia="仿宋" w:cs="仿宋"/>
          <w:b w:val="0"/>
          <w:color w:val="auto"/>
          <w:kern w:val="2"/>
          <w:sz w:val="24"/>
          <w:szCs w:val="24"/>
          <w:lang w:val="en-US"/>
        </w:rPr>
        <w:t>月</w:t>
      </w:r>
      <w:r>
        <w:rPr>
          <w:rFonts w:hint="eastAsia" w:ascii="仿宋" w:hAnsi="仿宋" w:eastAsia="仿宋" w:cs="仿宋"/>
          <w:b w:val="0"/>
          <w:color w:val="auto"/>
          <w:kern w:val="2"/>
          <w:sz w:val="24"/>
          <w:szCs w:val="24"/>
          <w:lang w:val="en-US" w:eastAsia="zh-CN"/>
        </w:rPr>
        <w:t>1</w:t>
      </w:r>
      <w:r>
        <w:rPr>
          <w:rFonts w:hint="eastAsia" w:ascii="仿宋" w:hAnsi="仿宋" w:eastAsia="仿宋" w:cs="仿宋"/>
          <w:b w:val="0"/>
          <w:color w:val="auto"/>
          <w:kern w:val="2"/>
          <w:sz w:val="24"/>
          <w:szCs w:val="24"/>
          <w:lang w:val="en-US"/>
        </w:rPr>
        <w:t>日至2022年</w:t>
      </w:r>
      <w:r>
        <w:rPr>
          <w:rFonts w:hint="eastAsia" w:ascii="仿宋" w:hAnsi="仿宋" w:eastAsia="仿宋" w:cs="仿宋"/>
          <w:b w:val="0"/>
          <w:color w:val="auto"/>
          <w:kern w:val="2"/>
          <w:sz w:val="24"/>
          <w:szCs w:val="24"/>
          <w:lang w:val="en-US" w:eastAsia="zh-CN"/>
        </w:rPr>
        <w:t>12</w:t>
      </w:r>
      <w:r>
        <w:rPr>
          <w:rFonts w:hint="eastAsia" w:ascii="仿宋" w:hAnsi="仿宋" w:eastAsia="仿宋" w:cs="仿宋"/>
          <w:b w:val="0"/>
          <w:color w:val="auto"/>
          <w:kern w:val="2"/>
          <w:sz w:val="24"/>
          <w:szCs w:val="24"/>
          <w:lang w:val="en-US"/>
        </w:rPr>
        <w:t>月</w:t>
      </w:r>
      <w:r>
        <w:rPr>
          <w:rFonts w:hint="eastAsia" w:ascii="仿宋" w:hAnsi="仿宋" w:eastAsia="仿宋" w:cs="仿宋"/>
          <w:b w:val="0"/>
          <w:color w:val="auto"/>
          <w:kern w:val="2"/>
          <w:sz w:val="24"/>
          <w:szCs w:val="24"/>
          <w:lang w:val="en-US" w:eastAsia="zh-CN"/>
        </w:rPr>
        <w:t>2</w:t>
      </w:r>
      <w:r>
        <w:rPr>
          <w:rFonts w:hint="eastAsia" w:ascii="仿宋" w:hAnsi="仿宋" w:eastAsia="仿宋" w:cs="仿宋"/>
          <w:b w:val="0"/>
          <w:color w:val="auto"/>
          <w:kern w:val="2"/>
          <w:sz w:val="24"/>
          <w:szCs w:val="24"/>
          <w:lang w:val="en-US"/>
        </w:rPr>
        <w:t>日23:59</w:t>
      </w:r>
      <w:r>
        <w:rPr>
          <w:rFonts w:hint="eastAsia" w:ascii="仿宋" w:hAnsi="仿宋" w:eastAsia="仿宋" w:cs="仿宋"/>
          <w:b w:val="0"/>
          <w:color w:val="auto"/>
          <w:kern w:val="2"/>
          <w:sz w:val="24"/>
          <w:szCs w:val="24"/>
          <w:lang w:val="en-US" w:eastAsia="zh-CN"/>
        </w:rPr>
        <w:t>。</w:t>
      </w:r>
      <w:bookmarkStart w:id="28" w:name="_GoBack"/>
      <w:bookmarkEnd w:id="28"/>
    </w:p>
    <w:p>
      <w:pPr>
        <w:pStyle w:val="2"/>
        <w:rPr>
          <w:rFonts w:hint="default" w:ascii="仿宋" w:hAnsi="仿宋" w:eastAsia="仿宋" w:cs="仿宋"/>
          <w:i w:val="0"/>
          <w:iCs w:val="0"/>
          <w:color w:val="000000"/>
          <w:kern w:val="0"/>
          <w:sz w:val="24"/>
          <w:szCs w:val="24"/>
          <w:u w:val="none"/>
          <w:lang w:val="en-US" w:eastAsia="zh-CN" w:bidi="ar"/>
        </w:rPr>
      </w:pPr>
    </w:p>
    <w:p>
      <w:pPr>
        <w:pageBreakBefore w:val="0"/>
        <w:widowControl w:val="0"/>
        <w:kinsoku/>
        <w:overflowPunct/>
        <w:autoSpaceDE/>
        <w:autoSpaceDN/>
        <w:bidi w:val="0"/>
        <w:spacing w:line="360" w:lineRule="auto"/>
        <w:ind w:firstLine="480" w:firstLineChars="200"/>
        <w:textAlignment w:val="auto"/>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更正日期：2022年11月25日</w:t>
      </w:r>
    </w:p>
    <w:p>
      <w:pPr>
        <w:pStyle w:val="4"/>
        <w:spacing w:line="360" w:lineRule="auto"/>
        <w:rPr>
          <w:rFonts w:ascii="黑体" w:hAnsi="黑体" w:cs="宋体"/>
          <w:b w:val="0"/>
          <w:sz w:val="24"/>
          <w:szCs w:val="24"/>
        </w:rPr>
      </w:pPr>
      <w:bookmarkStart w:id="10" w:name="_Toc35393816"/>
      <w:bookmarkStart w:id="11" w:name="_Toc35393647"/>
      <w:r>
        <w:rPr>
          <w:rFonts w:hint="eastAsia" w:ascii="黑体" w:hAnsi="黑体" w:cs="宋体"/>
          <w:b w:val="0"/>
          <w:sz w:val="24"/>
          <w:szCs w:val="24"/>
        </w:rPr>
        <w:t>三、其他补充事宜</w:t>
      </w:r>
      <w:bookmarkEnd w:id="10"/>
      <w:bookmarkEnd w:id="11"/>
    </w:p>
    <w:p>
      <w:pPr>
        <w:ind w:firstLine="480" w:firstLineChars="200"/>
        <w:rPr>
          <w:rFonts w:hint="eastAsia" w:ascii="仿宋" w:hAnsi="仿宋" w:eastAsia="仿宋" w:cs="仿宋"/>
          <w:sz w:val="24"/>
          <w:szCs w:val="24"/>
          <w:lang w:eastAsia="zh-CN"/>
        </w:rPr>
      </w:pPr>
      <w:r>
        <w:rPr>
          <w:rFonts w:hint="eastAsia" w:ascii="仿宋" w:hAnsi="仿宋" w:eastAsia="仿宋" w:cs="仿宋"/>
          <w:sz w:val="24"/>
          <w:szCs w:val="24"/>
          <w:lang w:eastAsia="zh-CN"/>
        </w:rPr>
        <w:t>无。</w:t>
      </w:r>
    </w:p>
    <w:p>
      <w:pPr>
        <w:pStyle w:val="4"/>
        <w:spacing w:line="360" w:lineRule="auto"/>
        <w:rPr>
          <w:rFonts w:ascii="黑体" w:hAnsi="黑体" w:cs="宋体"/>
          <w:b w:val="0"/>
          <w:sz w:val="24"/>
          <w:szCs w:val="24"/>
        </w:rPr>
      </w:pPr>
      <w:bookmarkStart w:id="12" w:name="_Toc28359029"/>
      <w:bookmarkStart w:id="13" w:name="_Toc28359106"/>
      <w:bookmarkStart w:id="14" w:name="_Toc35393817"/>
      <w:bookmarkStart w:id="15" w:name="_Toc35393648"/>
      <w:r>
        <w:rPr>
          <w:rFonts w:hint="eastAsia" w:ascii="黑体" w:hAnsi="黑体" w:cs="宋体"/>
          <w:b w:val="0"/>
          <w:sz w:val="24"/>
          <w:szCs w:val="24"/>
        </w:rPr>
        <w:t>四、凡对本次公告内容提出询问，请按以下方式联系。</w:t>
      </w:r>
      <w:bookmarkEnd w:id="12"/>
      <w:bookmarkEnd w:id="13"/>
      <w:bookmarkEnd w:id="14"/>
      <w:bookmarkEnd w:id="15"/>
    </w:p>
    <w:p>
      <w:pPr>
        <w:pStyle w:val="4"/>
        <w:pageBreakBefore w:val="0"/>
        <w:widowControl w:val="0"/>
        <w:kinsoku/>
        <w:wordWrap/>
        <w:overflowPunct/>
        <w:topLinePunct w:val="0"/>
        <w:autoSpaceDE/>
        <w:autoSpaceDN/>
        <w:bidi w:val="0"/>
        <w:adjustRightInd/>
        <w:snapToGrid/>
        <w:spacing w:line="360" w:lineRule="auto"/>
        <w:ind w:left="-67" w:leftChars="-32" w:firstLine="480" w:firstLineChars="200"/>
        <w:textAlignment w:val="auto"/>
        <w:rPr>
          <w:rFonts w:ascii="仿宋" w:hAnsi="仿宋" w:eastAsia="仿宋" w:cs="宋体"/>
          <w:b w:val="0"/>
          <w:sz w:val="24"/>
          <w:szCs w:val="24"/>
        </w:rPr>
      </w:pPr>
      <w:bookmarkStart w:id="16" w:name="_Toc28359107"/>
      <w:bookmarkStart w:id="17" w:name="_Toc35393818"/>
      <w:bookmarkStart w:id="18" w:name="_Toc35393649"/>
      <w:bookmarkStart w:id="19" w:name="_Toc28359030"/>
      <w:r>
        <w:rPr>
          <w:rFonts w:hint="eastAsia" w:ascii="仿宋" w:hAnsi="仿宋" w:eastAsia="仿宋" w:cs="宋体"/>
          <w:b w:val="0"/>
          <w:sz w:val="24"/>
          <w:szCs w:val="24"/>
        </w:rPr>
        <w:t>1.采购人信息</w:t>
      </w:r>
      <w:bookmarkEnd w:id="16"/>
      <w:bookmarkEnd w:id="17"/>
      <w:bookmarkEnd w:id="18"/>
      <w:bookmarkEnd w:id="19"/>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ascii="仿宋" w:hAnsi="仿宋" w:eastAsia="仿宋"/>
          <w:sz w:val="24"/>
          <w:szCs w:val="24"/>
        </w:rPr>
      </w:pPr>
      <w:r>
        <w:rPr>
          <w:rFonts w:hint="eastAsia" w:ascii="仿宋" w:hAnsi="仿宋" w:eastAsia="仿宋"/>
          <w:sz w:val="24"/>
          <w:szCs w:val="24"/>
        </w:rPr>
        <w:t>名    称：</w:t>
      </w:r>
      <w:r>
        <w:rPr>
          <w:rFonts w:hint="eastAsia" w:ascii="仿宋" w:hAnsi="仿宋" w:eastAsia="仿宋"/>
          <w:sz w:val="24"/>
          <w:szCs w:val="24"/>
          <w:lang w:val="en-US" w:eastAsia="zh-CN"/>
        </w:rPr>
        <w:t>四川省人民医院</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ascii="仿宋" w:hAnsi="仿宋" w:eastAsia="仿宋"/>
          <w:sz w:val="24"/>
          <w:szCs w:val="24"/>
        </w:rPr>
      </w:pPr>
      <w:r>
        <w:rPr>
          <w:rFonts w:hint="eastAsia" w:ascii="仿宋" w:hAnsi="仿宋" w:eastAsia="仿宋"/>
          <w:sz w:val="24"/>
          <w:szCs w:val="24"/>
        </w:rPr>
        <w:t>地    址：</w:t>
      </w:r>
      <w:r>
        <w:rPr>
          <w:rFonts w:hint="eastAsia" w:ascii="仿宋" w:hAnsi="仿宋" w:eastAsia="仿宋"/>
          <w:sz w:val="24"/>
          <w:szCs w:val="24"/>
          <w:lang w:val="en-US"/>
        </w:rPr>
        <w:t>成都市青羊区一环路西2段32号</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ascii="仿宋" w:hAnsi="仿宋" w:eastAsia="仿宋"/>
          <w:sz w:val="24"/>
          <w:szCs w:val="24"/>
          <w:u w:val="single"/>
        </w:rPr>
      </w:pPr>
      <w:r>
        <w:rPr>
          <w:rFonts w:hint="eastAsia" w:ascii="仿宋" w:hAnsi="仿宋" w:eastAsia="仿宋"/>
          <w:sz w:val="24"/>
          <w:szCs w:val="24"/>
        </w:rPr>
        <w:t>联系方式：</w:t>
      </w:r>
      <w:r>
        <w:rPr>
          <w:rFonts w:hint="eastAsia" w:ascii="仿宋" w:hAnsi="仿宋" w:eastAsia="仿宋"/>
          <w:sz w:val="24"/>
          <w:szCs w:val="24"/>
          <w:lang w:val="en-US"/>
        </w:rPr>
        <w:t>028-87393463</w:t>
      </w:r>
    </w:p>
    <w:p>
      <w:pPr>
        <w:pageBreakBefore w:val="0"/>
        <w:widowControl w:val="0"/>
        <w:kinsoku/>
        <w:wordWrap/>
        <w:overflowPunct/>
        <w:topLinePunct w:val="0"/>
        <w:autoSpaceDE/>
        <w:autoSpaceDN/>
        <w:bidi w:val="0"/>
        <w:adjustRightInd/>
        <w:snapToGrid/>
        <w:spacing w:line="360" w:lineRule="auto"/>
        <w:textAlignment w:val="auto"/>
        <w:rPr>
          <w:rFonts w:ascii="仿宋" w:hAnsi="仿宋" w:eastAsia="仿宋"/>
          <w:sz w:val="24"/>
          <w:szCs w:val="24"/>
          <w:u w:val="single"/>
        </w:rPr>
      </w:pPr>
    </w:p>
    <w:p>
      <w:pPr>
        <w:pStyle w:val="4"/>
        <w:pageBreakBefore w:val="0"/>
        <w:widowControl w:val="0"/>
        <w:kinsoku/>
        <w:wordWrap/>
        <w:overflowPunct/>
        <w:topLinePunct w:val="0"/>
        <w:autoSpaceDE/>
        <w:autoSpaceDN/>
        <w:bidi w:val="0"/>
        <w:adjustRightInd/>
        <w:snapToGrid/>
        <w:spacing w:line="360" w:lineRule="auto"/>
        <w:ind w:left="-67" w:leftChars="-32" w:firstLine="480" w:firstLineChars="200"/>
        <w:textAlignment w:val="auto"/>
        <w:rPr>
          <w:rFonts w:ascii="仿宋" w:hAnsi="仿宋" w:eastAsia="仿宋" w:cs="宋体"/>
          <w:b w:val="0"/>
          <w:sz w:val="24"/>
          <w:szCs w:val="24"/>
        </w:rPr>
      </w:pPr>
      <w:bookmarkStart w:id="20" w:name="_Toc35393650"/>
      <w:bookmarkStart w:id="21" w:name="_Toc28359031"/>
      <w:bookmarkStart w:id="22" w:name="_Toc28359108"/>
      <w:bookmarkStart w:id="23" w:name="_Toc35393819"/>
      <w:r>
        <w:rPr>
          <w:rFonts w:hint="eastAsia" w:ascii="仿宋" w:hAnsi="仿宋" w:eastAsia="仿宋" w:cs="宋体"/>
          <w:b w:val="0"/>
          <w:sz w:val="24"/>
          <w:szCs w:val="24"/>
        </w:rPr>
        <w:t>2</w:t>
      </w:r>
      <w:r>
        <w:rPr>
          <w:rFonts w:ascii="仿宋" w:hAnsi="仿宋" w:eastAsia="仿宋" w:cs="宋体"/>
          <w:b w:val="0"/>
          <w:sz w:val="24"/>
          <w:szCs w:val="24"/>
        </w:rPr>
        <w:t>.</w:t>
      </w:r>
      <w:r>
        <w:rPr>
          <w:rFonts w:hint="eastAsia" w:ascii="仿宋" w:hAnsi="仿宋" w:eastAsia="仿宋" w:cs="宋体"/>
          <w:b w:val="0"/>
          <w:sz w:val="24"/>
          <w:szCs w:val="24"/>
        </w:rPr>
        <w:t>采购代理机构信息</w:t>
      </w:r>
      <w:bookmarkEnd w:id="20"/>
      <w:bookmarkEnd w:id="21"/>
      <w:bookmarkEnd w:id="22"/>
      <w:bookmarkEnd w:id="23"/>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ascii="仿宋" w:hAnsi="仿宋" w:eastAsia="仿宋"/>
          <w:sz w:val="24"/>
          <w:szCs w:val="24"/>
        </w:rPr>
      </w:pPr>
      <w:r>
        <w:rPr>
          <w:rFonts w:hint="eastAsia" w:ascii="仿宋" w:hAnsi="仿宋" w:eastAsia="仿宋"/>
          <w:sz w:val="24"/>
          <w:szCs w:val="24"/>
        </w:rPr>
        <w:t>名    称：</w:t>
      </w:r>
      <w:r>
        <w:rPr>
          <w:rFonts w:hint="eastAsia" w:ascii="仿宋" w:hAnsi="仿宋" w:eastAsia="仿宋"/>
          <w:sz w:val="24"/>
          <w:szCs w:val="24"/>
          <w:lang w:val="en-US"/>
        </w:rPr>
        <w:t>四川中志招标代理有限公司</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ascii="仿宋" w:hAnsi="仿宋" w:eastAsia="仿宋"/>
          <w:sz w:val="24"/>
          <w:szCs w:val="24"/>
        </w:rPr>
      </w:pPr>
      <w:r>
        <w:rPr>
          <w:rFonts w:hint="eastAsia" w:ascii="仿宋" w:hAnsi="仿宋" w:eastAsia="仿宋"/>
          <w:sz w:val="24"/>
          <w:szCs w:val="24"/>
        </w:rPr>
        <w:t>地    址：</w:t>
      </w:r>
      <w:r>
        <w:rPr>
          <w:rFonts w:hint="eastAsia" w:ascii="仿宋" w:hAnsi="仿宋" w:eastAsia="仿宋"/>
          <w:sz w:val="24"/>
          <w:szCs w:val="24"/>
          <w:lang w:val="en-US"/>
        </w:rPr>
        <w:t>成都市高新区吉泰五路88号3栋7层1号（花样年·香年广场）</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ascii="仿宋" w:hAnsi="仿宋" w:eastAsia="仿宋"/>
          <w:sz w:val="24"/>
          <w:szCs w:val="24"/>
          <w:u w:val="single"/>
        </w:rPr>
      </w:pPr>
      <w:r>
        <w:rPr>
          <w:rFonts w:hint="eastAsia" w:ascii="仿宋" w:hAnsi="仿宋" w:eastAsia="仿宋"/>
          <w:sz w:val="24"/>
          <w:szCs w:val="24"/>
        </w:rPr>
        <w:t>联系方式：</w:t>
      </w:r>
      <w:bookmarkStart w:id="24" w:name="_Toc28359109"/>
      <w:bookmarkStart w:id="25" w:name="_Toc28359032"/>
      <w:r>
        <w:rPr>
          <w:rFonts w:hint="eastAsia" w:ascii="仿宋" w:hAnsi="仿宋" w:eastAsia="仿宋"/>
          <w:sz w:val="24"/>
          <w:szCs w:val="24"/>
          <w:lang w:val="en-US"/>
        </w:rPr>
        <w:t>028-87333799</w:t>
      </w:r>
    </w:p>
    <w:p>
      <w:pPr>
        <w:pStyle w:val="4"/>
        <w:pageBreakBefore w:val="0"/>
        <w:widowControl w:val="0"/>
        <w:kinsoku/>
        <w:wordWrap/>
        <w:overflowPunct/>
        <w:topLinePunct w:val="0"/>
        <w:autoSpaceDE/>
        <w:autoSpaceDN/>
        <w:bidi w:val="0"/>
        <w:adjustRightInd/>
        <w:snapToGrid/>
        <w:spacing w:line="360" w:lineRule="auto"/>
        <w:ind w:left="-67" w:leftChars="-32" w:firstLine="480" w:firstLineChars="200"/>
        <w:textAlignment w:val="auto"/>
        <w:rPr>
          <w:rFonts w:ascii="仿宋" w:hAnsi="仿宋" w:eastAsia="仿宋" w:cs="宋体"/>
          <w:b w:val="0"/>
          <w:sz w:val="24"/>
          <w:szCs w:val="24"/>
        </w:rPr>
      </w:pPr>
      <w:bookmarkStart w:id="26" w:name="_Toc35393651"/>
      <w:bookmarkStart w:id="27" w:name="_Toc35393820"/>
      <w:r>
        <w:rPr>
          <w:rFonts w:hint="eastAsia" w:ascii="仿宋" w:hAnsi="仿宋" w:eastAsia="仿宋" w:cs="宋体"/>
          <w:b w:val="0"/>
          <w:sz w:val="24"/>
          <w:szCs w:val="24"/>
        </w:rPr>
        <w:t>3.项目联系方式</w:t>
      </w:r>
      <w:bookmarkEnd w:id="24"/>
      <w:bookmarkEnd w:id="25"/>
      <w:bookmarkEnd w:id="26"/>
      <w:bookmarkEnd w:id="27"/>
    </w:p>
    <w:p>
      <w:pPr>
        <w:pStyle w:val="9"/>
        <w:pageBreakBefore w:val="0"/>
        <w:widowControl w:val="0"/>
        <w:kinsoku/>
        <w:wordWrap/>
        <w:overflowPunct/>
        <w:topLinePunct w:val="0"/>
        <w:autoSpaceDE/>
        <w:autoSpaceDN/>
        <w:bidi w:val="0"/>
        <w:adjustRightInd/>
        <w:snapToGrid/>
        <w:spacing w:line="360" w:lineRule="auto"/>
        <w:ind w:firstLine="480" w:firstLineChars="200"/>
        <w:textAlignment w:val="auto"/>
        <w:rPr>
          <w:rFonts w:ascii="仿宋" w:hAnsi="仿宋" w:eastAsia="仿宋"/>
          <w:sz w:val="24"/>
          <w:szCs w:val="24"/>
        </w:rPr>
      </w:pPr>
      <w:r>
        <w:rPr>
          <w:rFonts w:hint="eastAsia" w:ascii="仿宋" w:hAnsi="仿宋" w:eastAsia="仿宋"/>
          <w:sz w:val="24"/>
          <w:szCs w:val="24"/>
        </w:rPr>
        <w:t>项目联系人：</w:t>
      </w:r>
      <w:r>
        <w:rPr>
          <w:rFonts w:hint="eastAsia" w:ascii="仿宋" w:hAnsi="仿宋" w:eastAsia="仿宋"/>
          <w:sz w:val="24"/>
          <w:szCs w:val="24"/>
          <w:lang w:val="en-US" w:eastAsia="zh-CN"/>
        </w:rPr>
        <w:t>李先生</w:t>
      </w:r>
    </w:p>
    <w:p>
      <w:pPr>
        <w:pageBreakBefore w:val="0"/>
        <w:widowControl w:val="0"/>
        <w:kinsoku/>
        <w:wordWrap/>
        <w:overflowPunct/>
        <w:topLinePunct w:val="0"/>
        <w:autoSpaceDE/>
        <w:autoSpaceDN/>
        <w:bidi w:val="0"/>
        <w:adjustRightInd/>
        <w:snapToGrid/>
        <w:spacing w:line="360" w:lineRule="auto"/>
        <w:ind w:firstLine="480" w:firstLineChars="200"/>
        <w:textAlignment w:val="auto"/>
      </w:pPr>
      <w:r>
        <w:rPr>
          <w:rFonts w:hint="eastAsia" w:ascii="仿宋" w:hAnsi="仿宋" w:eastAsia="仿宋"/>
          <w:sz w:val="24"/>
          <w:szCs w:val="24"/>
        </w:rPr>
        <w:t>电　　 话：</w:t>
      </w:r>
      <w:r>
        <w:rPr>
          <w:rFonts w:ascii="仿宋" w:hAnsi="仿宋" w:eastAsia="仿宋"/>
          <w:b w:val="0"/>
          <w:color w:val="auto"/>
          <w:kern w:val="2"/>
          <w:sz w:val="24"/>
          <w:szCs w:val="24"/>
          <w:lang w:val="en-US"/>
        </w:rPr>
        <w:t>028-</w:t>
      </w:r>
      <w:r>
        <w:rPr>
          <w:rFonts w:hint="eastAsia" w:ascii="仿宋" w:hAnsi="仿宋" w:eastAsia="仿宋"/>
          <w:b w:val="0"/>
          <w:color w:val="auto"/>
          <w:kern w:val="2"/>
          <w:sz w:val="24"/>
          <w:szCs w:val="24"/>
          <w:lang w:val="en-US"/>
        </w:rPr>
        <w:t>87333799</w:t>
      </w:r>
      <w:r>
        <w:rPr>
          <w:rFonts w:ascii="仿宋" w:hAnsi="仿宋" w:eastAsia="仿宋"/>
          <w:b w:val="0"/>
          <w:color w:val="auto"/>
          <w:kern w:val="2"/>
          <w:sz w:val="24"/>
          <w:szCs w:val="24"/>
          <w:lang w:val="en-US"/>
        </w:rPr>
        <w:t>-</w:t>
      </w:r>
      <w:r>
        <w:rPr>
          <w:rFonts w:hint="eastAsia" w:ascii="仿宋" w:hAnsi="仿宋" w:eastAsia="仿宋"/>
          <w:b w:val="0"/>
          <w:color w:val="auto"/>
          <w:kern w:val="2"/>
          <w:sz w:val="24"/>
          <w:szCs w:val="24"/>
          <w:lang w:val="en-US"/>
        </w:rPr>
        <w:t>603</w:t>
      </w: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panose1 w:val="02010600040101010101"/>
    <w:charset w:val="86"/>
    <w:family w:val="auto"/>
    <w:pitch w:val="default"/>
    <w:sig w:usb0="00000287" w:usb1="080F0000" w:usb2="00000000" w:usb3="00000000" w:csb0="0004009F" w:csb1="DFD70000"/>
  </w:font>
  <w:font w:name="Cambria">
    <w:panose1 w:val="02040503050406030204"/>
    <w:charset w:val="00"/>
    <w:family w:val="roman"/>
    <w:pitch w:val="default"/>
    <w:sig w:usb0="E00002FF" w:usb1="400004FF" w:usb2="00000000" w:usb3="00000000" w:csb0="2000019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69663037"/>
    </w:sdtPr>
    <w:sdtContent>
      <w:p>
        <w:pPr>
          <w:pStyle w:val="12"/>
          <w:jc w:val="center"/>
        </w:pPr>
        <w:r>
          <w:fldChar w:fldCharType="begin"/>
        </w:r>
        <w:r>
          <w:instrText xml:space="preserve">PAGE   \* MERGEFORMAT</w:instrText>
        </w:r>
        <w:r>
          <w:fldChar w:fldCharType="separate"/>
        </w:r>
        <w:r>
          <w:rPr>
            <w:lang w:val="zh-CN"/>
          </w:rPr>
          <w:t>1</w:t>
        </w:r>
        <w:r>
          <w:fldChar w:fldCharType="end"/>
        </w:r>
      </w:p>
    </w:sdtContent>
  </w:sdt>
  <w:p>
    <w:pPr>
      <w:pStyle w:val="1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E9CF2B"/>
    <w:multiLevelType w:val="singleLevel"/>
    <w:tmpl w:val="83E9CF2B"/>
    <w:lvl w:ilvl="0" w:tentative="0">
      <w:start w:val="1"/>
      <w:numFmt w:val="decimal"/>
      <w:suff w:val="nothing"/>
      <w:lvlText w:val="%1、"/>
      <w:lvlJc w:val="left"/>
    </w:lvl>
  </w:abstractNum>
  <w:abstractNum w:abstractNumId="1">
    <w:nsid w:val="B49AB321"/>
    <w:multiLevelType w:val="singleLevel"/>
    <w:tmpl w:val="B49AB321"/>
    <w:lvl w:ilvl="0" w:tentative="0">
      <w:start w:val="1"/>
      <w:numFmt w:val="decimal"/>
      <w:suff w:val="space"/>
      <w:lvlText w:val="%1."/>
      <w:lvlJc w:val="left"/>
    </w:lvl>
  </w:abstractNum>
  <w:abstractNum w:abstractNumId="2">
    <w:nsid w:val="C5A138D4"/>
    <w:multiLevelType w:val="singleLevel"/>
    <w:tmpl w:val="C5A138D4"/>
    <w:lvl w:ilvl="0" w:tentative="0">
      <w:start w:val="1"/>
      <w:numFmt w:val="decimal"/>
      <w:suff w:val="nothing"/>
      <w:lvlText w:val="%1、"/>
      <w:lvlJc w:val="left"/>
    </w:lvl>
  </w:abstractNum>
  <w:abstractNum w:abstractNumId="3">
    <w:nsid w:val="F7415884"/>
    <w:multiLevelType w:val="singleLevel"/>
    <w:tmpl w:val="F7415884"/>
    <w:lvl w:ilvl="0" w:tentative="0">
      <w:start w:val="1"/>
      <w:numFmt w:val="decimal"/>
      <w:suff w:val="space"/>
      <w:lvlText w:val="%1."/>
      <w:lvlJc w:val="left"/>
    </w:lvl>
  </w:abstractNum>
  <w:abstractNum w:abstractNumId="4">
    <w:nsid w:val="0E78A2B3"/>
    <w:multiLevelType w:val="singleLevel"/>
    <w:tmpl w:val="0E78A2B3"/>
    <w:lvl w:ilvl="0" w:tentative="0">
      <w:start w:val="1"/>
      <w:numFmt w:val="decimal"/>
      <w:suff w:val="space"/>
      <w:lvlText w:val="%1."/>
      <w:lvlJc w:val="left"/>
    </w:lvl>
  </w:abstractNum>
  <w:abstractNum w:abstractNumId="5">
    <w:nsid w:val="1E36E2DA"/>
    <w:multiLevelType w:val="singleLevel"/>
    <w:tmpl w:val="1E36E2DA"/>
    <w:lvl w:ilvl="0" w:tentative="0">
      <w:start w:val="1"/>
      <w:numFmt w:val="chineseCounting"/>
      <w:suff w:val="nothing"/>
      <w:lvlText w:val="%1、"/>
      <w:lvlJc w:val="left"/>
      <w:rPr>
        <w:rFonts w:hint="eastAsia"/>
      </w:rPr>
    </w:lvl>
  </w:abstractNum>
  <w:num w:numId="1">
    <w:abstractNumId w:val="5"/>
  </w:num>
  <w:num w:numId="2">
    <w:abstractNumId w:val="4"/>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UwMDVmNzAyMDdiMmRmNWYzMmQxZWRkODFlNTRmZTcifQ=="/>
  </w:docVars>
  <w:rsids>
    <w:rsidRoot w:val="00244094"/>
    <w:rsid w:val="000312DE"/>
    <w:rsid w:val="0005737B"/>
    <w:rsid w:val="000726D8"/>
    <w:rsid w:val="000A551C"/>
    <w:rsid w:val="000A6769"/>
    <w:rsid w:val="000D3B95"/>
    <w:rsid w:val="000D5040"/>
    <w:rsid w:val="000D6508"/>
    <w:rsid w:val="000E16F0"/>
    <w:rsid w:val="00110BD8"/>
    <w:rsid w:val="001224B2"/>
    <w:rsid w:val="00151C8B"/>
    <w:rsid w:val="0016536B"/>
    <w:rsid w:val="00244094"/>
    <w:rsid w:val="00246690"/>
    <w:rsid w:val="002F4172"/>
    <w:rsid w:val="00322E12"/>
    <w:rsid w:val="00345542"/>
    <w:rsid w:val="003D04C7"/>
    <w:rsid w:val="00430D5D"/>
    <w:rsid w:val="00445621"/>
    <w:rsid w:val="004B0417"/>
    <w:rsid w:val="004F0CA3"/>
    <w:rsid w:val="004F449A"/>
    <w:rsid w:val="005902A4"/>
    <w:rsid w:val="005F02BB"/>
    <w:rsid w:val="006939FC"/>
    <w:rsid w:val="006F41B7"/>
    <w:rsid w:val="0079663A"/>
    <w:rsid w:val="007E2D83"/>
    <w:rsid w:val="007F518C"/>
    <w:rsid w:val="0080774A"/>
    <w:rsid w:val="00877C6E"/>
    <w:rsid w:val="008974EE"/>
    <w:rsid w:val="008A1192"/>
    <w:rsid w:val="008A2FE7"/>
    <w:rsid w:val="0090581E"/>
    <w:rsid w:val="00966F02"/>
    <w:rsid w:val="009A15C7"/>
    <w:rsid w:val="00A30F31"/>
    <w:rsid w:val="00A3374C"/>
    <w:rsid w:val="00A344BA"/>
    <w:rsid w:val="00A936C5"/>
    <w:rsid w:val="00C37A88"/>
    <w:rsid w:val="00C52F06"/>
    <w:rsid w:val="00C61BBE"/>
    <w:rsid w:val="00C95981"/>
    <w:rsid w:val="00D26832"/>
    <w:rsid w:val="00DA7067"/>
    <w:rsid w:val="00DC09FA"/>
    <w:rsid w:val="00E457B7"/>
    <w:rsid w:val="00E702D6"/>
    <w:rsid w:val="00E75E92"/>
    <w:rsid w:val="00ED7C2A"/>
    <w:rsid w:val="00EE3266"/>
    <w:rsid w:val="00F53A4B"/>
    <w:rsid w:val="0314369E"/>
    <w:rsid w:val="063302DF"/>
    <w:rsid w:val="06B50CF4"/>
    <w:rsid w:val="08D40524"/>
    <w:rsid w:val="09AE0BDB"/>
    <w:rsid w:val="09CD27F9"/>
    <w:rsid w:val="09DA21B6"/>
    <w:rsid w:val="0B246449"/>
    <w:rsid w:val="0C5742B7"/>
    <w:rsid w:val="0CD93263"/>
    <w:rsid w:val="0E2C5269"/>
    <w:rsid w:val="0E622029"/>
    <w:rsid w:val="0EF27E39"/>
    <w:rsid w:val="10DC4F31"/>
    <w:rsid w:val="118045F5"/>
    <w:rsid w:val="11B76AD2"/>
    <w:rsid w:val="11F14444"/>
    <w:rsid w:val="122B72AD"/>
    <w:rsid w:val="135F0966"/>
    <w:rsid w:val="158B1894"/>
    <w:rsid w:val="15B66837"/>
    <w:rsid w:val="198D52B0"/>
    <w:rsid w:val="199124D8"/>
    <w:rsid w:val="199E2AE2"/>
    <w:rsid w:val="19C332D1"/>
    <w:rsid w:val="1C6040D1"/>
    <w:rsid w:val="1C705EF6"/>
    <w:rsid w:val="1D3A7D4E"/>
    <w:rsid w:val="1E320A25"/>
    <w:rsid w:val="1F9F68F4"/>
    <w:rsid w:val="206E485D"/>
    <w:rsid w:val="216E415B"/>
    <w:rsid w:val="217C6D52"/>
    <w:rsid w:val="21CD2F3E"/>
    <w:rsid w:val="2524556B"/>
    <w:rsid w:val="2758774E"/>
    <w:rsid w:val="29E76B67"/>
    <w:rsid w:val="2B0F6C61"/>
    <w:rsid w:val="2C2C3B7D"/>
    <w:rsid w:val="2EEB3477"/>
    <w:rsid w:val="2F594063"/>
    <w:rsid w:val="2FD61B58"/>
    <w:rsid w:val="31291695"/>
    <w:rsid w:val="32677D75"/>
    <w:rsid w:val="337C47C4"/>
    <w:rsid w:val="340622E0"/>
    <w:rsid w:val="34A57D4B"/>
    <w:rsid w:val="38767A34"/>
    <w:rsid w:val="3881772A"/>
    <w:rsid w:val="3A2F07E2"/>
    <w:rsid w:val="3A451ED1"/>
    <w:rsid w:val="3C0E2A04"/>
    <w:rsid w:val="3EB02974"/>
    <w:rsid w:val="400C0C7E"/>
    <w:rsid w:val="417347DC"/>
    <w:rsid w:val="45505AB1"/>
    <w:rsid w:val="46922E6D"/>
    <w:rsid w:val="46F5246C"/>
    <w:rsid w:val="48B33CBE"/>
    <w:rsid w:val="48D44136"/>
    <w:rsid w:val="4BC63EF8"/>
    <w:rsid w:val="4C6D6041"/>
    <w:rsid w:val="4D2B15BC"/>
    <w:rsid w:val="4DBF4E58"/>
    <w:rsid w:val="4FBE01E7"/>
    <w:rsid w:val="4FFC5EBD"/>
    <w:rsid w:val="50F86981"/>
    <w:rsid w:val="51655CBF"/>
    <w:rsid w:val="519A3008"/>
    <w:rsid w:val="53097538"/>
    <w:rsid w:val="54813591"/>
    <w:rsid w:val="54A86D6F"/>
    <w:rsid w:val="54CF24E1"/>
    <w:rsid w:val="56625326"/>
    <w:rsid w:val="566A4E1E"/>
    <w:rsid w:val="585A65D3"/>
    <w:rsid w:val="5B370F48"/>
    <w:rsid w:val="5B547C51"/>
    <w:rsid w:val="5B694D7F"/>
    <w:rsid w:val="5CCC1A69"/>
    <w:rsid w:val="5D880287"/>
    <w:rsid w:val="5D8F4F70"/>
    <w:rsid w:val="5E580BCC"/>
    <w:rsid w:val="5FE7687B"/>
    <w:rsid w:val="6243220B"/>
    <w:rsid w:val="62B100A1"/>
    <w:rsid w:val="63061665"/>
    <w:rsid w:val="65DD64D2"/>
    <w:rsid w:val="67C65A33"/>
    <w:rsid w:val="67CD63BE"/>
    <w:rsid w:val="6894442F"/>
    <w:rsid w:val="68DA0BD6"/>
    <w:rsid w:val="69DD68C6"/>
    <w:rsid w:val="69FC0859"/>
    <w:rsid w:val="6A3D7B02"/>
    <w:rsid w:val="6AAB6428"/>
    <w:rsid w:val="6B260219"/>
    <w:rsid w:val="6CA02CA6"/>
    <w:rsid w:val="6EEB5D7F"/>
    <w:rsid w:val="6F3962B8"/>
    <w:rsid w:val="70490E1E"/>
    <w:rsid w:val="711F7F62"/>
    <w:rsid w:val="715E0A8A"/>
    <w:rsid w:val="7218332F"/>
    <w:rsid w:val="78E55F35"/>
    <w:rsid w:val="79CA4355"/>
    <w:rsid w:val="7B110A6B"/>
    <w:rsid w:val="7CF97A71"/>
    <w:rsid w:val="7D913F95"/>
    <w:rsid w:val="7F5E22E6"/>
    <w:rsid w:val="7F6C3CCC"/>
    <w:rsid w:val="7FA91A6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qFormat="1" w:unhideWhenUsed="0" w:uiPriority="0" w:semiHidden="0"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link w:val="29"/>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30"/>
    <w:qFormat/>
    <w:uiPriority w:val="0"/>
    <w:pPr>
      <w:keepNext/>
      <w:keepLines/>
      <w:spacing w:before="260" w:after="260" w:line="415" w:lineRule="auto"/>
      <w:outlineLvl w:val="1"/>
    </w:pPr>
    <w:rPr>
      <w:rFonts w:ascii="Arial" w:hAnsi="Arial" w:eastAsia="黑体" w:cs="Arial"/>
      <w:b/>
      <w:bCs/>
      <w:sz w:val="32"/>
      <w:szCs w:val="32"/>
    </w:rPr>
  </w:style>
  <w:style w:type="character" w:default="1" w:styleId="23">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2">
    <w:name w:val="table of authorities"/>
    <w:basedOn w:val="1"/>
    <w:next w:val="1"/>
    <w:qFormat/>
    <w:uiPriority w:val="0"/>
    <w:pPr>
      <w:ind w:left="420" w:leftChars="200"/>
    </w:pPr>
  </w:style>
  <w:style w:type="paragraph" w:styleId="5">
    <w:name w:val="annotation text"/>
    <w:basedOn w:val="1"/>
    <w:link w:val="31"/>
    <w:semiHidden/>
    <w:unhideWhenUsed/>
    <w:qFormat/>
    <w:uiPriority w:val="99"/>
    <w:pPr>
      <w:jc w:val="left"/>
    </w:pPr>
  </w:style>
  <w:style w:type="paragraph" w:styleId="6">
    <w:name w:val="Body Text"/>
    <w:basedOn w:val="1"/>
    <w:next w:val="1"/>
    <w:qFormat/>
    <w:uiPriority w:val="0"/>
    <w:pPr>
      <w:spacing w:after="120" w:afterLines="0"/>
    </w:pPr>
    <w:rPr>
      <w:rFonts w:ascii="Times New Roman" w:hAnsi="Times New Roman"/>
      <w:color w:val="auto"/>
      <w:kern w:val="2"/>
      <w:sz w:val="21"/>
      <w:szCs w:val="24"/>
    </w:rPr>
  </w:style>
  <w:style w:type="paragraph" w:styleId="7">
    <w:name w:val="Body Text Indent"/>
    <w:basedOn w:val="1"/>
    <w:qFormat/>
    <w:uiPriority w:val="0"/>
    <w:pPr>
      <w:ind w:firstLine="630"/>
    </w:pPr>
    <w:rPr>
      <w:rFonts w:ascii="Times New Roman" w:hAnsi="Times New Roman"/>
      <w:color w:val="auto"/>
      <w:sz w:val="20"/>
      <w:szCs w:val="24"/>
    </w:rPr>
  </w:style>
  <w:style w:type="paragraph" w:styleId="8">
    <w:name w:val="toc 3"/>
    <w:basedOn w:val="1"/>
    <w:next w:val="1"/>
    <w:unhideWhenUsed/>
    <w:qFormat/>
    <w:uiPriority w:val="39"/>
    <w:pPr>
      <w:widowControl/>
      <w:spacing w:after="100" w:line="259" w:lineRule="auto"/>
      <w:ind w:left="440"/>
      <w:jc w:val="left"/>
    </w:pPr>
    <w:rPr>
      <w:rFonts w:asciiTheme="minorHAnsi" w:hAnsiTheme="minorHAnsi" w:eastAsiaTheme="minorEastAsia"/>
      <w:kern w:val="0"/>
      <w:sz w:val="22"/>
      <w:szCs w:val="22"/>
    </w:rPr>
  </w:style>
  <w:style w:type="paragraph" w:styleId="9">
    <w:name w:val="Plain Text"/>
    <w:basedOn w:val="1"/>
    <w:link w:val="32"/>
    <w:qFormat/>
    <w:uiPriority w:val="0"/>
    <w:rPr>
      <w:rFonts w:ascii="宋体" w:hAnsi="Courier New" w:eastAsiaTheme="minorEastAsia" w:cstheme="minorBidi"/>
      <w:szCs w:val="22"/>
    </w:rPr>
  </w:style>
  <w:style w:type="paragraph" w:styleId="10">
    <w:name w:val="Date"/>
    <w:basedOn w:val="1"/>
    <w:next w:val="1"/>
    <w:link w:val="33"/>
    <w:qFormat/>
    <w:uiPriority w:val="0"/>
    <w:pPr>
      <w:adjustRightInd w:val="0"/>
      <w:spacing w:line="360" w:lineRule="atLeast"/>
      <w:textAlignment w:val="baseline"/>
    </w:pPr>
    <w:rPr>
      <w:rFonts w:ascii="宋体" w:cs="宋体"/>
      <w:kern w:val="0"/>
      <w:sz w:val="24"/>
      <w:szCs w:val="24"/>
    </w:rPr>
  </w:style>
  <w:style w:type="paragraph" w:styleId="11">
    <w:name w:val="Balloon Text"/>
    <w:basedOn w:val="1"/>
    <w:link w:val="34"/>
    <w:semiHidden/>
    <w:unhideWhenUsed/>
    <w:qFormat/>
    <w:uiPriority w:val="99"/>
    <w:rPr>
      <w:sz w:val="18"/>
      <w:szCs w:val="18"/>
    </w:rPr>
  </w:style>
  <w:style w:type="paragraph" w:styleId="12">
    <w:name w:val="footer"/>
    <w:basedOn w:val="1"/>
    <w:link w:val="28"/>
    <w:unhideWhenUsed/>
    <w:qFormat/>
    <w:uiPriority w:val="99"/>
    <w:pPr>
      <w:tabs>
        <w:tab w:val="center" w:pos="4153"/>
        <w:tab w:val="right" w:pos="8306"/>
      </w:tabs>
      <w:snapToGrid w:val="0"/>
      <w:jc w:val="left"/>
    </w:pPr>
    <w:rPr>
      <w:sz w:val="18"/>
      <w:szCs w:val="18"/>
    </w:rPr>
  </w:style>
  <w:style w:type="paragraph" w:styleId="13">
    <w:name w:val="header"/>
    <w:basedOn w:val="1"/>
    <w:link w:val="27"/>
    <w:unhideWhenUsed/>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unhideWhenUsed/>
    <w:qFormat/>
    <w:uiPriority w:val="39"/>
    <w:pPr>
      <w:widowControl/>
      <w:spacing w:after="100" w:line="259" w:lineRule="auto"/>
      <w:jc w:val="left"/>
    </w:pPr>
    <w:rPr>
      <w:rFonts w:asciiTheme="minorHAnsi" w:hAnsiTheme="minorHAnsi" w:eastAsiaTheme="minorEastAsia"/>
      <w:kern w:val="0"/>
      <w:sz w:val="22"/>
      <w:szCs w:val="22"/>
    </w:rPr>
  </w:style>
  <w:style w:type="paragraph" w:styleId="15">
    <w:name w:val="toc 2"/>
    <w:basedOn w:val="1"/>
    <w:next w:val="1"/>
    <w:unhideWhenUsed/>
    <w:qFormat/>
    <w:uiPriority w:val="39"/>
    <w:pPr>
      <w:widowControl/>
      <w:spacing w:after="100" w:line="259" w:lineRule="auto"/>
      <w:ind w:left="220"/>
      <w:jc w:val="left"/>
    </w:pPr>
    <w:rPr>
      <w:rFonts w:asciiTheme="minorHAnsi" w:hAnsiTheme="minorHAnsi" w:eastAsiaTheme="minorEastAsia"/>
      <w:kern w:val="0"/>
      <w:sz w:val="22"/>
      <w:szCs w:val="22"/>
    </w:rPr>
  </w:style>
  <w:style w:type="paragraph" w:styleId="16">
    <w:name w:val="Body Text 2"/>
    <w:basedOn w:val="1"/>
    <w:link w:val="35"/>
    <w:qFormat/>
    <w:uiPriority w:val="0"/>
    <w:pPr>
      <w:spacing w:after="120" w:line="480" w:lineRule="auto"/>
    </w:pPr>
  </w:style>
  <w:style w:type="paragraph" w:styleId="17">
    <w:name w:val="Normal (Web)"/>
    <w:basedOn w:val="1"/>
    <w:semiHidden/>
    <w:unhideWhenUsed/>
    <w:qFormat/>
    <w:uiPriority w:val="99"/>
    <w:pPr>
      <w:widowControl/>
      <w:spacing w:before="100" w:beforeAutospacing="1" w:after="100" w:afterAutospacing="1"/>
      <w:jc w:val="left"/>
    </w:pPr>
    <w:rPr>
      <w:rFonts w:ascii="宋体" w:hAnsi="宋体" w:cs="宋体"/>
      <w:kern w:val="0"/>
      <w:sz w:val="24"/>
      <w:szCs w:val="24"/>
    </w:rPr>
  </w:style>
  <w:style w:type="paragraph" w:styleId="18">
    <w:name w:val="annotation subject"/>
    <w:basedOn w:val="5"/>
    <w:next w:val="5"/>
    <w:link w:val="36"/>
    <w:semiHidden/>
    <w:unhideWhenUsed/>
    <w:qFormat/>
    <w:uiPriority w:val="99"/>
    <w:rPr>
      <w:b/>
      <w:bCs/>
    </w:rPr>
  </w:style>
  <w:style w:type="paragraph" w:styleId="19">
    <w:name w:val="Body Text First Indent"/>
    <w:basedOn w:val="6"/>
    <w:qFormat/>
    <w:uiPriority w:val="0"/>
    <w:pPr>
      <w:ind w:firstLine="420" w:firstLineChars="100"/>
    </w:pPr>
    <w:rPr>
      <w:sz w:val="18"/>
      <w:szCs w:val="18"/>
    </w:rPr>
  </w:style>
  <w:style w:type="paragraph" w:styleId="20">
    <w:name w:val="Body Text First Indent 2"/>
    <w:basedOn w:val="7"/>
    <w:qFormat/>
    <w:uiPriority w:val="0"/>
    <w:pPr>
      <w:spacing w:after="120" w:afterLines="0"/>
      <w:ind w:left="420" w:leftChars="200" w:firstLine="420" w:firstLineChars="200"/>
    </w:pPr>
    <w:rPr>
      <w:rFonts w:ascii="Calibri" w:hAnsi="Calibri"/>
      <w:kern w:val="2"/>
      <w:sz w:val="21"/>
      <w:szCs w:val="22"/>
    </w:rPr>
  </w:style>
  <w:style w:type="table" w:styleId="22">
    <w:name w:val="Table Grid"/>
    <w:basedOn w:val="21"/>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4">
    <w:name w:val="Hyperlink"/>
    <w:basedOn w:val="23"/>
    <w:unhideWhenUsed/>
    <w:qFormat/>
    <w:uiPriority w:val="99"/>
    <w:rPr>
      <w:color w:val="0000FF" w:themeColor="hyperlink"/>
      <w:u w:val="single"/>
      <w14:textFill>
        <w14:solidFill>
          <w14:schemeClr w14:val="hlink"/>
        </w14:solidFill>
      </w14:textFill>
    </w:rPr>
  </w:style>
  <w:style w:type="character" w:styleId="25">
    <w:name w:val="annotation reference"/>
    <w:basedOn w:val="23"/>
    <w:semiHidden/>
    <w:unhideWhenUsed/>
    <w:qFormat/>
    <w:uiPriority w:val="99"/>
    <w:rPr>
      <w:sz w:val="21"/>
      <w:szCs w:val="21"/>
    </w:rPr>
  </w:style>
  <w:style w:type="paragraph" w:styleId="26">
    <w:name w:val="No Spacing"/>
    <w:qFormat/>
    <w:uiPriority w:val="1"/>
    <w:pPr>
      <w:widowControl w:val="0"/>
      <w:spacing w:line="300" w:lineRule="auto"/>
    </w:pPr>
    <w:rPr>
      <w:rFonts w:ascii="Calibri" w:hAnsi="Calibri" w:eastAsia="华文仿宋" w:cs="Times New Roman"/>
      <w:kern w:val="2"/>
      <w:sz w:val="24"/>
      <w:szCs w:val="21"/>
      <w:lang w:val="en-US" w:eastAsia="zh-CN" w:bidi="ar-SA"/>
    </w:rPr>
  </w:style>
  <w:style w:type="character" w:customStyle="1" w:styleId="27">
    <w:name w:val="页眉 Char"/>
    <w:basedOn w:val="23"/>
    <w:link w:val="13"/>
    <w:qFormat/>
    <w:uiPriority w:val="99"/>
    <w:rPr>
      <w:sz w:val="18"/>
      <w:szCs w:val="18"/>
    </w:rPr>
  </w:style>
  <w:style w:type="character" w:customStyle="1" w:styleId="28">
    <w:name w:val="页脚 Char"/>
    <w:basedOn w:val="23"/>
    <w:link w:val="12"/>
    <w:qFormat/>
    <w:uiPriority w:val="99"/>
    <w:rPr>
      <w:sz w:val="18"/>
      <w:szCs w:val="18"/>
    </w:rPr>
  </w:style>
  <w:style w:type="character" w:customStyle="1" w:styleId="29">
    <w:name w:val="标题 1 Char"/>
    <w:basedOn w:val="23"/>
    <w:link w:val="3"/>
    <w:qFormat/>
    <w:uiPriority w:val="9"/>
    <w:rPr>
      <w:rFonts w:ascii="Times New Roman" w:hAnsi="Times New Roman" w:eastAsia="宋体" w:cs="Times New Roman"/>
      <w:b/>
      <w:bCs/>
      <w:kern w:val="44"/>
      <w:sz w:val="44"/>
      <w:szCs w:val="44"/>
    </w:rPr>
  </w:style>
  <w:style w:type="character" w:customStyle="1" w:styleId="30">
    <w:name w:val="标题 2 Char"/>
    <w:basedOn w:val="23"/>
    <w:link w:val="4"/>
    <w:qFormat/>
    <w:uiPriority w:val="0"/>
    <w:rPr>
      <w:rFonts w:ascii="Arial" w:hAnsi="Arial" w:eastAsia="黑体" w:cs="Arial"/>
      <w:b/>
      <w:bCs/>
      <w:sz w:val="32"/>
      <w:szCs w:val="32"/>
    </w:rPr>
  </w:style>
  <w:style w:type="character" w:customStyle="1" w:styleId="31">
    <w:name w:val="批注文字 Char"/>
    <w:basedOn w:val="23"/>
    <w:link w:val="5"/>
    <w:semiHidden/>
    <w:qFormat/>
    <w:uiPriority w:val="99"/>
    <w:rPr>
      <w:rFonts w:ascii="Times New Roman" w:hAnsi="Times New Roman" w:eastAsia="宋体" w:cs="Times New Roman"/>
      <w:szCs w:val="21"/>
    </w:rPr>
  </w:style>
  <w:style w:type="character" w:customStyle="1" w:styleId="32">
    <w:name w:val="纯文本 Char"/>
    <w:basedOn w:val="23"/>
    <w:link w:val="9"/>
    <w:qFormat/>
    <w:uiPriority w:val="0"/>
    <w:rPr>
      <w:rFonts w:ascii="宋体" w:hAnsi="Courier New"/>
    </w:rPr>
  </w:style>
  <w:style w:type="character" w:customStyle="1" w:styleId="33">
    <w:name w:val="日期 Char"/>
    <w:basedOn w:val="23"/>
    <w:link w:val="10"/>
    <w:qFormat/>
    <w:uiPriority w:val="0"/>
    <w:rPr>
      <w:rFonts w:ascii="宋体" w:hAnsi="Times New Roman" w:eastAsia="宋体" w:cs="宋体"/>
      <w:kern w:val="0"/>
      <w:sz w:val="24"/>
      <w:szCs w:val="24"/>
    </w:rPr>
  </w:style>
  <w:style w:type="character" w:customStyle="1" w:styleId="34">
    <w:name w:val="批注框文本 Char"/>
    <w:basedOn w:val="23"/>
    <w:link w:val="11"/>
    <w:semiHidden/>
    <w:qFormat/>
    <w:uiPriority w:val="99"/>
    <w:rPr>
      <w:rFonts w:ascii="Times New Roman" w:hAnsi="Times New Roman" w:eastAsia="宋体" w:cs="Times New Roman"/>
      <w:sz w:val="18"/>
      <w:szCs w:val="18"/>
    </w:rPr>
  </w:style>
  <w:style w:type="character" w:customStyle="1" w:styleId="35">
    <w:name w:val="正文文本 2 Char"/>
    <w:basedOn w:val="23"/>
    <w:link w:val="16"/>
    <w:qFormat/>
    <w:uiPriority w:val="0"/>
    <w:rPr>
      <w:rFonts w:ascii="Times New Roman" w:hAnsi="Times New Roman" w:eastAsia="宋体" w:cs="Times New Roman"/>
      <w:szCs w:val="21"/>
    </w:rPr>
  </w:style>
  <w:style w:type="character" w:customStyle="1" w:styleId="36">
    <w:name w:val="批注主题 Char"/>
    <w:basedOn w:val="31"/>
    <w:link w:val="18"/>
    <w:semiHidden/>
    <w:qFormat/>
    <w:uiPriority w:val="99"/>
    <w:rPr>
      <w:rFonts w:ascii="Times New Roman" w:hAnsi="Times New Roman" w:eastAsia="宋体" w:cs="Times New Roman"/>
      <w:b/>
      <w:bCs/>
      <w:szCs w:val="21"/>
    </w:rPr>
  </w:style>
  <w:style w:type="character" w:customStyle="1" w:styleId="37">
    <w:name w:val="纯文本 字符"/>
    <w:basedOn w:val="23"/>
    <w:semiHidden/>
    <w:qFormat/>
    <w:uiPriority w:val="99"/>
    <w:rPr>
      <w:rFonts w:hAnsi="Courier New" w:cs="Courier New" w:asciiTheme="minorEastAsia"/>
      <w:szCs w:val="21"/>
    </w:rPr>
  </w:style>
  <w:style w:type="paragraph" w:styleId="38">
    <w:name w:val="List Paragraph"/>
    <w:basedOn w:val="1"/>
    <w:qFormat/>
    <w:uiPriority w:val="34"/>
    <w:pPr>
      <w:ind w:firstLine="420" w:firstLineChars="200"/>
    </w:pPr>
  </w:style>
  <w:style w:type="paragraph" w:customStyle="1" w:styleId="39">
    <w:name w:val="修订1"/>
    <w:hidden/>
    <w:semiHidden/>
    <w:qFormat/>
    <w:uiPriority w:val="99"/>
    <w:rPr>
      <w:rFonts w:ascii="Times New Roman" w:hAnsi="Times New Roman" w:eastAsia="宋体" w:cs="Times New Roman"/>
      <w:kern w:val="2"/>
      <w:sz w:val="21"/>
      <w:szCs w:val="21"/>
      <w:lang w:val="en-US" w:eastAsia="zh-CN" w:bidi="ar-SA"/>
    </w:rPr>
  </w:style>
  <w:style w:type="paragraph" w:customStyle="1" w:styleId="40">
    <w:name w:val="TOC 标题1"/>
    <w:basedOn w:val="3"/>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376092" w:themeColor="accent1" w:themeShade="BF"/>
      <w:kern w:val="0"/>
      <w:sz w:val="32"/>
      <w:szCs w:val="32"/>
    </w:rPr>
  </w:style>
  <w:style w:type="paragraph" w:customStyle="1" w:styleId="41">
    <w:name w:val="TOC 标题2"/>
    <w:basedOn w:val="3"/>
    <w:next w:val="1"/>
    <w:semiHidden/>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42">
    <w:name w:val="qowt-font10-gbk"/>
    <w:basedOn w:val="23"/>
    <w:qFormat/>
    <w:uiPriority w:val="0"/>
  </w:style>
  <w:style w:type="paragraph" w:customStyle="1" w:styleId="43">
    <w:name w:val="01、普通正文"/>
    <w:basedOn w:val="1"/>
    <w:qFormat/>
    <w:uiPriority w:val="0"/>
    <w:pPr>
      <w:tabs>
        <w:tab w:val="left" w:pos="0"/>
      </w:tabs>
      <w:wordWrap w:val="0"/>
      <w:topLinePunct/>
      <w:ind w:firstLine="0" w:firstLineChars="0"/>
    </w:pPr>
    <w:rPr>
      <w:rFonts w:ascii="宋体" w:hAnsi="宋体" w:eastAsia="宋体"/>
      <w:snapToGrid w:val="0"/>
    </w:rPr>
  </w:style>
  <w:style w:type="paragraph" w:customStyle="1" w:styleId="44">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Hewlett-Packard Company</Company>
  <Pages>28</Pages>
  <Words>15113</Words>
  <Characters>19487</Characters>
  <Lines>4</Lines>
  <Paragraphs>1</Paragraphs>
  <TotalTime>19</TotalTime>
  <ScaleCrop>false</ScaleCrop>
  <LinksUpToDate>false</LinksUpToDate>
  <CharactersWithSpaces>20766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2020-05-12T08:32:00Z</dcterms:created>
  <dc:creator>赵璧</dc:creator>
  <cp:lastModifiedBy>中志-YF</cp:lastModifiedBy>
  <cp:lastPrinted>2022-11-25T09:06:56Z</cp:lastPrinted>
  <dcterms:modified xsi:type="dcterms:W3CDTF">2022-11-25T09:12:37Z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63B27880CEE04E09ADCAE2F0FB7F2603</vt:lpwstr>
  </property>
  <property fmtid="{D5CDD505-2E9C-101B-9397-08002B2CF9AE}" pid="4" name="commondata">
    <vt:lpwstr>eyJoZGlkIjoiYjE3ZTNmNDMzOWExZTY4NGU0YjVjMmE0YWNhNTM1NTUifQ==</vt:lpwstr>
  </property>
</Properties>
</file>