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b/>
          <w:sz w:val="36"/>
        </w:rPr>
        <w:t>采购项目技术、服务、商务及其他要求</w:t>
      </w:r>
    </w:p>
    <w:p>
      <w:pPr>
        <w:pStyle w:val="4"/>
        <w:ind w:firstLine="480"/>
      </w:pPr>
      <w: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</w:pPr>
      <w:r>
        <w:rPr>
          <w:b/>
          <w:sz w:val="28"/>
        </w:rPr>
        <w:t>3.1项目概况</w:t>
      </w:r>
    </w:p>
    <w:p>
      <w:pPr>
        <w:pStyle w:val="4"/>
      </w:pPr>
    </w:p>
    <w:p>
      <w:pPr>
        <w:pStyle w:val="4"/>
      </w:pPr>
      <w:r>
        <w:t>采购油菜缓控释肥免费发放给农户</w:t>
      </w:r>
    </w:p>
    <w:p>
      <w:pPr>
        <w:pStyle w:val="4"/>
      </w:pPr>
      <w:r>
        <w:rPr>
          <w:b/>
          <w:sz w:val="28"/>
        </w:rPr>
        <w:t>3.2采购内容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1,477,980.00</w:t>
      </w:r>
    </w:p>
    <w:p>
      <w:pPr>
        <w:pStyle w:val="4"/>
      </w:pPr>
      <w:r>
        <w:t>采购包最高限价（元）: 1,477,980.00</w:t>
      </w:r>
    </w:p>
    <w:p>
      <w:pPr>
        <w:pStyle w:val="4"/>
      </w:pPr>
      <w:r>
        <w:t>供应商报价不允许超过标的金额</w:t>
      </w:r>
    </w:p>
    <w:p>
      <w:pPr>
        <w:pStyle w:val="4"/>
      </w:pPr>
      <w:r>
        <w:t>（招单价的）供应商报价不允许超过标的单价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828"/>
        <w:gridCol w:w="1332"/>
        <w:gridCol w:w="795"/>
        <w:gridCol w:w="795"/>
        <w:gridCol w:w="795"/>
        <w:gridCol w:w="795"/>
        <w:gridCol w:w="796"/>
        <w:gridCol w:w="7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标的名称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标的金额 （元）</w:t>
            </w:r>
          </w:p>
        </w:tc>
        <w:tc>
          <w:tcPr>
            <w:tcW w:w="831" w:type="dxa"/>
          </w:tcPr>
          <w:p>
            <w:r>
              <w:t>计量单位</w:t>
            </w:r>
          </w:p>
        </w:tc>
        <w:tc>
          <w:tcPr>
            <w:tcW w:w="831" w:type="dxa"/>
          </w:tcPr>
          <w:p>
            <w:r>
              <w:t>所属行业</w:t>
            </w:r>
          </w:p>
        </w:tc>
        <w:tc>
          <w:tcPr>
            <w:tcW w:w="831" w:type="dxa"/>
          </w:tcPr>
          <w:p>
            <w:r>
              <w:t>是否核心产品</w:t>
            </w:r>
          </w:p>
        </w:tc>
        <w:tc>
          <w:tcPr>
            <w:tcW w:w="831" w:type="dxa"/>
          </w:tcPr>
          <w:p>
            <w:r>
              <w:t>是否允许进口产品</w:t>
            </w:r>
          </w:p>
        </w:tc>
        <w:tc>
          <w:tcPr>
            <w:tcW w:w="831" w:type="dxa"/>
          </w:tcPr>
          <w:p>
            <w:r>
              <w:t>是否属于节能产品</w:t>
            </w:r>
          </w:p>
        </w:tc>
        <w:tc>
          <w:tcPr>
            <w:tcW w:w="831" w:type="dxa"/>
          </w:tcPr>
          <w:p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>
            <w:r>
              <w:t>油菜缓控释肥</w:t>
            </w:r>
          </w:p>
        </w:tc>
        <w:tc>
          <w:tcPr>
            <w:tcW w:w="831" w:type="dxa"/>
          </w:tcPr>
          <w:p>
            <w:pPr>
              <w:jc w:val="right"/>
            </w:pPr>
            <w:r>
              <w:t>357.00</w:t>
            </w:r>
          </w:p>
        </w:tc>
        <w:tc>
          <w:tcPr>
            <w:tcW w:w="831" w:type="dxa"/>
          </w:tcPr>
          <w:p>
            <w:pPr>
              <w:jc w:val="right"/>
            </w:pPr>
            <w:r>
              <w:t>1,477,980.00</w:t>
            </w:r>
          </w:p>
        </w:tc>
        <w:tc>
          <w:tcPr>
            <w:tcW w:w="831" w:type="dxa"/>
          </w:tcPr>
          <w:p>
            <w:r>
              <w:t>项</w:t>
            </w:r>
          </w:p>
        </w:tc>
        <w:tc>
          <w:tcPr>
            <w:tcW w:w="831" w:type="dxa"/>
          </w:tcPr>
          <w:p>
            <w:r>
              <w:t>制造业</w:t>
            </w:r>
          </w:p>
        </w:tc>
        <w:tc>
          <w:tcPr>
            <w:tcW w:w="831" w:type="dxa"/>
          </w:tcPr>
          <w:p>
            <w:r>
              <w:t>是</w:t>
            </w:r>
          </w:p>
        </w:tc>
        <w:tc>
          <w:tcPr>
            <w:tcW w:w="831" w:type="dxa"/>
          </w:tcPr>
          <w:p>
            <w:r>
              <w:t>否</w:t>
            </w:r>
          </w:p>
        </w:tc>
        <w:tc>
          <w:tcPr>
            <w:tcW w:w="831" w:type="dxa"/>
          </w:tcPr>
          <w:p>
            <w:r>
              <w:t>否</w:t>
            </w:r>
          </w:p>
        </w:tc>
        <w:tc>
          <w:tcPr>
            <w:tcW w:w="831" w:type="dxa"/>
          </w:tcPr>
          <w:p>
            <w:r>
              <w:t>否</w:t>
            </w:r>
          </w:p>
        </w:tc>
      </w:tr>
    </w:tbl>
    <w:p>
      <w:pPr>
        <w:pStyle w:val="4"/>
      </w:pPr>
      <w:r>
        <w:rPr>
          <w:b/>
          <w:sz w:val="28"/>
        </w:rPr>
        <w:t>3.3技术参数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供应商报价不允许超过标的金额</w:t>
      </w:r>
    </w:p>
    <w:p>
      <w:pPr>
        <w:pStyle w:val="4"/>
      </w:pPr>
      <w:r>
        <w:t>（招单价的）供应商报价不允许超过标的单价</w:t>
      </w:r>
    </w:p>
    <w:p>
      <w:pPr>
        <w:pStyle w:val="4"/>
      </w:pPr>
    </w:p>
    <w:p>
      <w:pPr>
        <w:pStyle w:val="4"/>
      </w:pPr>
      <w:r>
        <w:t>标的名称：油菜缓控释肥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r>
              <w:t>参数性质</w:t>
            </w:r>
          </w:p>
        </w:tc>
        <w:tc>
          <w:tcPr>
            <w:tcW w:w="2769" w:type="dxa"/>
          </w:tcPr>
          <w:p>
            <w:r>
              <w:t>序号</w:t>
            </w:r>
          </w:p>
        </w:tc>
        <w:tc>
          <w:tcPr>
            <w:tcW w:w="2769" w:type="dxa"/>
          </w:tcPr>
          <w:p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r>
              <w:t>★</w:t>
            </w:r>
          </w:p>
        </w:tc>
        <w:tc>
          <w:tcPr>
            <w:tcW w:w="2769" w:type="dxa"/>
          </w:tcPr>
          <w:p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</w:t>
            </w:r>
          </w:p>
          <w:p>
            <w:pPr>
              <w:pStyle w:val="4"/>
              <w:ind w:right="-30" w:firstLine="240"/>
            </w:pPr>
            <w:r>
              <w:t>油菜缓控释肥，数量：357.00吨</w:t>
            </w:r>
          </w:p>
          <w:p>
            <w:pPr>
              <w:pStyle w:val="4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r>
              <w:t>★</w:t>
            </w:r>
          </w:p>
        </w:tc>
        <w:tc>
          <w:tcPr>
            <w:tcW w:w="2769" w:type="dxa"/>
          </w:tcPr>
          <w:p>
            <w:r>
              <w:t>2</w:t>
            </w:r>
          </w:p>
        </w:tc>
        <w:tc>
          <w:tcPr>
            <w:tcW w:w="2769" w:type="dxa"/>
          </w:tcPr>
          <w:p>
            <w:pPr>
              <w:pStyle w:val="4"/>
              <w:ind w:right="-30" w:firstLine="240"/>
            </w:pPr>
            <w:r>
              <w:rPr>
                <w:rFonts w:ascii="宋体" w:hAnsi="宋体" w:eastAsia="宋体" w:cs="宋体"/>
                <w:sz w:val="24"/>
              </w:rPr>
              <w:t>（1）总养分含量（N:P:K=25：8： 7)≥40%(25-8-7)；硫酸钾型。</w:t>
            </w:r>
          </w:p>
          <w:p>
            <w:pPr>
              <w:pStyle w:val="4"/>
              <w:ind w:right="-30" w:firstLine="240"/>
            </w:pPr>
            <w:r>
              <w:rPr>
                <w:rFonts w:ascii="宋体" w:hAnsi="宋体" w:eastAsia="宋体" w:cs="宋体"/>
                <w:sz w:val="24"/>
              </w:rPr>
              <w:t>（2）水溶性磷占有效磷百分率≥70%。</w:t>
            </w:r>
          </w:p>
          <w:p>
            <w:pPr>
              <w:pStyle w:val="4"/>
              <w:ind w:right="-30" w:firstLine="240"/>
            </w:pPr>
            <w:r>
              <w:rPr>
                <w:rFonts w:ascii="宋体" w:hAnsi="宋体" w:eastAsia="宋体" w:cs="宋体"/>
                <w:sz w:val="24"/>
              </w:rPr>
              <w:t>（3）添加微量元素硼，且硼（B）的质量分数≥0.15%；</w:t>
            </w:r>
          </w:p>
          <w:p>
            <w:pPr>
              <w:pStyle w:val="4"/>
            </w:pPr>
            <w:r>
              <w:rPr>
                <w:rFonts w:ascii="宋体" w:hAnsi="宋体" w:eastAsia="宋体" w:cs="宋体"/>
                <w:sz w:val="24"/>
              </w:rPr>
              <w:t xml:space="preserve"> （4）产品为颗粒状；粒度（1.00mm～4.75mm）不小于90%。</w:t>
            </w:r>
          </w:p>
          <w:p>
            <w:pPr>
              <w:pStyle w:val="4"/>
            </w:pPr>
            <w:r>
              <w:rPr>
                <w:rFonts w:ascii="宋体" w:hAnsi="宋体" w:eastAsia="宋体" w:cs="宋体"/>
                <w:sz w:val="24"/>
              </w:rPr>
              <w:t xml:space="preserve"> （5）规格：40KG/袋。</w:t>
            </w:r>
          </w:p>
          <w:p>
            <w:pPr>
              <w:pStyle w:val="4"/>
            </w:pPr>
            <w:r>
              <w:rPr>
                <w:rFonts w:ascii="宋体" w:hAnsi="宋体" w:eastAsia="宋体" w:cs="宋体"/>
                <w:sz w:val="24"/>
              </w:rPr>
              <w:t xml:space="preserve"> （6）产品执行《GB/T 23348-2009缓释肥料》国家标准 ；其他指标必须符合《GB/T 23349-2009肥料中砷、镉、铅、铬、汞生态指标》国家标准的要求。</w:t>
            </w:r>
          </w:p>
        </w:tc>
      </w:tr>
    </w:tbl>
    <w:p>
      <w:pPr>
        <w:pStyle w:val="4"/>
      </w:pPr>
      <w:r>
        <w:rPr>
          <w:b/>
          <w:sz w:val="28"/>
        </w:rPr>
        <w:t>3.4商务要求</w:t>
      </w:r>
    </w:p>
    <w:p>
      <w:pPr>
        <w:pStyle w:val="4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自合同签订之日起30日</w:t>
      </w:r>
    </w:p>
    <w:p>
      <w:pPr>
        <w:pStyle w:val="4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塔水镇、秀水镇、黄土镇、花荄镇指定仓库</w:t>
      </w:r>
    </w:p>
    <w:p>
      <w:pPr>
        <w:pStyle w:val="4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采购包1：付款条件说明：预付款10%，验收合格后一次性付清，达到付款条件起30日，支付合同总金额的100.00%。</w:t>
      </w:r>
    </w:p>
    <w:p>
      <w:pPr>
        <w:pStyle w:val="4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缓控释肥质量抽样验收：在交货现场，由甲、乙双方代表按质量抽样检测规范，抽取备检样品3份，当场密封同时加盖双方单位公章，送交有资质检测机构进行质量检测1份，甲、乙双方各保存1份，作为甲、乙双方对产品质量的争议送检样品。产品现场抽样和送检所发生的费用由乙方承担。</w:t>
      </w:r>
    </w:p>
    <w:p>
      <w:pPr>
        <w:pStyle w:val="4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乙方对产品质量所负责任期限：收货后物理性状3个月，其他质量指标6个月。因农户二次运输、保管、使用不当造成的产品质量问题不在此列。</w:t>
      </w:r>
    </w:p>
    <w:p>
      <w:pPr>
        <w:pStyle w:val="4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本合同经双方代表签字生效后，任何一方如提出增减合同数量、变动交货时间，应提前通知对方，征得对方同意，否则应承担由此造成的经济损失。乙方产品质量经检验或抽检未能达到国家标准的技术指标，乙方在规定的时间内无条件更换合格的货物，逾期不能更换合格的货物，甲方有权解除合同，乙方承担货款、运费等全部责任，并赔偿因质量不合格，给使用农户造成的损失。</w:t>
      </w:r>
    </w:p>
    <w:p>
      <w:pPr>
        <w:pStyle w:val="4"/>
        <w:jc w:val="left"/>
      </w:pPr>
      <w:r>
        <w:rPr>
          <w:b/>
          <w:sz w:val="24"/>
        </w:rPr>
        <w:t>3.5其他要求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无</w:t>
      </w:r>
    </w:p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NWQ5ZWUwYzRhODEwNmRlNWM1ZjUzOWRkZjkzNWEifQ=="/>
  </w:docVars>
  <w:rsids>
    <w:rsidRoot w:val="6CBA09CB"/>
    <w:rsid w:val="6CB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2022-11-28T01:49:00Z</dcterms:created>
  <dc:creator>80942</dc:creator>
  <cp:lastModifiedBy>80942</cp:lastModifiedBy>
  <dcterms:modified xsi:type="dcterms:W3CDTF">2022-11-28T01:50:12Z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A6D9EB401B66482695430B1994D5350A</vt:lpwstr>
  </property>
</Properties>
</file>