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640" w:firstLineChars="200"/>
        <w:jc w:val="center"/>
        <w:rPr>
          <w:rFonts w:hint="eastAsia" w:ascii="宋体" w:hAnsi="宋体" w:eastAsia="宋体" w:cs="宋体"/>
          <w:color w:val="auto"/>
          <w:szCs w:val="32"/>
          <w:highlight w:val="none"/>
          <w:lang w:val="en-US" w:eastAsia="zh-CN"/>
        </w:rPr>
      </w:pPr>
      <w:r>
        <w:rPr>
          <w:rFonts w:hint="eastAsia" w:ascii="宋体" w:hAnsi="宋体" w:eastAsia="宋体" w:cs="宋体"/>
          <w:color w:val="auto"/>
          <w:szCs w:val="32"/>
          <w:highlight w:val="none"/>
          <w:lang w:val="en-US" w:eastAsia="zh-CN"/>
        </w:rPr>
        <w:t>采购需求</w:t>
      </w:r>
    </w:p>
    <w:p>
      <w:pPr>
        <w:spacing w:line="576" w:lineRule="exact"/>
        <w:ind w:firstLine="643" w:firstLineChars="200"/>
        <w:rPr>
          <w:rFonts w:hint="eastAsia" w:ascii="宋体" w:hAnsi="宋体" w:eastAsia="宋体" w:cs="宋体"/>
          <w:b/>
          <w:color w:val="auto"/>
          <w:szCs w:val="32"/>
          <w:highlight w:val="none"/>
        </w:rPr>
      </w:pPr>
      <w:r>
        <w:rPr>
          <w:rFonts w:hint="eastAsia" w:ascii="宋体" w:hAnsi="宋体" w:eastAsia="宋体" w:cs="宋体"/>
          <w:b/>
          <w:color w:val="auto"/>
          <w:szCs w:val="32"/>
          <w:highlight w:val="none"/>
          <w:lang w:val="en-US" w:eastAsia="zh-CN"/>
        </w:rPr>
        <w:t>1、</w:t>
      </w:r>
      <w:r>
        <w:rPr>
          <w:rFonts w:hint="eastAsia" w:ascii="宋体" w:hAnsi="宋体" w:eastAsia="宋体" w:cs="宋体"/>
          <w:b/>
          <w:color w:val="auto"/>
          <w:szCs w:val="32"/>
          <w:highlight w:val="none"/>
        </w:rPr>
        <w:t>项目概况</w:t>
      </w:r>
    </w:p>
    <w:p>
      <w:pPr>
        <w:spacing w:line="500" w:lineRule="exact"/>
        <w:ind w:firstLine="480" w:firstLineChars="200"/>
        <w:rPr>
          <w:rFonts w:hint="eastAsia" w:ascii="宋体" w:hAnsi="宋体" w:eastAsia="宋体" w:cs="宋体"/>
          <w:b w:val="0"/>
          <w:bCs w:val="0"/>
          <w:i w:val="0"/>
          <w:caps w:val="0"/>
          <w:color w:val="auto"/>
          <w:spacing w:val="0"/>
          <w:w w:val="100"/>
          <w:kern w:val="0"/>
          <w:sz w:val="24"/>
          <w:szCs w:val="24"/>
          <w:highlight w:val="none"/>
          <w:u w:val="single"/>
          <w:lang w:val="en-US" w:eastAsia="zh-CN" w:bidi="ar-SA"/>
        </w:rPr>
      </w:pPr>
      <w:r>
        <w:rPr>
          <w:rFonts w:hint="eastAsia" w:ascii="宋体" w:hAnsi="宋体" w:eastAsia="宋体" w:cs="宋体"/>
          <w:b w:val="0"/>
          <w:bCs w:val="0"/>
          <w:i w:val="0"/>
          <w:caps w:val="0"/>
          <w:color w:val="auto"/>
          <w:spacing w:val="0"/>
          <w:w w:val="100"/>
          <w:kern w:val="0"/>
          <w:sz w:val="24"/>
          <w:szCs w:val="24"/>
          <w:highlight w:val="none"/>
          <w:u w:val="single"/>
          <w:lang w:val="en-US" w:eastAsia="zh-CN" w:bidi="ar-SA"/>
        </w:rPr>
        <w:t>雅安市人民医院警务室建设（全院安装一键式报警系统）采购项目采购预算47万元。雅安市人民医院警务室建设，主要功能或目标：安检系统、主要是对进入医院人员进行安全筛查预防安全事故发生。一键式报警系统：能及时快速对科室发生情况做到响应。需满足的要求：满足医院需求。</w:t>
      </w:r>
    </w:p>
    <w:p>
      <w:pPr>
        <w:spacing w:line="576" w:lineRule="exact"/>
        <w:ind w:firstLine="643" w:firstLineChars="200"/>
        <w:rPr>
          <w:rFonts w:hint="eastAsia" w:ascii="宋体" w:hAnsi="宋体" w:eastAsia="宋体" w:cs="宋体"/>
          <w:b/>
          <w:color w:val="auto"/>
          <w:szCs w:val="32"/>
          <w:highlight w:val="none"/>
        </w:rPr>
      </w:pPr>
      <w:r>
        <w:rPr>
          <w:rFonts w:hint="eastAsia" w:ascii="宋体" w:hAnsi="宋体" w:eastAsia="宋体" w:cs="宋体"/>
          <w:b/>
          <w:color w:val="auto"/>
          <w:szCs w:val="32"/>
          <w:highlight w:val="none"/>
          <w:lang w:val="en-US" w:eastAsia="zh-CN"/>
        </w:rPr>
        <w:t>2、</w:t>
      </w:r>
      <w:r>
        <w:rPr>
          <w:rFonts w:hint="eastAsia" w:ascii="宋体" w:hAnsi="宋体" w:eastAsia="宋体" w:cs="宋体"/>
          <w:b/>
          <w:color w:val="auto"/>
          <w:szCs w:val="32"/>
          <w:highlight w:val="none"/>
        </w:rPr>
        <w:t>采购项目</w:t>
      </w:r>
      <w:r>
        <w:rPr>
          <w:rFonts w:hint="eastAsia" w:ascii="宋体" w:hAnsi="宋体" w:eastAsia="宋体" w:cs="宋体"/>
          <w:b/>
          <w:color w:val="auto"/>
          <w:szCs w:val="32"/>
          <w:highlight w:val="none"/>
        </w:rPr>
        <w:t>预</w:t>
      </w:r>
      <w:r>
        <w:rPr>
          <w:rFonts w:hint="eastAsia" w:ascii="宋体" w:hAnsi="宋体" w:eastAsia="宋体" w:cs="宋体"/>
          <w:b/>
          <w:color w:val="auto"/>
          <w:szCs w:val="32"/>
          <w:highlight w:val="none"/>
        </w:rPr>
        <w:t>（概）</w:t>
      </w:r>
      <w:r>
        <w:rPr>
          <w:rFonts w:hint="eastAsia" w:ascii="宋体" w:hAnsi="宋体" w:eastAsia="宋体" w:cs="宋体"/>
          <w:b/>
          <w:color w:val="auto"/>
          <w:szCs w:val="32"/>
          <w:highlight w:val="none"/>
        </w:rPr>
        <w:t>算</w:t>
      </w:r>
    </w:p>
    <w:p>
      <w:pPr>
        <w:spacing w:line="576" w:lineRule="exact"/>
        <w:ind w:firstLine="640" w:firstLineChars="200"/>
        <w:rPr>
          <w:rFonts w:hint="eastAsia" w:ascii="宋体" w:hAnsi="宋体" w:eastAsia="宋体" w:cs="宋体"/>
          <w:color w:val="auto"/>
          <w:szCs w:val="32"/>
          <w:highlight w:val="none"/>
        </w:rPr>
      </w:pPr>
      <w:r>
        <w:rPr>
          <w:rFonts w:hint="eastAsia" w:ascii="宋体" w:hAnsi="宋体" w:eastAsia="宋体" w:cs="宋体"/>
          <w:color w:val="auto"/>
          <w:spacing w:val="0"/>
          <w:kern w:val="0"/>
          <w:szCs w:val="32"/>
          <w:highlight w:val="none"/>
          <w:fitText w:val="1601" w:id="0"/>
        </w:rPr>
        <w:t>总</w:t>
      </w:r>
      <w:r>
        <w:rPr>
          <w:rFonts w:hint="eastAsia" w:ascii="宋体" w:hAnsi="宋体" w:eastAsia="宋体" w:cs="宋体"/>
          <w:color w:val="auto"/>
          <w:spacing w:val="0"/>
          <w:kern w:val="0"/>
          <w:szCs w:val="32"/>
          <w:highlight w:val="none"/>
          <w:fitText w:val="1601" w:id="0"/>
        </w:rPr>
        <w:t xml:space="preserve"> </w:t>
      </w:r>
      <w:r>
        <w:rPr>
          <w:rFonts w:hint="eastAsia" w:ascii="宋体" w:hAnsi="宋体" w:eastAsia="宋体" w:cs="宋体"/>
          <w:color w:val="auto"/>
          <w:spacing w:val="0"/>
          <w:kern w:val="0"/>
          <w:szCs w:val="32"/>
          <w:highlight w:val="none"/>
          <w:fitText w:val="1601" w:id="0"/>
        </w:rPr>
        <w:t>预</w:t>
      </w:r>
      <w:r>
        <w:rPr>
          <w:rFonts w:hint="eastAsia" w:ascii="宋体" w:hAnsi="宋体" w:eastAsia="宋体" w:cs="宋体"/>
          <w:color w:val="auto"/>
          <w:spacing w:val="0"/>
          <w:kern w:val="0"/>
          <w:szCs w:val="32"/>
          <w:highlight w:val="none"/>
          <w:fitText w:val="1601" w:id="0"/>
        </w:rPr>
        <w:t xml:space="preserve"> </w:t>
      </w:r>
      <w:r>
        <w:rPr>
          <w:rFonts w:hint="eastAsia" w:ascii="宋体" w:hAnsi="宋体" w:eastAsia="宋体" w:cs="宋体"/>
          <w:color w:val="auto"/>
          <w:spacing w:val="0"/>
          <w:kern w:val="0"/>
          <w:szCs w:val="32"/>
          <w:highlight w:val="none"/>
          <w:fitText w:val="1601" w:id="0"/>
        </w:rPr>
        <w:t>算</w:t>
      </w:r>
      <w:r>
        <w:rPr>
          <w:rFonts w:hint="eastAsia" w:ascii="宋体" w:hAnsi="宋体" w:eastAsia="宋体" w:cs="宋体"/>
          <w:color w:val="auto"/>
          <w:spacing w:val="0"/>
          <w:kern w:val="0"/>
          <w:szCs w:val="32"/>
          <w:highlight w:val="none"/>
          <w:fitText w:val="1601" w:id="0"/>
        </w:rPr>
        <w:t>：</w:t>
      </w:r>
      <w:r>
        <w:rPr>
          <w:rFonts w:hint="eastAsia" w:ascii="宋体" w:hAnsi="宋体" w:eastAsia="宋体" w:cs="宋体"/>
          <w:color w:val="auto"/>
          <w:szCs w:val="32"/>
          <w:highlight w:val="none"/>
          <w:u w:val="single"/>
          <w:lang w:val="en-US" w:eastAsia="zh-CN"/>
        </w:rPr>
        <w:t>47</w:t>
      </w:r>
      <w:r>
        <w:rPr>
          <w:rFonts w:hint="eastAsia" w:ascii="宋体" w:hAnsi="宋体" w:eastAsia="宋体" w:cs="宋体"/>
          <w:color w:val="auto"/>
          <w:sz w:val="28"/>
          <w:szCs w:val="28"/>
          <w:highlight w:val="none"/>
          <w:u w:val="single"/>
        </w:rPr>
        <w:t xml:space="preserve">万元   </w:t>
      </w:r>
      <w:r>
        <w:rPr>
          <w:rFonts w:hint="eastAsia" w:ascii="宋体" w:hAnsi="宋体" w:eastAsia="宋体" w:cs="宋体"/>
          <w:color w:val="auto"/>
          <w:szCs w:val="32"/>
          <w:highlight w:val="none"/>
          <w:u w:val="single"/>
        </w:rPr>
        <w:t xml:space="preserve">   </w:t>
      </w:r>
    </w:p>
    <w:p>
      <w:pPr>
        <w:spacing w:line="576" w:lineRule="exact"/>
        <w:ind w:firstLine="643" w:firstLineChars="200"/>
        <w:rPr>
          <w:rFonts w:hint="eastAsia" w:ascii="宋体" w:hAnsi="宋体" w:eastAsia="宋体" w:cs="宋体"/>
          <w:b/>
          <w:color w:val="auto"/>
          <w:szCs w:val="32"/>
          <w:highlight w:val="none"/>
        </w:rPr>
      </w:pPr>
      <w:r>
        <w:rPr>
          <w:rFonts w:hint="eastAsia" w:ascii="宋体" w:hAnsi="宋体" w:eastAsia="宋体" w:cs="宋体"/>
          <w:b/>
          <w:color w:val="auto"/>
          <w:szCs w:val="32"/>
          <w:highlight w:val="none"/>
          <w:lang w:val="en-US" w:eastAsia="zh-CN"/>
        </w:rPr>
        <w:t>3、</w:t>
      </w:r>
      <w:r>
        <w:rPr>
          <w:rFonts w:hint="eastAsia" w:ascii="宋体" w:hAnsi="宋体" w:eastAsia="宋体" w:cs="宋体"/>
          <w:b/>
          <w:color w:val="auto"/>
          <w:szCs w:val="32"/>
          <w:highlight w:val="none"/>
        </w:rPr>
        <w:t>采购标的汇总表</w:t>
      </w:r>
    </w:p>
    <w:tbl>
      <w:tblPr>
        <w:tblStyle w:val="4"/>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100"/>
        <w:gridCol w:w="1545"/>
        <w:gridCol w:w="685"/>
        <w:gridCol w:w="675"/>
        <w:gridCol w:w="1040"/>
        <w:gridCol w:w="67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noWrap w:val="0"/>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2100" w:type="dxa"/>
            <w:noWrap w:val="0"/>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标的名称</w:t>
            </w:r>
          </w:p>
        </w:tc>
        <w:tc>
          <w:tcPr>
            <w:tcW w:w="1545" w:type="dxa"/>
            <w:noWrap w:val="0"/>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品目分类编码</w:t>
            </w:r>
          </w:p>
        </w:tc>
        <w:tc>
          <w:tcPr>
            <w:tcW w:w="685" w:type="dxa"/>
            <w:noWrap w:val="0"/>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计量单位</w:t>
            </w:r>
          </w:p>
        </w:tc>
        <w:tc>
          <w:tcPr>
            <w:tcW w:w="675" w:type="dxa"/>
            <w:noWrap w:val="0"/>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数量</w:t>
            </w:r>
          </w:p>
        </w:tc>
        <w:tc>
          <w:tcPr>
            <w:tcW w:w="1040" w:type="dxa"/>
            <w:noWrap w:val="0"/>
            <w:vAlign w:val="center"/>
          </w:tcPr>
          <w:p>
            <w:pPr>
              <w:spacing w:line="40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控制价（万元）</w:t>
            </w:r>
          </w:p>
        </w:tc>
        <w:tc>
          <w:tcPr>
            <w:tcW w:w="675" w:type="dxa"/>
            <w:noWrap w:val="0"/>
            <w:vAlign w:val="center"/>
          </w:tcPr>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是否</w:t>
            </w:r>
          </w:p>
          <w:p>
            <w:pPr>
              <w:spacing w:line="40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进口</w:t>
            </w:r>
          </w:p>
        </w:tc>
        <w:tc>
          <w:tcPr>
            <w:tcW w:w="1080" w:type="dxa"/>
            <w:noWrap w:val="0"/>
            <w:vAlign w:val="center"/>
          </w:tcPr>
          <w:p>
            <w:pPr>
              <w:spacing w:line="40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100"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sz w:val="24"/>
                <w:szCs w:val="24"/>
                <w:highlight w:val="none"/>
                <w:lang w:val="en-US" w:eastAsia="zh-CN"/>
              </w:rPr>
              <w:t>智能安检机</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spacing w:line="360" w:lineRule="exact"/>
              <w:jc w:val="center"/>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套</w:t>
            </w:r>
          </w:p>
        </w:tc>
        <w:tc>
          <w:tcPr>
            <w:tcW w:w="67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19.00 </w:t>
            </w:r>
          </w:p>
        </w:tc>
        <w:tc>
          <w:tcPr>
            <w:tcW w:w="675" w:type="dxa"/>
            <w:noWrap w:val="0"/>
            <w:vAlign w:val="center"/>
          </w:tcPr>
          <w:p>
            <w:pPr>
              <w:spacing w:line="500" w:lineRule="exact"/>
              <w:jc w:val="center"/>
              <w:rPr>
                <w:rFonts w:hint="eastAsia" w:ascii="宋体" w:hAnsi="宋体" w:eastAsia="宋体" w:cs="宋体"/>
                <w:b/>
                <w:color w:val="auto"/>
                <w:sz w:val="24"/>
                <w:highlight w:val="none"/>
              </w:rPr>
            </w:pPr>
            <w:r>
              <w:rPr>
                <w:rFonts w:hint="eastAsia" w:ascii="宋体" w:hAnsi="宋体" w:eastAsia="宋体" w:cs="宋体"/>
                <w:color w:val="auto"/>
                <w:sz w:val="24"/>
                <w:highlight w:val="none"/>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w:t>
            </w:r>
          </w:p>
        </w:tc>
        <w:tc>
          <w:tcPr>
            <w:tcW w:w="2100"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智能安检门</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lang w:val="en-US" w:eastAsia="zh-CN"/>
              </w:rPr>
              <w:t>套</w:t>
            </w:r>
          </w:p>
        </w:tc>
        <w:tc>
          <w:tcPr>
            <w:tcW w:w="675" w:type="dxa"/>
            <w:noWrap w:val="0"/>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lang w:val="en-US" w:eastAsia="zh-CN"/>
              </w:rPr>
              <w:t>2</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18.00 </w:t>
            </w:r>
          </w:p>
        </w:tc>
        <w:tc>
          <w:tcPr>
            <w:tcW w:w="67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3</w:t>
            </w:r>
          </w:p>
        </w:tc>
        <w:tc>
          <w:tcPr>
            <w:tcW w:w="2100"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复检开包台</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67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1.20 </w:t>
            </w:r>
          </w:p>
        </w:tc>
        <w:tc>
          <w:tcPr>
            <w:tcW w:w="67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4</w:t>
            </w:r>
          </w:p>
        </w:tc>
        <w:tc>
          <w:tcPr>
            <w:tcW w:w="2100"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人员通道闸机（3通道）</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67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2.90 </w:t>
            </w:r>
          </w:p>
        </w:tc>
        <w:tc>
          <w:tcPr>
            <w:tcW w:w="67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w:t>
            </w:r>
          </w:p>
        </w:tc>
        <w:tc>
          <w:tcPr>
            <w:tcW w:w="2100" w:type="dxa"/>
            <w:noWrap w:val="0"/>
            <w:vAlign w:val="center"/>
          </w:tcPr>
          <w:p>
            <w:pPr>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人脸识别组件（带测温）</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67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1.10 </w:t>
            </w:r>
          </w:p>
        </w:tc>
        <w:tc>
          <w:tcPr>
            <w:tcW w:w="67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6</w:t>
            </w:r>
          </w:p>
        </w:tc>
        <w:tc>
          <w:tcPr>
            <w:tcW w:w="2100" w:type="dxa"/>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身份证阅读组件</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67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0.50 </w:t>
            </w:r>
          </w:p>
        </w:tc>
        <w:tc>
          <w:tcPr>
            <w:tcW w:w="67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7</w:t>
            </w:r>
          </w:p>
        </w:tc>
        <w:tc>
          <w:tcPr>
            <w:tcW w:w="2100" w:type="dxa"/>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二维码扫描组件</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67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0.30 </w:t>
            </w:r>
          </w:p>
        </w:tc>
        <w:tc>
          <w:tcPr>
            <w:tcW w:w="67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8</w:t>
            </w:r>
          </w:p>
        </w:tc>
        <w:tc>
          <w:tcPr>
            <w:tcW w:w="2100" w:type="dxa"/>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天府健康码云平台接入服务</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台/年</w:t>
            </w:r>
          </w:p>
        </w:tc>
        <w:tc>
          <w:tcPr>
            <w:tcW w:w="67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0.60 </w:t>
            </w:r>
          </w:p>
        </w:tc>
        <w:tc>
          <w:tcPr>
            <w:tcW w:w="67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9</w:t>
            </w:r>
          </w:p>
        </w:tc>
        <w:tc>
          <w:tcPr>
            <w:tcW w:w="2100" w:type="dxa"/>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人员通道闸机（单通道）</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67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 xml:space="preserve">1.60 </w:t>
            </w:r>
          </w:p>
        </w:tc>
        <w:tc>
          <w:tcPr>
            <w:tcW w:w="67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spacing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10</w:t>
            </w:r>
          </w:p>
        </w:tc>
        <w:tc>
          <w:tcPr>
            <w:tcW w:w="2100" w:type="dxa"/>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安装服务</w:t>
            </w:r>
          </w:p>
        </w:tc>
        <w:tc>
          <w:tcPr>
            <w:tcW w:w="1545" w:type="dxa"/>
            <w:noWrap w:val="0"/>
            <w:vAlign w:val="center"/>
          </w:tcPr>
          <w:p>
            <w:pPr>
              <w:spacing w:line="36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A02019901-信息系统集成（货物类）</w:t>
            </w:r>
          </w:p>
        </w:tc>
        <w:tc>
          <w:tcPr>
            <w:tcW w:w="68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w:t>
            </w:r>
          </w:p>
        </w:tc>
        <w:tc>
          <w:tcPr>
            <w:tcW w:w="675"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040" w:type="dxa"/>
            <w:noWrap w:val="0"/>
            <w:vAlign w:val="center"/>
          </w:tcPr>
          <w:p>
            <w:pPr>
              <w:keepNext w:val="0"/>
              <w:keepLines w:val="0"/>
              <w:widowControl/>
              <w:suppressLineNumbers w:val="0"/>
              <w:jc w:val="right"/>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1.80 </w:t>
            </w:r>
          </w:p>
        </w:tc>
        <w:tc>
          <w:tcPr>
            <w:tcW w:w="67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c>
          <w:tcPr>
            <w:tcW w:w="10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bl>
    <w:p>
      <w:pPr>
        <w:spacing w:line="576" w:lineRule="exact"/>
        <w:ind w:firstLine="643" w:firstLineChars="200"/>
        <w:rPr>
          <w:rFonts w:hint="eastAsia" w:ascii="宋体" w:hAnsi="宋体" w:eastAsia="宋体" w:cs="宋体"/>
          <w:b/>
          <w:color w:val="auto"/>
          <w:highlight w:val="none"/>
        </w:rPr>
      </w:pPr>
      <w:r>
        <w:rPr>
          <w:rFonts w:hint="eastAsia" w:ascii="宋体" w:hAnsi="宋体" w:eastAsia="宋体" w:cs="宋体"/>
          <w:b/>
          <w:color w:val="auto"/>
          <w:highlight w:val="none"/>
          <w:lang w:val="en-US" w:eastAsia="zh-CN"/>
        </w:rPr>
        <w:t>4、</w:t>
      </w:r>
      <w:r>
        <w:rPr>
          <w:rFonts w:hint="eastAsia" w:ascii="宋体" w:hAnsi="宋体" w:eastAsia="宋体" w:cs="宋体"/>
          <w:b/>
          <w:color w:val="auto"/>
          <w:highlight w:val="none"/>
        </w:rPr>
        <w:t>技术商务要求</w:t>
      </w:r>
    </w:p>
    <w:p>
      <w:pPr>
        <w:spacing w:line="576" w:lineRule="exact"/>
        <w:ind w:firstLine="643" w:firstLineChars="200"/>
        <w:rPr>
          <w:rFonts w:hint="eastAsia" w:ascii="宋体" w:hAnsi="宋体" w:eastAsia="宋体" w:cs="宋体"/>
          <w:b/>
          <w:color w:val="auto"/>
          <w:highlight w:val="none"/>
        </w:rPr>
      </w:pPr>
      <w:r>
        <w:rPr>
          <w:rFonts w:hint="eastAsia" w:ascii="宋体" w:hAnsi="宋体" w:eastAsia="宋体" w:cs="宋体"/>
          <w:b/>
          <w:color w:val="auto"/>
          <w:highlight w:val="none"/>
          <w:lang w:val="en-US" w:eastAsia="zh-CN"/>
        </w:rPr>
        <w:t>4、</w:t>
      </w:r>
      <w:r>
        <w:rPr>
          <w:rFonts w:hint="eastAsia" w:ascii="宋体" w:hAnsi="宋体" w:eastAsia="宋体" w:cs="宋体"/>
          <w:b/>
          <w:color w:val="auto"/>
          <w:highlight w:val="none"/>
        </w:rPr>
        <w:t>1技术要求</w:t>
      </w:r>
    </w:p>
    <w:p>
      <w:pPr>
        <w:adjustRightInd w:val="0"/>
        <w:spacing w:line="360" w:lineRule="auto"/>
        <w:rPr>
          <w:rFonts w:hint="eastAsia" w:ascii="宋体" w:hAnsi="宋体" w:eastAsia="宋体" w:cs="宋体"/>
          <w:b w:val="0"/>
          <w:bCs/>
          <w:color w:val="auto"/>
          <w:kern w:val="0"/>
          <w:sz w:val="28"/>
          <w:szCs w:val="28"/>
          <w:highlight w:val="none"/>
        </w:rPr>
      </w:pPr>
      <w:r>
        <w:rPr>
          <w:rFonts w:hint="eastAsia" w:ascii="宋体" w:hAnsi="宋体" w:eastAsia="宋体" w:cs="宋体"/>
          <w:b w:val="0"/>
          <w:bCs/>
          <w:color w:val="auto"/>
          <w:kern w:val="0"/>
          <w:sz w:val="28"/>
          <w:szCs w:val="28"/>
          <w:highlight w:val="none"/>
        </w:rPr>
        <w:t>采购清单及技术参数要求</w:t>
      </w:r>
    </w:p>
    <w:tbl>
      <w:tblPr>
        <w:tblStyle w:val="4"/>
        <w:tblW w:w="9151" w:type="dxa"/>
        <w:tblInd w:w="-2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4"/>
        <w:gridCol w:w="1620"/>
        <w:gridCol w:w="744"/>
        <w:gridCol w:w="636"/>
        <w:gridCol w:w="5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设备（服务）名称</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智能安检机</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设备内置智能识别算法，实现对违禁品的智能识别功能。当检测到以下违禁品时，应能自动识别并红色方框圈定、声音报警：仿真枪、刀具、剪刀、压力容器、雨伞、瓶装液体、手机、锂电池、笔记本电脑、鞭炮、手铐等；</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2、设备异常故障报警功能：设备应具有异常报警提醒功能，报警应能以图标形式在过包界面进行提示；</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3、图像存储功能：设备应具有图像实时存储功能，并能支持扩展，保存图像应包含图像生成时间、操作员ID、设备ID、疑似危险品名称等信息，并可将疑似危险品报警信息同X光机过包图像同步保存；</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4、缩放功能：设备应能通过鼠标滚轮对过包图像选中区域进行放大1~64倍，并可根据选中区域移动而移动；</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5、疑似危险品识别功能：应可对以下可疑物品进行识别并以红色方框框选，发出文字和语音提示：（提供第三方权威机构出具的检测报告复印件，加盖供应商鲜章）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5.1、塑料瓶装二甲苯（500mL塑料瓶）</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5.2、塑料瓶装酒精（550mL塑料瓶）</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5.3、塑料瓶装煤油（550mL塑料瓶）</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6、负载能力：设备的输送装置负载能力应大于等于270kg；（提供第三方权威机构出具的检测报告复印件，加盖供应商鲜章）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7、单次检查剂量：设备在0.3m/s速度下正常工作时，单次检查剂量应≤1.5μGy；（提供第三方权威机构出具的检测报告复印件，加盖供应商鲜章）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输送带正反向运转位移：设备在0.3m/s速度下正常工作时，输送带正向连续运转10min内，横向位移均应小于等于1mm；输送带反向连续运转30s内，横向位移均应小于等于1mm；（提供第三方权威机构出具的检测报告复印件，加盖供应商鲜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周围剂量当量率：设备在0.3m/s速度下正常工作时，在距设备的任何可达表面0.1m处（包括设备的入口、出口处）周围剂量当量率≤1μSv/h；工作人员位置的周围剂量当量率应≤0.5μSv/h；（提供第三方权威机构出具的检测报告复印件，加盖供应商鲜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10、通道尺寸：≥650mm×500mm（宽×高）</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11.外形尺寸：≤2130mm*990mm*1360mm（长×宽×高）</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12、传送带高度：≤700mm</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13、电源：220VAC(-15%~±10%)  50±3Hz</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14、设备应采用单源多能量X射线检查技术，能够准确识别有机物、无机物和混合物。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智能安检门</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1、探测区内磁感应强度：在探测区左右边界各方内150mm形成的区域中，任意一点的磁感应强度都不应超过20μT；</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2、计数功能：具有计数统计功能，能可靠地记录有效受检人数（双向通行）和发生过报警的人次；</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3、探测灵敏度范围：应能从低到高方便地调节，最大支持3000级调节，并至少覆盖一个检测等级，可一键切换灵敏度场景模式；</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4、探测均匀性：对产品技术规范声明能够满足的每一个检测等级，相应地都应由一组推荐的工作参数或快捷程序。推荐的设置参数对各检测等级进行测试，应满足GB 15210-2003中表1的探测要求，不出现漏报警或误报警；</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5、报警声音：a)应与非报警声有区别。b)应能调节音调，以便能明确区分两台相邻探测门的报警。c)应能从静音到最大声强分档调节，距离金属门0.8m处最大声强不应低于90dB；</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6、报警显示：a)应与非报警显示有区别，且颜色宜用红色。b)如有分区探测功能，分区定位应能一目了然，位置准确。c)在6000lx的明亮环境和25lx的昏暗环境下，距离报警显示器3m时，应能清晰地观看到；</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7、报警状态恢复功能：探测门应具有报警状态自动恢复能力。在自动恢复条件下，报警测试物离开探测区后报警指示延续不应超过1.2s；</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8、安检门探测可配置4种模式。可设置探测模式为“违禁品探测”，“电子产品和违禁品探测"，”电子产品探测“和”金属探测“四种（提供第三方权威机构出具的检测报告复印件，加盖供应商鲜章）；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9、显示屏规格：安检门应内置2个尺寸不小于28英寸的液晶显示屏；显示器自带安卓操作系统。（提供第三方权威机构出具的检测报告复印件，加盖供应商鲜章）；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安检门显示屏支持自定义信息发布，支持通过客户端自主编辑和下发图片、视频、滚动字幕、PDF文档、网页、实时监控画面和弹图素材，支持网络远程管理控制节目更新。（提供第三方权威机构出具的检测报告复印件，加盖供应商鲜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11、外形尺寸：≥(mm)2200(高)x870(宽)x660(深)；</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12、通道尺寸：≥(mm)1980(高)x710宽)x600(深)；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复检开包台</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1、信息关联实现人、证、包、安检图片进行一一绑定；</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2、支持人脸、刷卡、身份证、密码（超级密码）及组合认证方式；</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3、危险品处理支持自定义和现场添加；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4、设备应支持特殊物品图片和信息的数据存储，存储信息应包括检出时间、特殊物品个数、特殊物品类型等;存储容量应大于等于100万张。</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5、特殊物品数据查询统计功能：设备应能根据时间段、特殊物品类型等条件进行数据查询与统计。</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6、抓拍取证：设备应能对好包事件中的特殊物品进行现场抓拍取证并进行本地保存，并可将结果上传至平台。</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7、一键报警功能：设备应具有一键报警功能，并能将一键报警结果上传至平台。</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8、具备本地/远程两种工作模式：在本地模式下，设备应能显示 X 射线安全检查设备的图像信息。在远程模式下，设备应能接收平台下发的开检信息，并在显示屏显示开检提示。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人员通道闸机（3通道）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1、摆闸型闸机通道，包含左边机1台、中间机2台、右边机1台，外壳采用拉丝不锈钢，箱体尺寸：长≤1200mm、宽≤200mm、高≥1020mm，通道宽度至少支持550mm~1400mm配置；</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支持刷卡、人脸识别、二维码认证方式的扩展，TCP/IP接口≥1个，单独232接口≥1个，RS485/RS232可切换通讯接口≥1个，开门按钮接口≥1个，报警输入接口≥1个，报警输出接口≥1个，电锁输出接口≥1个，事件输入接口≥1个；</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3、钢质板材厚度≥1.2mm，≥6对红外对射，支持在晴天、雨天等环境下稳定运行，不产生误报；</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内置语音模块，可根据需求定制语音播报内容；内置无线接收器，搭配遥控器使用可实现遥控开门，支持关联遥控器，支持进出方向通行状态灵活配置，支持LED指示通行方向，显示通行状态，指示灯亮度支持自定义调节；</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5、支持联网运行，支持远程控制管理功能，同时支持单机离线运行，支持人数统计，具有消防联动接口，当消防信号触发时，门翼将处于常开状态，当消防信号恢复时，门翼将会复位；</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6、闸机通道门翼开/关速度至少支持5档可调，开门速度＜0.5 s，每分钟最大通行人数不低于50人，支持转动精度控制，最大精度不低于5度，支持门翼转动位置的实时监测；</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支持防冲撞功能，设备处于关门状态时门翼自动锁死，当外力冲击超过相应值时可启动机芯保护机制，门翼随抱箍转动而不会损伤机芯；当门翼受到外力冲撞后，可以迅速恢复到正常状态，恢复时间不超过3s（通道内无人的情况下）；</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支持防夹保护的功能，在门翼动作过程中遇到阻力时门翼应自动停止动作，可语音播报、指示灯、IO信号联动输出等报警提示外，同时上传对应的报警事件；人员通行时，红外检测到人员在非安全区域，门翼自动停止动作，人员离开通道后，门翼自动复位；</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9、支持单通道反潜回、多通道跨主机反潜回的功能，当检测到任意一种反潜回报警时，可报警提示，包括语音播报、指示灯、IO信号联动输出，同时上传报警事件；</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10、外壳防护等级不低于IP54，具备防水浸功能，通道在底部积水情况下可正常运行，最大水浸高度不小于150mm；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人脸识别组件（带测温）</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1、热成像测温型人员通道人脸识别组件，采用≥6英寸触摸显示屏，含通道安装配套支架；</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2、设备采用高清相机，可适应强光、逆光、暗光等条件的人脸识别；</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4、设备采用热成像测温，支持垂直方向 0.3～2.0m 距离范围内非接触式自动人体测温；</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5、设备测温精度≤ 0.1℃，测温误差≤±0.3℃，测温范围不低于30℃～45℃；</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支持口罩佩戴监测模式并提示未佩戴口罩，应能配置提醒模式、强制模式；提醒模式：未佩戴口罩时，应能做身份验证及考勤签到，身份验证通过后提醒佩戴口罩；强制模式：未佩戴口罩时，应无法做身份验证，并提醒佩戴口罩；设备应支持佩戴口罩情况下的人脸识别功能；</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7、工作温度：-30~60℃，防护等级不低于IP65，支持室内外使用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身份证阅读组件</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1、可读取二/三代居民身份证、港澳台居民居住证、外国人永久居留身份证的信息；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二维码扫描组件</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color w:val="auto"/>
                <w:sz w:val="24"/>
                <w:szCs w:val="24"/>
                <w:highlight w:val="none"/>
              </w:rPr>
              <w:t>1、通讯接口：RS485</w:t>
            </w:r>
            <w:r>
              <w:rPr>
                <w:rFonts w:hint="eastAsia" w:ascii="宋体" w:hAnsi="宋体" w:eastAsia="宋体" w:cs="宋体"/>
                <w:color w:val="auto"/>
                <w:sz w:val="24"/>
                <w:szCs w:val="24"/>
                <w:highlight w:val="none"/>
                <w:lang w:val="en-US" w:eastAsia="zh-CN"/>
              </w:rPr>
              <w:t xml:space="preserve">；可读取二维码。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天府健康码云平台接入服务</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台/年</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1、场所码定位自动上传：实现通过健康码扫码，将定位数据上传至四川省大数据中心健康码系统平台，实现患者不再需要手工扫描场所码。</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2、设备注册：实现设备在四川省大数据中心健康码系统平台的注册、激活以及相关状态的提示。</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3、健康码状态查询：实现通过健康码扫码，实时返回健康码状态信息。</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4、身份证查验：实现通过身份认证信息获取健康码状态，实时返回状态信息。</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5、软件更新：提供在线设备软件更新功能。</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6、含1年健康码平台接入费用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人员通道闸机（单通道）</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1、摆闸型闸机通道，包含左边机1台、右边机1台，外壳采用拉丝不锈钢，箱体尺寸：长≤1200mm、宽≤200mm、高≥1020mm，通道宽度至少支持550mm~1400mm配置；</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支持刷卡、人脸识别、二维码认证方式的扩展，TCP/IP接口≥1个，单独232接口≥1个，RS485/RS232可切换通讯接口≥1个，开门按钮接口≥1个，报警输入接口≥1个，报警输出接口≥1个，电锁输出接口≥1个，事件输入接口≥1个；</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3、钢质板材厚度≥1.2mm，≥6对红外对射，支持在晴天、雨天等环境下稳定运行，不产生误报；</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内置语音模块，可根据需求定制语音播报内容；内置无线接收器，搭配遥控器使用可实现遥控开门，支持关联遥控器，支持进出方向通行状态灵活配置，支持LED指示通行方向，显示通行状态，指示灯亮度支持自定义调节；</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5、支持联网运行，支持远程控制管理功能，同时支持单机离线运行，支持人数统计，具有消防联动接口，当消防信号触发时，门翼将处于常开状态，当消防信号恢复时，门翼将会复位；</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6、闸机通道门翼开/关速度至少支持5档可调，开门速度＜0.5 s，每分钟最大通行人数不低于50人，支持转动精度控制，最大精度不低于5度，支持门翼转动位置的实时监测；</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支持防冲撞功能，设备处于关门状态时门翼自动锁死，当外力冲击超过相应值时可启动机芯保护机制，门翼随抱箍转动而不会损伤机芯；当门翼受到外力冲撞后，可以迅速恢复到正常状态，恢复时间不超过3s（通道内无人的情况下）；</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支持防夹保护的功能，在门翼动作过程中遇到阻力时门翼应自动停止动作，可语音播报、指示灯、IO信号联动输出等报警提示外，同时上传对应的报警事件；人员通行时，红外检测到人员在非安全区域，门翼自动停止动作，人员离开通道后，门翼自动复位；</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9、支持单通道反潜回、多通道跨主机反潜回的功能，当检测到任意一种反潜回报警时，可报警提示，包括语音播报、指示灯、IO信号联动输出，同时上传报警事件；</w:t>
            </w:r>
          </w:p>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10、外壳防护等级不低于IP54，具备防水浸功能，通道在底部积水情况下可正常运行，最大水浸高度不小于150mm；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安装服务</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5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color w:val="auto"/>
                <w:sz w:val="24"/>
                <w:szCs w:val="24"/>
                <w:highlight w:val="none"/>
                <w:lang w:val="en-US" w:eastAsia="zh-CN"/>
              </w:rPr>
              <w:t>1、含以上所有设备安装、调试、培训及所需辅材(电源线、网线、固定件辅材)。</w:t>
            </w:r>
          </w:p>
        </w:tc>
      </w:tr>
    </w:tbl>
    <w:p>
      <w:pPr>
        <w:numPr>
          <w:ilvl w:val="0"/>
          <w:numId w:val="0"/>
        </w:numPr>
        <w:spacing w:line="360" w:lineRule="auto"/>
        <w:rPr>
          <w:rFonts w:hint="eastAsia" w:ascii="宋体" w:hAnsi="宋体" w:eastAsia="宋体" w:cs="宋体"/>
          <w:b/>
          <w:bCs/>
          <w:color w:val="auto"/>
          <w:sz w:val="21"/>
          <w:szCs w:val="21"/>
          <w:highlight w:val="none"/>
          <w:u w:val="single"/>
          <w:lang w:val="en-US" w:eastAsia="zh-CN"/>
        </w:rPr>
      </w:pPr>
      <w:r>
        <w:rPr>
          <w:rFonts w:hint="eastAsia" w:ascii="宋体" w:hAnsi="宋体" w:eastAsia="宋体" w:cs="宋体"/>
          <w:i w:val="0"/>
          <w:iCs w:val="0"/>
          <w:caps w:val="0"/>
          <w:color w:val="auto"/>
          <w:spacing w:val="0"/>
          <w:sz w:val="21"/>
          <w:szCs w:val="21"/>
          <w:highlight w:val="none"/>
          <w:shd w:val="clear" w:color="auto" w:fill="FFFFFF"/>
        </w:rPr>
        <w:t>注意∶根据国务院办公厅【国办发（2007）51 号】《关于建立政府强制采购节能产品制度的通知》、财政部、国家发展改革委【财库（2004）185 号】《关于印发节 能产品政府采购实施意见的通知》、财政部、国家发 展改革委【财库（2019）19 号】《关于印发节能产品政府采购品目清单的通知》、 【财库〔2019〕18】号关于印发环境标志产品政府采购品目清单的通知，若供应商所提供产品在节能产品政府采购品目清单内且以“</w:t>
      </w:r>
      <w:r>
        <w:rPr>
          <w:rFonts w:hint="eastAsia" w:ascii="宋体" w:hAnsi="宋体" w:eastAsia="宋体" w:cs="宋体"/>
          <w:i w:val="0"/>
          <w:iCs w:val="0"/>
          <w:caps w:val="0"/>
          <w:color w:val="auto"/>
          <w:spacing w:val="0"/>
          <w:sz w:val="21"/>
          <w:szCs w:val="21"/>
          <w:highlight w:val="none"/>
          <w:shd w:val="clear" w:color="auto" w:fill="FFFFFF"/>
        </w:rPr>
        <w:t>★</w:t>
      </w:r>
      <w:r>
        <w:rPr>
          <w:rFonts w:hint="eastAsia" w:ascii="宋体" w:hAnsi="宋体" w:eastAsia="宋体" w:cs="宋体"/>
          <w:i w:val="0"/>
          <w:iCs w:val="0"/>
          <w:caps w:val="0"/>
          <w:color w:val="auto"/>
          <w:spacing w:val="0"/>
          <w:sz w:val="21"/>
          <w:szCs w:val="21"/>
          <w:highlight w:val="none"/>
          <w:shd w:val="clear" w:color="auto" w:fill="FFFFFF"/>
        </w:rPr>
        <w:t>”标注的为政府强制采购产品需提供承诺函（格式自拟），在成交后签订合同前提供认证证书复印件进行查验。（实质性要求）</w:t>
      </w:r>
      <w:r>
        <w:rPr>
          <w:rFonts w:hint="eastAsia" w:ascii="宋体" w:hAnsi="宋体" w:eastAsia="宋体" w:cs="宋体"/>
          <w:i w:val="0"/>
          <w:iCs w:val="0"/>
          <w:caps w:val="0"/>
          <w:color w:val="auto"/>
          <w:spacing w:val="0"/>
          <w:sz w:val="21"/>
          <w:szCs w:val="21"/>
          <w:highlight w:val="none"/>
          <w:shd w:val="clear" w:color="auto" w:fill="FFFFFF"/>
          <w:lang w:val="en-US" w:eastAsia="zh-CN"/>
        </w:rPr>
        <w:t>。以上技术、服务要求清单中需提供第三方权威机构出具的检测报告复印件，加盖供应商鲜章的材料，</w:t>
      </w:r>
      <w:r>
        <w:rPr>
          <w:rFonts w:hint="eastAsia" w:ascii="宋体" w:hAnsi="宋体" w:eastAsia="宋体" w:cs="宋体"/>
          <w:i w:val="0"/>
          <w:iCs w:val="0"/>
          <w:caps w:val="0"/>
          <w:color w:val="auto"/>
          <w:spacing w:val="0"/>
          <w:sz w:val="21"/>
          <w:szCs w:val="21"/>
          <w:highlight w:val="none"/>
          <w:shd w:val="clear" w:color="auto" w:fill="FFFFFF"/>
        </w:rPr>
        <w:t>在成交后签订合同前</w:t>
      </w:r>
      <w:r>
        <w:rPr>
          <w:rFonts w:hint="eastAsia" w:ascii="宋体" w:hAnsi="宋体" w:eastAsia="宋体" w:cs="宋体"/>
          <w:i w:val="0"/>
          <w:iCs w:val="0"/>
          <w:caps w:val="0"/>
          <w:color w:val="auto"/>
          <w:spacing w:val="0"/>
          <w:sz w:val="21"/>
          <w:szCs w:val="21"/>
          <w:highlight w:val="none"/>
          <w:shd w:val="clear" w:color="auto" w:fill="FFFFFF"/>
          <w:lang w:val="en-US" w:eastAsia="zh-CN"/>
        </w:rPr>
        <w:t>成交供应商需提供</w:t>
      </w:r>
      <w:r>
        <w:rPr>
          <w:rFonts w:hint="eastAsia" w:ascii="宋体" w:hAnsi="宋体" w:eastAsia="宋体" w:cs="宋体"/>
          <w:color w:val="auto"/>
          <w:sz w:val="21"/>
          <w:szCs w:val="21"/>
          <w:highlight w:val="none"/>
          <w:shd w:val="clear" w:color="auto" w:fill="FFFFFF"/>
        </w:rPr>
        <w:t>检测报告</w:t>
      </w:r>
      <w:r>
        <w:rPr>
          <w:rFonts w:hint="eastAsia" w:ascii="宋体" w:hAnsi="宋体" w:eastAsia="宋体" w:cs="宋体"/>
          <w:color w:val="auto"/>
          <w:sz w:val="21"/>
          <w:szCs w:val="21"/>
          <w:highlight w:val="none"/>
          <w:shd w:val="clear" w:color="auto" w:fill="FFFFFF"/>
          <w:lang w:val="en-US" w:eastAsia="zh-CN"/>
        </w:rPr>
        <w:t>复印件加盖厂家鲜章</w:t>
      </w:r>
      <w:r>
        <w:rPr>
          <w:rFonts w:hint="eastAsia" w:ascii="宋体" w:hAnsi="宋体" w:eastAsia="宋体" w:cs="宋体"/>
          <w:i w:val="0"/>
          <w:iCs w:val="0"/>
          <w:caps w:val="0"/>
          <w:color w:val="auto"/>
          <w:spacing w:val="0"/>
          <w:sz w:val="21"/>
          <w:szCs w:val="21"/>
          <w:highlight w:val="none"/>
          <w:shd w:val="clear" w:color="auto" w:fill="FFFFFF"/>
          <w:lang w:val="en-US" w:eastAsia="zh-CN"/>
        </w:rPr>
        <w:t>进行查验</w:t>
      </w:r>
      <w:r>
        <w:rPr>
          <w:rFonts w:hint="eastAsia" w:ascii="宋体" w:hAnsi="宋体" w:eastAsia="宋体" w:cs="宋体"/>
          <w:i w:val="0"/>
          <w:iCs w:val="0"/>
          <w:caps w:val="0"/>
          <w:color w:val="auto"/>
          <w:spacing w:val="0"/>
          <w:sz w:val="21"/>
          <w:szCs w:val="21"/>
          <w:highlight w:val="none"/>
          <w:shd w:val="clear" w:color="auto" w:fill="FFFFFF"/>
        </w:rPr>
        <w:t>（实质性要求）</w:t>
      </w:r>
      <w:r>
        <w:rPr>
          <w:rFonts w:hint="eastAsia" w:ascii="宋体" w:hAnsi="宋体" w:eastAsia="宋体" w:cs="宋体"/>
          <w:i w:val="0"/>
          <w:iCs w:val="0"/>
          <w:caps w:val="0"/>
          <w:color w:val="auto"/>
          <w:spacing w:val="0"/>
          <w:sz w:val="21"/>
          <w:szCs w:val="21"/>
          <w:highlight w:val="none"/>
          <w:shd w:val="clear" w:color="auto" w:fill="FFFFFF"/>
          <w:lang w:val="en-US" w:eastAsia="zh-CN"/>
        </w:rPr>
        <w:t>。</w:t>
      </w:r>
    </w:p>
    <w:p>
      <w:pPr>
        <w:numPr>
          <w:ilvl w:val="0"/>
          <w:numId w:val="0"/>
        </w:numPr>
        <w:spacing w:line="360" w:lineRule="auto"/>
        <w:rPr>
          <w:rFonts w:hint="eastAsia" w:ascii="宋体" w:hAnsi="宋体" w:eastAsia="宋体" w:cs="宋体"/>
          <w:b/>
          <w:bCs/>
          <w:i w:val="0"/>
          <w:iCs w:val="0"/>
          <w:caps w:val="0"/>
          <w:color w:val="auto"/>
          <w:spacing w:val="0"/>
          <w:sz w:val="24"/>
          <w:szCs w:val="24"/>
          <w:highlight w:val="none"/>
          <w:shd w:val="clear" w:color="auto" w:fill="FFFFFF"/>
          <w:lang w:val="en-US" w:eastAsia="zh-CN"/>
        </w:rPr>
      </w:pPr>
      <w:bookmarkStart w:id="0" w:name="_Toc19365"/>
      <w:bookmarkStart w:id="1" w:name="_Toc9992"/>
      <w:r>
        <w:rPr>
          <w:rFonts w:hint="eastAsia" w:ascii="宋体" w:hAnsi="宋体" w:eastAsia="宋体" w:cs="宋体"/>
          <w:b/>
          <w:bCs/>
          <w:i w:val="0"/>
          <w:iCs w:val="0"/>
          <w:caps w:val="0"/>
          <w:color w:val="auto"/>
          <w:spacing w:val="0"/>
          <w:sz w:val="24"/>
          <w:szCs w:val="24"/>
          <w:highlight w:val="none"/>
          <w:shd w:val="clear" w:color="auto" w:fill="FFFFFF"/>
          <w:lang w:val="en-US" w:eastAsia="zh-CN"/>
        </w:rPr>
        <w:t>4.2</w:t>
      </w:r>
      <w:bookmarkStart w:id="2" w:name="_GoBack"/>
      <w:bookmarkEnd w:id="2"/>
      <w:r>
        <w:rPr>
          <w:rFonts w:hint="eastAsia" w:ascii="宋体" w:hAnsi="宋体" w:eastAsia="宋体" w:cs="宋体"/>
          <w:b/>
          <w:bCs/>
          <w:i w:val="0"/>
          <w:iCs w:val="0"/>
          <w:caps w:val="0"/>
          <w:color w:val="auto"/>
          <w:spacing w:val="0"/>
          <w:sz w:val="24"/>
          <w:szCs w:val="24"/>
          <w:highlight w:val="none"/>
          <w:shd w:val="clear" w:color="auto" w:fill="FFFFFF"/>
          <w:lang w:val="en-US" w:eastAsia="zh-CN"/>
        </w:rPr>
        <w:t>、商务要求</w:t>
      </w:r>
      <w:bookmarkEnd w:id="0"/>
      <w:bookmarkEnd w:id="1"/>
      <w:r>
        <w:rPr>
          <w:rFonts w:hint="eastAsia" w:ascii="宋体" w:hAnsi="宋体" w:eastAsia="宋体" w:cs="宋体"/>
          <w:b/>
          <w:bCs/>
          <w:i w:val="0"/>
          <w:iCs w:val="0"/>
          <w:caps w:val="0"/>
          <w:color w:val="auto"/>
          <w:spacing w:val="0"/>
          <w:sz w:val="24"/>
          <w:szCs w:val="24"/>
          <w:highlight w:val="none"/>
          <w:shd w:val="clear" w:color="auto" w:fill="FFFFFF"/>
          <w:lang w:val="en-US" w:eastAsia="zh-CN"/>
        </w:rPr>
        <w:t>（实质性要求）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（一）交货时间：在合同签订后</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0日内完成交货及安装。</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（二）交货地点：采购人指定地点。</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（三）付款方式：合同签订之日起</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日内支付合同金额的30%，安装调试完成并验收合格后</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日内支付合同金额的</w:t>
      </w:r>
      <w:r>
        <w:rPr>
          <w:rFonts w:hint="eastAsia" w:ascii="宋体" w:hAnsi="宋体" w:eastAsia="宋体" w:cs="宋体"/>
          <w:color w:val="auto"/>
          <w:kern w:val="0"/>
          <w:sz w:val="24"/>
          <w:szCs w:val="24"/>
          <w:highlight w:val="none"/>
          <w:lang w:val="en-US" w:eastAsia="zh-CN"/>
        </w:rPr>
        <w:t>70</w:t>
      </w:r>
      <w:r>
        <w:rPr>
          <w:rFonts w:hint="eastAsia" w:ascii="宋体" w:hAnsi="宋体" w:eastAsia="宋体" w:cs="宋体"/>
          <w:color w:val="auto"/>
          <w:kern w:val="0"/>
          <w:sz w:val="24"/>
          <w:szCs w:val="24"/>
          <w:highlight w:val="none"/>
        </w:rPr>
        <w:t>%。</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w:t>
      </w:r>
      <w:r>
        <w:rPr>
          <w:rFonts w:hint="eastAsia" w:ascii="宋体" w:hAnsi="宋体" w:eastAsia="宋体" w:cs="宋体"/>
          <w:color w:val="auto"/>
          <w:sz w:val="24"/>
          <w:szCs w:val="24"/>
          <w:highlight w:val="none"/>
        </w:rPr>
        <w:t>供应商的报价包含但不限于：本项目设备安装所需基础设施改造、</w:t>
      </w:r>
      <w:r>
        <w:rPr>
          <w:rFonts w:hint="eastAsia" w:ascii="宋体" w:hAnsi="宋体" w:eastAsia="宋体" w:cs="宋体"/>
          <w:color w:val="auto"/>
          <w:kern w:val="0"/>
          <w:sz w:val="24"/>
          <w:szCs w:val="24"/>
          <w:highlight w:val="none"/>
        </w:rPr>
        <w:t>设备使用培训</w:t>
      </w:r>
      <w:r>
        <w:rPr>
          <w:rFonts w:hint="eastAsia" w:ascii="宋体" w:hAnsi="宋体" w:eastAsia="宋体" w:cs="宋体"/>
          <w:color w:val="auto"/>
          <w:sz w:val="24"/>
          <w:szCs w:val="24"/>
          <w:highlight w:val="none"/>
        </w:rPr>
        <w:t>、人工、货物、运输、辅材、上下车费、税金、利润及其他不可预见费、代理费等一切费用。</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（五）履约保证金：本项目不收取履约保证金 。</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（六）验收方式：</w:t>
      </w:r>
    </w:p>
    <w:p>
      <w:pPr>
        <w:spacing w:line="360"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1、验收主体：采购人自行组织。</w:t>
      </w:r>
    </w:p>
    <w:p>
      <w:pPr>
        <w:spacing w:line="360"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2、验收时间：供应商提出验收申请之日起 15日内组织验收。</w:t>
      </w:r>
    </w:p>
    <w:p>
      <w:pPr>
        <w:spacing w:line="360"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3、验收程序、方式和标准：严格按照《财政部关于进一步加强政府采购需求和履约验收管理的指导意见》（财库〔2016〕205 号）的要求进行验收，验收标准以谈判文件技术参数及要求和相关行业标准为准。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w:t>
      </w:r>
      <w:r>
        <w:rPr>
          <w:rFonts w:hint="eastAsia" w:ascii="宋体" w:hAnsi="宋体" w:eastAsia="宋体" w:cs="宋体"/>
          <w:color w:val="auto"/>
          <w:sz w:val="24"/>
          <w:szCs w:val="24"/>
          <w:highlight w:val="none"/>
          <w:lang w:val="en-US" w:eastAsia="zh-CN"/>
        </w:rPr>
        <w:t>其他</w:t>
      </w:r>
      <w:r>
        <w:rPr>
          <w:rFonts w:hint="eastAsia" w:ascii="宋体" w:hAnsi="宋体" w:eastAsia="宋体" w:cs="宋体"/>
          <w:color w:val="auto"/>
          <w:sz w:val="24"/>
          <w:szCs w:val="24"/>
          <w:highlight w:val="none"/>
        </w:rPr>
        <w:t>服务要求：</w:t>
      </w:r>
    </w:p>
    <w:p>
      <w:pPr>
        <w:spacing w:line="360" w:lineRule="auto"/>
        <w:ind w:firstLine="720" w:firstLineChars="3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1、质保期：1年，自验收合格之日起计。</w:t>
      </w:r>
    </w:p>
    <w:p>
      <w:pPr>
        <w:spacing w:line="360" w:lineRule="auto"/>
        <w:ind w:firstLine="720" w:firstLineChars="3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2、质保期内成交供应商应负责设备维修及抢修。</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（八）知识产权</w:t>
      </w:r>
    </w:p>
    <w:p>
      <w:pPr>
        <w:spacing w:line="360"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供应商应保证采购人在使用该货物或其任何一部分时不存在侵犯第三人知识产权的情况且权属清楚、不存在任何权利瑕疵。一旦出现上述侵权、索赔或诉讼，视为供应商违约，供应商应承担全部责任并赔偿所有损失。</w:t>
      </w:r>
    </w:p>
    <w:p>
      <w:pPr>
        <w:pStyle w:val="3"/>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color w:val="auto"/>
          <w:kern w:val="0"/>
          <w:sz w:val="24"/>
          <w:szCs w:val="24"/>
          <w:highlight w:val="none"/>
        </w:rPr>
        <w:t>（九）</w:t>
      </w:r>
      <w:r>
        <w:rPr>
          <w:rFonts w:hint="eastAsia" w:ascii="宋体" w:hAnsi="宋体" w:eastAsia="宋体" w:cs="宋体"/>
          <w:sz w:val="24"/>
          <w:szCs w:val="24"/>
        </w:rPr>
        <w:t>售后服务要求</w:t>
      </w:r>
    </w:p>
    <w:p>
      <w:pPr>
        <w:pStyle w:val="3"/>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.供应商应有完善的技术支持与服务体系</w:t>
      </w:r>
      <w:r>
        <w:rPr>
          <w:rFonts w:hint="eastAsia" w:ascii="宋体" w:hAnsi="宋体" w:eastAsia="宋体" w:cs="宋体"/>
          <w:sz w:val="24"/>
          <w:szCs w:val="24"/>
          <w:lang w:eastAsia="zh-CN"/>
        </w:rPr>
        <w:t>、</w:t>
      </w:r>
      <w:r>
        <w:rPr>
          <w:rFonts w:hint="eastAsia" w:ascii="宋体" w:hAnsi="宋体" w:eastAsia="宋体" w:cs="宋体"/>
          <w:sz w:val="24"/>
          <w:szCs w:val="24"/>
        </w:rPr>
        <w:t>专人负责与采购人联系售后服务事宜，必要的售后机具配置、具有专门固定的售后服务电话，并能提供本地化服务为佳。</w:t>
      </w:r>
    </w:p>
    <w:p>
      <w:pPr>
        <w:pStyle w:val="3"/>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 xml:space="preserve">.供应商针对本项目向采购人提供培训服务，培训内容包括设备的性能、原理、操作、保养和维护等内容，达到采购人可独立使用，培训人数和地点由采购人指定，并在培训后免费提供技术咨询服务。 </w:t>
      </w:r>
    </w:p>
    <w:p>
      <w:pPr>
        <w:pStyle w:val="3"/>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.维修响应时间：电话方式告之供应商须上门维修，供应商必须保证在30分钟内响应，</w:t>
      </w:r>
      <w:r>
        <w:rPr>
          <w:rFonts w:hint="eastAsia" w:ascii="宋体" w:hAnsi="宋体" w:eastAsia="宋体" w:cs="宋体"/>
          <w:sz w:val="24"/>
          <w:szCs w:val="24"/>
          <w:lang w:val="en-US" w:eastAsia="zh-CN"/>
        </w:rPr>
        <w:t>1</w:t>
      </w:r>
      <w:r>
        <w:rPr>
          <w:rFonts w:hint="eastAsia" w:ascii="宋体" w:hAnsi="宋体" w:eastAsia="宋体" w:cs="宋体"/>
          <w:sz w:val="24"/>
          <w:szCs w:val="24"/>
        </w:rPr>
        <w:t>个小时内到达现场，如需设备更换，在3个工作日内完成，如无法排除，须提供备用设备确保正常运行。</w:t>
      </w:r>
    </w:p>
    <w:p>
      <w:pPr>
        <w:pStyle w:val="3"/>
        <w:numPr>
          <w:ilvl w:val="0"/>
          <w:numId w:val="0"/>
        </w:numPr>
        <w:spacing w:line="360" w:lineRule="auto"/>
        <w:ind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 xml:space="preserve">.货物经供应商3次维修或更换仍不能达到本合同约定的质量标准，视作供应商未能按时交货，采购人有权退货并追究供应商的违约责任。 </w:t>
      </w:r>
      <w:r>
        <w:rPr>
          <w:rFonts w:hint="eastAsia" w:ascii="宋体" w:hAnsi="宋体" w:eastAsia="宋体" w:cs="宋体"/>
          <w:sz w:val="24"/>
          <w:szCs w:val="24"/>
          <w:lang w:val="en-US" w:eastAsia="zh-CN"/>
        </w:rPr>
        <w:t xml:space="preserve"> </w:t>
      </w:r>
    </w:p>
    <w:p>
      <w:pPr>
        <w:pStyle w:val="3"/>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 xml:space="preserve">.供应商承诺项目全部货物的各种部件均保证齐备、充足供应，若因产品升级更新等原因不能保障供应造成采购人损失的，供应商承担全部赔偿责任，在交货时需向采购人提供货物常规备品备件。 </w:t>
      </w:r>
    </w:p>
    <w:p>
      <w:pPr>
        <w:spacing w:line="360" w:lineRule="auto"/>
        <w:ind w:firstLine="720" w:firstLineChars="3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rPr>
        <w:t>.质保期内，供应商保证每年巡视维护设备不低于2次，每年对货物免费进行2次保养和安全检测。</w:t>
      </w:r>
    </w:p>
    <w:p>
      <w:pPr>
        <w:spacing w:line="360" w:lineRule="auto"/>
        <w:ind w:firstLine="720" w:firstLineChars="300"/>
        <w:jc w:val="left"/>
        <w:rPr>
          <w:rFonts w:hint="eastAsia" w:ascii="宋体" w:hAnsi="宋体" w:eastAsia="宋体" w:cs="宋体"/>
          <w:color w:val="auto"/>
          <w:kern w:val="0"/>
          <w:sz w:val="24"/>
          <w:szCs w:val="24"/>
          <w:highlight w:val="none"/>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十）</w:t>
      </w:r>
      <w:r>
        <w:rPr>
          <w:rFonts w:hint="eastAsia" w:ascii="宋体" w:hAnsi="宋体" w:eastAsia="宋体" w:cs="宋体"/>
          <w:color w:val="auto"/>
          <w:kern w:val="0"/>
          <w:sz w:val="24"/>
          <w:szCs w:val="24"/>
          <w:highlight w:val="none"/>
        </w:rPr>
        <w:t>违约责任</w:t>
      </w:r>
    </w:p>
    <w:p>
      <w:pPr>
        <w:spacing w:line="360" w:lineRule="auto"/>
        <w:ind w:firstLine="720" w:firstLineChars="3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1、成交供应商交付的货物质量不符合合同规定的，成交供应商应向采购人支付合同总价的百分之五的违约金，并须在合同规定的交货时间内更换合格的货物给采购人，否则，视作成交供应商不能交付货物而违约，还应按本条本款下述第“2”项规定由成交供应商偿付违约金给采购人。</w:t>
      </w:r>
    </w:p>
    <w:p>
      <w:pPr>
        <w:spacing w:line="360" w:lineRule="auto"/>
        <w:ind w:firstLine="720" w:firstLineChars="3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2、成交供应商不能交付货物或逾期交付货物而违约的，除应及时交足货物外，应向采购人偿付货款总额的万分之一/天的违约金；逾期交货超过60个日历日，采购人有权终止合同，成交供应商则应按合同总价的百分之五的款额向采购人偿付违约金，并须全额退还采购人已经付给成交供应商的货款及其利息。</w:t>
      </w:r>
    </w:p>
    <w:p>
      <w:pPr>
        <w:spacing w:line="360" w:lineRule="auto"/>
        <w:ind w:firstLine="720" w:firstLineChars="3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3、成交供应商货物经采购人送交具有法定资格条件的质量技术监督机构检测后，如检测结果认定货物质量不符合本合同规定标准的，则视为成交供应商没有按时交货而违约，成交供应商须在30个日历日内无条件更换合格的货物，如逾期不能更换合格的货物，采购人有权终止本合同，成交供应商还应另付合同总价的百分之五的违约金给采购人、全额退还采购人已经支付的货款及其利息。</w:t>
      </w:r>
    </w:p>
    <w:p>
      <w:pPr>
        <w:spacing w:line="360" w:lineRule="auto"/>
        <w:ind w:firstLine="720" w:firstLineChars="3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4、成交供应商保证本合同货物的权利无瑕疵，包括货物所有权及知识产权等权利无瑕疵。如任何第三方经法院（或仲裁机构）裁决有权对上述货物主张权利或国家机关依法对货物进行没收查处的，成交供应商除应向采购人返还已收款项外，还应另按合同总价的百分之五向采购人支付违约金并赔偿因此给采购人造成的一切损失。</w:t>
      </w:r>
    </w:p>
    <w:p>
      <w:pPr>
        <w:spacing w:line="360" w:lineRule="auto"/>
        <w:ind w:firstLine="720" w:firstLineChars="3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5、成交供应商偿付的违约金不足以弥补采购人损失的，还应按采购人损失尚未弥补的部分，支付赔偿金给采购人。</w:t>
      </w:r>
    </w:p>
    <w:p>
      <w:pPr>
        <w:spacing w:line="360" w:lineRule="auto"/>
        <w:ind w:firstLine="480" w:firstLineChars="2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（十）争议管辖：</w:t>
      </w:r>
    </w:p>
    <w:p>
      <w:pPr>
        <w:widowControl/>
        <w:spacing w:line="360" w:lineRule="auto"/>
        <w:ind w:firstLine="480" w:firstLineChars="2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1、因货物的质量问题发生争议的，双方经协商可以邀请国家认可的质量检测机构对货物质量进行鉴定。货物符合标准的，鉴定费由采购人承担；货物不符合质量标准的，鉴定费由成交供应商承担。</w:t>
      </w:r>
    </w:p>
    <w:p>
      <w:pPr>
        <w:widowControl/>
        <w:spacing w:line="360" w:lineRule="auto"/>
        <w:ind w:firstLine="480" w:firstLineChars="2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 xml:space="preserve">2、在解释或者执行本合同的过程中发生争议时，双方应通过协商方式解决。 </w:t>
      </w:r>
    </w:p>
    <w:p>
      <w:pPr>
        <w:widowControl/>
        <w:spacing w:line="360" w:lineRule="auto"/>
        <w:ind w:firstLine="480" w:firstLineChars="2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3、经协商不能解决的争议，双方可选择向采购人所在地有管辖权的法院提起诉讼，诉讼产生的一切费用应由败诉方承担。</w:t>
      </w:r>
    </w:p>
    <w:p>
      <w:pPr>
        <w:widowControl/>
        <w:spacing w:line="360" w:lineRule="auto"/>
        <w:ind w:firstLine="480" w:firstLineChars="200"/>
        <w:jc w:val="left"/>
        <w:rPr>
          <w:rFonts w:hint="eastAsia" w:ascii="宋体" w:hAnsi="宋体" w:eastAsia="宋体" w:cs="宋体"/>
          <w:color w:val="auto"/>
          <w:kern w:val="0"/>
          <w:sz w:val="24"/>
          <w:szCs w:val="34"/>
          <w:highlight w:val="none"/>
        </w:rPr>
      </w:pPr>
      <w:r>
        <w:rPr>
          <w:rFonts w:hint="eastAsia" w:ascii="宋体" w:hAnsi="宋体" w:eastAsia="宋体" w:cs="宋体"/>
          <w:color w:val="auto"/>
          <w:kern w:val="0"/>
          <w:sz w:val="24"/>
          <w:szCs w:val="34"/>
          <w:highlight w:val="none"/>
        </w:rPr>
        <w:t>4、在法院审理期间，除有争议部分外，本合同其他部分可以履行的仍应按合同条款继续履行。</w:t>
      </w:r>
    </w:p>
    <w:p>
      <w:pPr>
        <w:autoSpaceDE w:val="0"/>
        <w:autoSpaceDN w:val="0"/>
        <w:adjustRightIn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（十一）</w:t>
      </w:r>
      <w:r>
        <w:rPr>
          <w:rFonts w:hint="eastAsia" w:ascii="宋体" w:hAnsi="宋体" w:eastAsia="宋体" w:cs="宋体"/>
          <w:color w:val="auto"/>
          <w:kern w:val="0"/>
          <w:sz w:val="24"/>
          <w:szCs w:val="24"/>
          <w:highlight w:val="none"/>
        </w:rPr>
        <w:t>安全责任：项目供货实施过程中发生的相关安全责任，均由成交供应商自行负责。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（十二）未尽事宜由采购人和成交供应商在采购合同中另行协商约定。</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D6EC9"/>
    <w:rsid w:val="25AD6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Arial"/>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 首行缩进:  2 字符"/>
    <w:basedOn w:val="1"/>
    <w:qFormat/>
    <w:uiPriority w:val="0"/>
    <w:pPr>
      <w:adjustRightInd w:val="0"/>
      <w:snapToGrid w:val="0"/>
      <w:ind w:firstLine="524"/>
    </w:pPr>
    <w:rPr>
      <w:rFonts w:ascii="宋体" w:hAnsi="宋体"/>
      <w:spacing w:val="11"/>
      <w:kern w:val="0"/>
      <w:sz w:val="24"/>
    </w:rPr>
  </w:style>
  <w:style w:type="paragraph" w:styleId="3">
    <w:name w:val="Body Text"/>
    <w:basedOn w:val="1"/>
    <w:next w:val="1"/>
    <w:qFormat/>
    <w:uiPriority w:val="99"/>
    <w:pPr>
      <w:snapToGrid w:val="0"/>
      <w:spacing w:line="440" w:lineRule="exact"/>
    </w:pPr>
    <w:rPr>
      <w:rFonts w:ascii="Times New Roman" w:eastAsia="Times New Roman"/>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2022-11-08T07:01:00Z</dcterms:created>
  <dc:creator>-</dc:creator>
  <cp:lastModifiedBy>-</cp:lastModifiedBy>
  <dcterms:modified xsi:type="dcterms:W3CDTF">2022-11-08T07:04:13Z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