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0" w:lineRule="atLeast"/>
        <w:ind w:left="376" w:right="376"/>
        <w:jc w:val="center"/>
        <w:rPr>
          <w:b/>
          <w:bdr w:val="none" w:color="auto" w:sz="0" w:space="0"/>
          <w:shd w:val="clear" w:fill="FFFFFF"/>
        </w:rPr>
      </w:pPr>
      <w:r>
        <w:rPr>
          <w:b/>
          <w:bdr w:val="none" w:color="auto" w:sz="0" w:space="0"/>
          <w:shd w:val="clear" w:fill="FFFFFF"/>
        </w:rPr>
        <w:t>政府采购项目采购需求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0" w:lineRule="atLeast"/>
        <w:ind w:left="376" w:right="376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  <w:bdr w:val="none" w:color="auto" w:sz="0" w:space="0"/>
          <w:shd w:val="clear" w:fill="FFFFFF"/>
        </w:rPr>
        <w:t>采购单位：广元市生态环境局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0" w:lineRule="atLeast"/>
        <w:ind w:left="376" w:right="376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  <w:bdr w:val="none" w:color="auto" w:sz="0" w:space="0"/>
          <w:shd w:val="clear" w:fill="FFFFFF"/>
        </w:rPr>
        <w:t>所属年度：2022年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0" w:lineRule="atLeast"/>
        <w:ind w:left="376" w:right="376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  <w:bdr w:val="none" w:color="auto" w:sz="0" w:space="0"/>
          <w:shd w:val="clear" w:fill="FFFFFF"/>
        </w:rPr>
        <w:t>编制单位：广元市生态环境局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0" w:lineRule="atLeast"/>
        <w:ind w:left="376" w:right="376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  <w:bdr w:val="none" w:color="auto" w:sz="0" w:space="0"/>
          <w:shd w:val="clear" w:fill="FFFFFF"/>
        </w:rPr>
        <w:t>编制时间：2022年12月13日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0" w:lineRule="atLeast"/>
        <w:ind w:left="376" w:right="376"/>
        <w:jc w:val="both"/>
        <w:rPr>
          <w:b/>
          <w:sz w:val="27"/>
          <w:szCs w:val="27"/>
        </w:rPr>
      </w:pPr>
      <w:r>
        <w:rPr>
          <w:b/>
          <w:sz w:val="27"/>
          <w:szCs w:val="27"/>
          <w:bdr w:val="none" w:color="auto" w:sz="0" w:space="0"/>
          <w:shd w:val="clear" w:fill="FFFFFF"/>
        </w:rPr>
        <w:t>一、项目总体情况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（一）拟采购标的的技术要求</w:t>
      </w:r>
    </w:p>
    <w:tbl>
      <w:tblPr>
        <w:tblW w:w="85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964"/>
        <w:gridCol w:w="3083"/>
        <w:gridCol w:w="964"/>
        <w:gridCol w:w="3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采购品目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乘用车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MPV（七座）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A82E5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righ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A82E5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合计金额（元）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righ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300,000.00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righ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A82E5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是否采购节能产品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未采购节能产品原因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A82E5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是否采购环保产品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未采购环保产品原因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A82E5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是否采购进口产品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标的物所属行业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采购品目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乘用车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SUV（7座）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A82E5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righ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A82E5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合计金额（元）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righ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300,000.00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righ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A82E5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是否采购节能产品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未采购节能产品原因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A82E5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是否采购环保产品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未采购环保产品原因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A82E5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是否采购进口产品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标的物所属行业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采购品目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乘用车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SUV（5座）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A82E5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righ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4.00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A82E5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合计金额（元）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righ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1,200,000.00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righ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A82E5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是否采购节能产品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未采购节能产品原因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A82E5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是否采购环保产品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未采购环保产品原因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A82E5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是否采购进口产品</w:t>
            </w:r>
          </w:p>
        </w:tc>
        <w:tc>
          <w:tcPr>
            <w:tcW w:w="3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标的物所属行业</w:t>
            </w:r>
          </w:p>
        </w:tc>
        <w:tc>
          <w:tcPr>
            <w:tcW w:w="3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0A82E5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A82E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标的名称：MPV（七座）</w:t>
      </w:r>
    </w:p>
    <w:tbl>
      <w:tblPr>
        <w:tblW w:w="85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482"/>
        <w:gridCol w:w="74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★1．车身结构：前置前驱、5门7座MPV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★2．发动机：2.0升、涡轮增压、缸内直喷汽油机、智能启停功能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★3．环保标准：符合国六排放标准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★4．变速箱：≧9速</w:t>
            </w:r>
            <w:r>
              <w:rPr>
                <w:rFonts w:ascii="MS UI Gothic" w:hAnsi="MS UI Gothic" w:eastAsia="MS UI Gothic" w:cs="MS UI Gothic"/>
                <w:color w:val="000000"/>
                <w:sz w:val="24"/>
                <w:szCs w:val="24"/>
                <w:bdr w:val="none" w:color="auto" w:sz="0" w:space="0"/>
              </w:rPr>
              <w:t>自动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ascii="仿宋_GB2312" w:hAnsi="MS UI Gothic" w:eastAsia="仿宋_GB2312" w:cs="仿宋_GB2312"/>
                <w:sz w:val="30"/>
                <w:szCs w:val="30"/>
                <w:bdr w:val="none" w:color="auto" w:sz="0" w:space="0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5．车身尺寸：颜色棕色/金色，长（mm）≧5230、轴距（mm）≧3080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6.轮胎：≧17铝合金轮毂、带胎压显示、四轮盘式制动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7.悬架系统:前悬架增强型麦弗逊式独立悬挂、后悬架扭杆梁悬挂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8.配置：电子排档、电动车窗、主副座位电动调节、可开启天窗、自动开启LED前大灯、电子防眩目内后视镜屏、电动后备箱、互联技术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9.安全功能：前后泊车雷达、360度全景影像并带有≧7吋液晶触控显示屏、≧6个安全气囊、电子驻车、后视镜电动折叠。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标的名称：SUV（7座）</w:t>
      </w:r>
    </w:p>
    <w:tbl>
      <w:tblPr>
        <w:tblW w:w="85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482"/>
        <w:gridCol w:w="74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★1．车身结构：前置适时四驱、5门7座SUV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★2．发动机：2.0升、涡轮增压、缸内直喷汽油机、智能启停功能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★3．环保标准：符合国六排放标准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★4．变速箱：≧8速</w:t>
            </w:r>
            <w:r>
              <w:rPr>
                <w:rFonts w:hint="eastAsia" w:ascii="MS UI Gothic" w:hAnsi="MS UI Gothic" w:eastAsia="MS UI Gothic" w:cs="MS UI Gothic"/>
                <w:color w:val="000000"/>
                <w:sz w:val="24"/>
                <w:szCs w:val="24"/>
                <w:bdr w:val="none" w:color="auto" w:sz="0" w:space="0"/>
              </w:rPr>
              <w:t>自动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MS UI Gothic" w:eastAsia="仿宋_GB2312" w:cs="仿宋_GB2312"/>
                <w:sz w:val="30"/>
                <w:szCs w:val="30"/>
                <w:bdr w:val="none" w:color="auto" w:sz="0" w:space="0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5．车身尺寸：颜色黑色、长（mm）≧4960、轴距（mm）≧2850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6.轮胎：铝合金轮毂、带胎压显示、四轮盘式制动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7.悬架系统：前悬架麦弗逊式独立悬挂、后悬架多连杆式独立悬挂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8.配置：主副座位电动调节、电动天窗、自适应LED前大灯、车联网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9.安全功能：倒车影像并带有≧7吋液晶触控显示屏、≧6个安全气囊、电子驻车、上下坡辅助、后视镜电动折叠。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标的名称：SUV（5座）</w:t>
      </w:r>
    </w:p>
    <w:tbl>
      <w:tblPr>
        <w:tblW w:w="85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482"/>
        <w:gridCol w:w="74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★1．车身结构：前置适时四驱、5门5座SUV、非承载式车身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★2．发动机：2.0升、涡轮增压、缸内直喷汽油机、智能启停功能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★3．环保标准：符合国六排放标准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★4．变速箱：≧8速</w:t>
            </w:r>
            <w:r>
              <w:rPr>
                <w:rFonts w:hint="eastAsia" w:ascii="MS UI Gothic" w:hAnsi="MS UI Gothic" w:eastAsia="MS UI Gothic" w:cs="MS UI Gothic"/>
                <w:color w:val="000000"/>
                <w:sz w:val="24"/>
                <w:szCs w:val="24"/>
                <w:bdr w:val="none" w:color="auto" w:sz="0" w:space="0"/>
              </w:rPr>
              <w:t>自动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MS UI Gothic" w:eastAsia="仿宋_GB2312" w:cs="仿宋_GB2312"/>
                <w:sz w:val="30"/>
                <w:szCs w:val="30"/>
                <w:bdr w:val="none" w:color="auto" w:sz="0" w:space="0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5．车身尺寸：颜色白色、长（mm）≧4840、轴距（mm）≧2800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6.轮胎：铝合金轮毂、带胎压显示、四轮盘式制动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7.悬架系统：前悬架双叉臂独立悬挂、后悬架多连杆式非独立悬挂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8.配置：主副座位电动调节、电动天窗、自适应LED前大灯、车联网、后桥差速锁、电动踏板、语音识别功能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9.安全功能：前后驻车雷达、360度全景影像并带有≧7吋液晶触控显示屏、≧6个安全气囊、电子驻车、上下坡辅助、后视镜电动折叠。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  <w:lang w:eastAsia="zh-CN"/>
        </w:rPr>
        <w:t>（二）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合同管理安排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1）合同类型：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买卖合同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2）合同定价方式：固定单价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3）合同履行期限：自合同签订之日起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10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4）合同履约地点：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采购人指定地点（广元市行政区域内）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5）支付方式：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分期付款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6）履约保证金及缴纳形式：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120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中标/成交供应商是否需要缴纳履约保证金：否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7）质量保证金及缴纳形式：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120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中标/成交供应商是否需要缴纳质量保证金：否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8）合同支付约定：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120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1、 付款条件说明： 签订采购合同后，供应商提供有效发票 ，达到付款条件起 10 日，支付合同总金额的 60.00%。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120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2、 付款条件说明： 本项目所有货物交货到采购人指定地点，并通过验收后 ，达到付款条件起 20 日，支付合同总金额的 40.00%。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9）验收交付标准和方法：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按照《财政部关于进一步加强政府采购需求和履约验收管理的指导意见》（财库[2016]205 号）以及主管部门的相关要求，依据谈判文件、响应文件以及国家相关标准要求进行验收。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10）质量保修范围和保修期：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★1.官网在产在售车型，与官网发布对应车型配备及售后服务承诺、质保期完全一致，并提供厂商官网截图或厂商提供的相关证明材料。 ★2.响应车辆必须原厂全新产品，所有车辆必须与官网提供的配置清单一致，免费对车辆进行首次保养，免费提供车辆全车车膜、脚垫、座垫、行车记录仪、MPV后左右电动门改装和SUV后备箱定制容积不低于300L的采样样品、执法设备等保存箱，提供承诺函。 ★3.本项目出具发票按照国家规定的车辆登记上户要求，依照车辆编制文件单位名称对应每台车辆分别提供发票（发票单位名称涉及市、县区生态环境局）。中标人须办理车辆购置税、交强险、商业险（含车损险、座位险、不计免赔、第三者责任险等），并完成上户上牌后方可交付（相关费用包含在响应成交总价内,由成交人支付），提供承诺函。 4.所有车辆的出厂日期必须是在交车当日的前6个月以内，否则，采购人将拒绝接收成交供应商送达的车辆，并视为成交供应商无履约能力，由成交供应商承担一切经济损失和法律责任。 5.具有独立售后服务场地，具备二类及以上维修资质，故障响应时间 30分钟内，到场时间2小时内，解决问题时间8小时内，并提供承诺函。 6.交货时须提供 CCC 认证证书原件和二类及以上维修资质相关证明资料。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11）知识产权归属和处理方式：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双方合同约定。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12）成本补偿和风险分担约定：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双方合同约定。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13）违约责任与解决争议的方法：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双方合同约定。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14）合同其他条款：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  <w:lang w:eastAsia="zh-CN"/>
        </w:rPr>
        <w:t>（三）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履约验收方案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1）验收组织方式：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自行验收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2）是否邀请本项目的其他供应商：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3）是否邀请专家：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4）是否邀请服务对象：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5）是否邀请第三方检测机构：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6）履约验收程序：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一次性验收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7）履约验收时间：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120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供应商提出验收申请之日起10日内组织验收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8）验收组织的其他事项：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9）技术履约验收内容：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按照谈判文件和响应文件技术要求进行验收。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10）商务履约验收内容：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按照谈判文件和响应文件商务要求进行验收。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11）履约验收标准：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《财政部关于进一步加强政府采购需求和履约验收管理的指导意见》（财库[2016]205 号）。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750" w:afterAutospacing="0" w:line="38" w:lineRule="atLeast"/>
        <w:ind w:left="376" w:right="376" w:firstLine="840"/>
        <w:jc w:val="both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12）履约验收其他事项：</w:t>
      </w:r>
      <w:r>
        <w:rPr>
          <w:rFonts w:hint="eastAsia" w:ascii="宋体" w:hAnsi="宋体" w:eastAsia="宋体" w:cs="宋体"/>
          <w:color w:val="0A82E5"/>
          <w:sz w:val="24"/>
          <w:szCs w:val="24"/>
          <w:bdr w:val="none" w:color="auto" w:sz="0" w:space="0"/>
          <w:shd w:val="clear" w:fill="FFFFFF"/>
        </w:rPr>
        <w:t>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F06C7"/>
    <w:rsid w:val="7AAF06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2022-12-14T03:19:00Z</dcterms:created>
  <dc:creator>Administrator</dc:creator>
  <cp:lastModifiedBy>Administrator</cp:lastModifiedBy>
  <dcterms:modified xsi:type="dcterms:W3CDTF">2022-12-14T03:22:15Z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