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B4" w:rsidRPr="00B931B4" w:rsidRDefault="00B931B4" w:rsidP="00B931B4">
      <w:pPr>
        <w:keepNext/>
        <w:keepLines/>
        <w:spacing w:before="260" w:after="260" w:line="400" w:lineRule="exact"/>
        <w:ind w:firstLineChars="98" w:firstLine="236"/>
        <w:outlineLvl w:val="1"/>
        <w:rPr>
          <w:rFonts w:ascii="仿宋" w:eastAsia="仿宋" w:hAnsi="仿宋" w:cs="Times New Roman"/>
          <w:b/>
          <w:bCs/>
          <w:sz w:val="24"/>
          <w:szCs w:val="24"/>
        </w:rPr>
      </w:pPr>
      <w:r w:rsidRPr="00B931B4">
        <w:rPr>
          <w:rFonts w:ascii="仿宋" w:eastAsia="仿宋" w:hAnsi="仿宋" w:cs="Times New Roman" w:hint="eastAsia"/>
          <w:b/>
          <w:bCs/>
          <w:sz w:val="24"/>
          <w:szCs w:val="32"/>
        </w:rPr>
        <w:t>★</w:t>
      </w:r>
      <w:r w:rsidRPr="00B931B4">
        <w:rPr>
          <w:rFonts w:ascii="仿宋" w:eastAsia="仿宋" w:hAnsi="仿宋" w:cs="Times New Roman" w:hint="eastAsia"/>
          <w:b/>
          <w:bCs/>
          <w:sz w:val="24"/>
          <w:szCs w:val="24"/>
        </w:rPr>
        <w:t>一、维保清单</w:t>
      </w:r>
    </w:p>
    <w:p w:rsidR="00B931B4" w:rsidRPr="00B931B4" w:rsidRDefault="00B931B4" w:rsidP="00B931B4">
      <w:pPr>
        <w:spacing w:after="160" w:line="400" w:lineRule="exact"/>
        <w:ind w:firstLineChars="200" w:firstLine="480"/>
        <w:rPr>
          <w:rFonts w:ascii="仿宋" w:eastAsia="仿宋" w:hAnsi="仿宋" w:cs="Times New Roman"/>
          <w:bCs/>
          <w:sz w:val="24"/>
          <w:szCs w:val="24"/>
        </w:rPr>
      </w:pPr>
      <w:bookmarkStart w:id="0" w:name="_Toc217446095"/>
      <w:r w:rsidRPr="00B931B4">
        <w:rPr>
          <w:rFonts w:ascii="仿宋" w:eastAsia="仿宋" w:hAnsi="仿宋" w:cs="Times New Roman" w:hint="eastAsia"/>
          <w:bCs/>
          <w:sz w:val="24"/>
          <w:szCs w:val="24"/>
        </w:rPr>
        <w:t>本项目共</w:t>
      </w:r>
      <w:r w:rsidRPr="00B931B4">
        <w:rPr>
          <w:rFonts w:ascii="仿宋" w:eastAsia="仿宋" w:hAnsi="仿宋" w:cs="Times New Roman"/>
          <w:bCs/>
          <w:sz w:val="24"/>
          <w:szCs w:val="24"/>
        </w:rPr>
        <w:t>2</w:t>
      </w:r>
      <w:r w:rsidRPr="00B931B4">
        <w:rPr>
          <w:rFonts w:ascii="仿宋" w:eastAsia="仿宋" w:hAnsi="仿宋" w:cs="Times New Roman" w:hint="eastAsia"/>
          <w:bCs/>
          <w:sz w:val="24"/>
          <w:szCs w:val="24"/>
        </w:rPr>
        <w:t>个包，具体情况如下（所属行业不作为实质性要求）：</w:t>
      </w:r>
    </w:p>
    <w:p w:rsidR="00B931B4" w:rsidRPr="00B931B4" w:rsidRDefault="00B931B4" w:rsidP="00B931B4">
      <w:pPr>
        <w:spacing w:after="160" w:line="400" w:lineRule="exact"/>
        <w:ind w:firstLineChars="200" w:firstLine="482"/>
        <w:outlineLvl w:val="2"/>
        <w:rPr>
          <w:rFonts w:ascii="仿宋" w:eastAsia="仿宋" w:hAnsi="仿宋" w:cs="Times New Roman"/>
          <w:b/>
          <w:sz w:val="24"/>
          <w:szCs w:val="24"/>
        </w:rPr>
      </w:pPr>
      <w:r w:rsidRPr="00B931B4">
        <w:rPr>
          <w:rFonts w:ascii="仿宋" w:eastAsia="仿宋" w:hAnsi="仿宋" w:cs="Times New Roman" w:hint="eastAsia"/>
          <w:b/>
          <w:sz w:val="24"/>
          <w:szCs w:val="24"/>
        </w:rPr>
        <w:t>0</w:t>
      </w:r>
      <w:r w:rsidRPr="00B931B4">
        <w:rPr>
          <w:rFonts w:ascii="仿宋" w:eastAsia="仿宋" w:hAnsi="仿宋" w:cs="Times New Roman"/>
          <w:b/>
          <w:sz w:val="24"/>
          <w:szCs w:val="24"/>
        </w:rPr>
        <w:t>1</w:t>
      </w:r>
      <w:r w:rsidRPr="00B931B4">
        <w:rPr>
          <w:rFonts w:ascii="仿宋" w:eastAsia="仿宋" w:hAnsi="仿宋" w:cs="Times New Roman" w:hint="eastAsia"/>
          <w:b/>
          <w:sz w:val="24"/>
          <w:szCs w:val="24"/>
        </w:rPr>
        <w:t>包：</w:t>
      </w:r>
    </w:p>
    <w:tbl>
      <w:tblPr>
        <w:tblW w:w="522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1414"/>
        <w:gridCol w:w="1145"/>
        <w:gridCol w:w="1358"/>
        <w:gridCol w:w="998"/>
        <w:gridCol w:w="1341"/>
        <w:gridCol w:w="551"/>
        <w:gridCol w:w="690"/>
        <w:gridCol w:w="629"/>
      </w:tblGrid>
      <w:tr w:rsidR="00B931B4" w:rsidRPr="00B931B4" w:rsidTr="000E4E16">
        <w:trPr>
          <w:trHeight w:val="545"/>
        </w:trPr>
        <w:tc>
          <w:tcPr>
            <w:tcW w:w="310" w:type="pct"/>
            <w:vAlign w:val="center"/>
          </w:tcPr>
          <w:p w:rsidR="00B931B4" w:rsidRPr="00B931B4" w:rsidRDefault="00B931B4" w:rsidP="00B931B4">
            <w:pPr>
              <w:widowControl/>
              <w:jc w:val="center"/>
              <w:textAlignment w:val="center"/>
              <w:rPr>
                <w:rFonts w:ascii="仿宋" w:eastAsia="仿宋" w:hAnsi="仿宋" w:cs="宋体"/>
                <w:kern w:val="0"/>
                <w:sz w:val="24"/>
                <w:szCs w:val="24"/>
              </w:rPr>
            </w:pPr>
            <w:r w:rsidRPr="00B931B4">
              <w:rPr>
                <w:rFonts w:ascii="仿宋" w:eastAsia="仿宋" w:hAnsi="仿宋" w:cs="宋体" w:hint="eastAsia"/>
                <w:kern w:val="0"/>
                <w:sz w:val="24"/>
                <w:szCs w:val="24"/>
              </w:rPr>
              <w:t>序号</w:t>
            </w:r>
          </w:p>
        </w:tc>
        <w:tc>
          <w:tcPr>
            <w:tcW w:w="815" w:type="pct"/>
            <w:vAlign w:val="center"/>
          </w:tcPr>
          <w:p w:rsidR="00B931B4" w:rsidRPr="00B931B4" w:rsidRDefault="00B931B4" w:rsidP="00B931B4">
            <w:pPr>
              <w:widowControl/>
              <w:jc w:val="center"/>
              <w:textAlignment w:val="center"/>
              <w:rPr>
                <w:rFonts w:ascii="仿宋" w:eastAsia="仿宋" w:hAnsi="仿宋" w:cs="宋体"/>
                <w:kern w:val="0"/>
                <w:sz w:val="24"/>
                <w:szCs w:val="24"/>
              </w:rPr>
            </w:pPr>
            <w:r w:rsidRPr="00B931B4">
              <w:rPr>
                <w:rFonts w:ascii="仿宋" w:eastAsia="仿宋" w:hAnsi="仿宋" w:cs="仿宋" w:hint="eastAsia"/>
                <w:sz w:val="24"/>
                <w:szCs w:val="24"/>
              </w:rPr>
              <w:t>标的名称</w:t>
            </w:r>
          </w:p>
        </w:tc>
        <w:tc>
          <w:tcPr>
            <w:tcW w:w="660" w:type="pct"/>
            <w:vAlign w:val="center"/>
          </w:tcPr>
          <w:p w:rsidR="00B931B4" w:rsidRPr="00B931B4" w:rsidRDefault="00B931B4" w:rsidP="00B931B4">
            <w:pPr>
              <w:widowControl/>
              <w:jc w:val="center"/>
              <w:textAlignment w:val="center"/>
              <w:rPr>
                <w:rFonts w:ascii="仿宋" w:eastAsia="仿宋" w:hAnsi="仿宋" w:cs="宋体"/>
                <w:kern w:val="0"/>
                <w:sz w:val="24"/>
                <w:szCs w:val="24"/>
              </w:rPr>
            </w:pPr>
            <w:r w:rsidRPr="00B931B4">
              <w:rPr>
                <w:rFonts w:ascii="仿宋" w:eastAsia="仿宋" w:hAnsi="仿宋" w:cs="仿宋" w:hint="eastAsia"/>
                <w:sz w:val="24"/>
                <w:szCs w:val="24"/>
              </w:rPr>
              <w:t>所属行业</w:t>
            </w:r>
          </w:p>
        </w:tc>
        <w:tc>
          <w:tcPr>
            <w:tcW w:w="783" w:type="pct"/>
            <w:shd w:val="clear" w:color="auto" w:fill="auto"/>
            <w:tcMar>
              <w:top w:w="15" w:type="dxa"/>
              <w:left w:w="15" w:type="dxa"/>
              <w:right w:w="15" w:type="dxa"/>
            </w:tcMar>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bCs/>
                <w:kern w:val="0"/>
                <w:sz w:val="24"/>
                <w:szCs w:val="24"/>
              </w:rPr>
              <w:t>维保设备名称</w:t>
            </w:r>
          </w:p>
        </w:tc>
        <w:tc>
          <w:tcPr>
            <w:tcW w:w="575" w:type="pct"/>
            <w:shd w:val="clear" w:color="auto" w:fill="auto"/>
            <w:tcMar>
              <w:top w:w="15" w:type="dxa"/>
              <w:left w:w="15" w:type="dxa"/>
              <w:right w:w="15" w:type="dxa"/>
            </w:tcMar>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rPr>
              <w:t>品牌</w:t>
            </w:r>
          </w:p>
        </w:tc>
        <w:tc>
          <w:tcPr>
            <w:tcW w:w="773" w:type="pct"/>
            <w:shd w:val="clear" w:color="auto" w:fill="auto"/>
            <w:tcMar>
              <w:top w:w="15" w:type="dxa"/>
              <w:left w:w="15" w:type="dxa"/>
              <w:right w:w="15" w:type="dxa"/>
            </w:tcMar>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rPr>
              <w:t>型号</w:t>
            </w:r>
          </w:p>
        </w:tc>
        <w:tc>
          <w:tcPr>
            <w:tcW w:w="318" w:type="pct"/>
            <w:shd w:val="clear" w:color="auto" w:fill="auto"/>
            <w:tcMar>
              <w:top w:w="15" w:type="dxa"/>
              <w:left w:w="15" w:type="dxa"/>
              <w:right w:w="15" w:type="dxa"/>
            </w:tcMar>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rPr>
              <w:t>安装时间</w:t>
            </w:r>
          </w:p>
        </w:tc>
        <w:tc>
          <w:tcPr>
            <w:tcW w:w="398" w:type="pct"/>
            <w:shd w:val="clear" w:color="auto" w:fill="auto"/>
            <w:tcMar>
              <w:top w:w="15" w:type="dxa"/>
              <w:left w:w="15" w:type="dxa"/>
              <w:right w:w="15" w:type="dxa"/>
            </w:tcMar>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rPr>
              <w:t>使用年限</w:t>
            </w:r>
          </w:p>
        </w:tc>
        <w:tc>
          <w:tcPr>
            <w:tcW w:w="363" w:type="pct"/>
            <w:shd w:val="clear" w:color="auto" w:fill="auto"/>
            <w:tcMar>
              <w:top w:w="15" w:type="dxa"/>
              <w:left w:w="15" w:type="dxa"/>
              <w:right w:w="15" w:type="dxa"/>
            </w:tcMar>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rPr>
              <w:t>数量</w:t>
            </w:r>
          </w:p>
        </w:tc>
      </w:tr>
      <w:tr w:rsidR="00B931B4" w:rsidRPr="00B931B4" w:rsidTr="000E4E16">
        <w:trPr>
          <w:trHeight w:val="502"/>
        </w:trPr>
        <w:tc>
          <w:tcPr>
            <w:tcW w:w="310" w:type="pct"/>
            <w:vAlign w:val="center"/>
          </w:tcPr>
          <w:p w:rsidR="00B931B4" w:rsidRPr="00B931B4" w:rsidRDefault="00B931B4" w:rsidP="00B931B4">
            <w:pPr>
              <w:jc w:val="center"/>
              <w:rPr>
                <w:rFonts w:ascii="仿宋" w:eastAsia="仿宋" w:hAnsi="仿宋" w:cs="仿宋"/>
                <w:bCs/>
                <w:sz w:val="24"/>
                <w:szCs w:val="24"/>
              </w:rPr>
            </w:pPr>
            <w:r w:rsidRPr="00B931B4">
              <w:rPr>
                <w:rFonts w:ascii="仿宋" w:eastAsia="仿宋" w:hAnsi="仿宋" w:cs="仿宋" w:hint="eastAsia"/>
                <w:bCs/>
                <w:sz w:val="24"/>
                <w:szCs w:val="24"/>
              </w:rPr>
              <w:t>1</w:t>
            </w:r>
          </w:p>
        </w:tc>
        <w:tc>
          <w:tcPr>
            <w:tcW w:w="815" w:type="pct"/>
            <w:vAlign w:val="center"/>
          </w:tcPr>
          <w:p w:rsidR="00B931B4" w:rsidRPr="00B931B4" w:rsidRDefault="00B931B4" w:rsidP="00B931B4">
            <w:pPr>
              <w:jc w:val="center"/>
              <w:rPr>
                <w:rFonts w:ascii="仿宋" w:eastAsia="仿宋" w:hAnsi="仿宋" w:cs="仿宋"/>
                <w:bCs/>
                <w:sz w:val="24"/>
                <w:szCs w:val="24"/>
              </w:rPr>
            </w:pPr>
            <w:r w:rsidRPr="00B931B4">
              <w:rPr>
                <w:rFonts w:ascii="仿宋" w:eastAsia="仿宋" w:hAnsi="仿宋" w:cs="仿宋" w:hint="eastAsia"/>
                <w:bCs/>
                <w:sz w:val="24"/>
                <w:szCs w:val="24"/>
              </w:rPr>
              <w:t>激光和脉冲光工作站维保服务</w:t>
            </w:r>
          </w:p>
        </w:tc>
        <w:tc>
          <w:tcPr>
            <w:tcW w:w="660" w:type="pct"/>
            <w:vAlign w:val="center"/>
          </w:tcPr>
          <w:p w:rsidR="00B931B4" w:rsidRPr="00B931B4" w:rsidRDefault="00B931B4" w:rsidP="00B931B4">
            <w:pPr>
              <w:jc w:val="center"/>
              <w:rPr>
                <w:rFonts w:ascii="仿宋" w:eastAsia="仿宋" w:hAnsi="仿宋" w:cs="仿宋"/>
                <w:bCs/>
                <w:sz w:val="24"/>
                <w:szCs w:val="24"/>
              </w:rPr>
            </w:pPr>
            <w:r w:rsidRPr="00B931B4">
              <w:rPr>
                <w:rFonts w:ascii="仿宋" w:eastAsia="仿宋" w:hAnsi="仿宋" w:cs="仿宋" w:hint="eastAsia"/>
                <w:bCs/>
                <w:sz w:val="24"/>
                <w:szCs w:val="24"/>
              </w:rPr>
              <w:t>其他未列明行业</w:t>
            </w:r>
          </w:p>
        </w:tc>
        <w:tc>
          <w:tcPr>
            <w:tcW w:w="783" w:type="pct"/>
            <w:shd w:val="clear" w:color="auto" w:fill="auto"/>
            <w:tcMar>
              <w:top w:w="15" w:type="dxa"/>
              <w:left w:w="15" w:type="dxa"/>
              <w:right w:w="15" w:type="dxa"/>
            </w:tcMar>
            <w:vAlign w:val="center"/>
          </w:tcPr>
          <w:p w:rsidR="00B931B4" w:rsidRPr="00B931B4" w:rsidRDefault="00B931B4" w:rsidP="00B931B4">
            <w:pPr>
              <w:jc w:val="center"/>
              <w:rPr>
                <w:rFonts w:ascii="仿宋" w:eastAsia="仿宋" w:hAnsi="仿宋" w:cs="宋体"/>
                <w:sz w:val="24"/>
                <w:szCs w:val="24"/>
              </w:rPr>
            </w:pPr>
            <w:r w:rsidRPr="00B931B4">
              <w:rPr>
                <w:rFonts w:ascii="仿宋" w:eastAsia="仿宋" w:hAnsi="仿宋" w:cs="仿宋" w:hint="eastAsia"/>
                <w:bCs/>
                <w:sz w:val="24"/>
                <w:szCs w:val="24"/>
              </w:rPr>
              <w:t>激光和脉冲光工作站</w:t>
            </w:r>
          </w:p>
        </w:tc>
        <w:tc>
          <w:tcPr>
            <w:tcW w:w="575" w:type="pct"/>
            <w:shd w:val="clear" w:color="auto" w:fill="auto"/>
            <w:tcMar>
              <w:top w:w="15" w:type="dxa"/>
              <w:left w:w="15" w:type="dxa"/>
              <w:right w:w="15" w:type="dxa"/>
            </w:tcMar>
            <w:vAlign w:val="center"/>
          </w:tcPr>
          <w:p w:rsidR="00B931B4" w:rsidRPr="00B931B4" w:rsidRDefault="00B931B4" w:rsidP="00B931B4">
            <w:pPr>
              <w:jc w:val="center"/>
              <w:rPr>
                <w:rFonts w:ascii="仿宋" w:eastAsia="仿宋" w:hAnsi="仿宋" w:cs="宋体"/>
                <w:sz w:val="24"/>
                <w:szCs w:val="24"/>
              </w:rPr>
            </w:pPr>
            <w:r w:rsidRPr="00B931B4">
              <w:rPr>
                <w:rFonts w:ascii="仿宋" w:eastAsia="仿宋" w:hAnsi="仿宋" w:cs="宋体" w:hint="eastAsia"/>
                <w:sz w:val="24"/>
                <w:szCs w:val="24"/>
              </w:rPr>
              <w:t>以色列飞</w:t>
            </w:r>
            <w:bookmarkStart w:id="1" w:name="_GoBack"/>
            <w:bookmarkEnd w:id="1"/>
            <w:r w:rsidRPr="00B931B4">
              <w:rPr>
                <w:rFonts w:ascii="仿宋" w:eastAsia="仿宋" w:hAnsi="仿宋" w:cs="宋体" w:hint="eastAsia"/>
                <w:sz w:val="24"/>
                <w:szCs w:val="24"/>
              </w:rPr>
              <w:t>顿（Alma）</w:t>
            </w:r>
          </w:p>
        </w:tc>
        <w:tc>
          <w:tcPr>
            <w:tcW w:w="773" w:type="pct"/>
            <w:shd w:val="clear" w:color="auto" w:fill="auto"/>
            <w:tcMar>
              <w:top w:w="15" w:type="dxa"/>
              <w:left w:w="15" w:type="dxa"/>
              <w:right w:w="15" w:type="dxa"/>
            </w:tcMar>
            <w:vAlign w:val="center"/>
          </w:tcPr>
          <w:p w:rsidR="00B931B4" w:rsidRPr="00B931B4" w:rsidRDefault="00B931B4" w:rsidP="00B931B4">
            <w:pPr>
              <w:jc w:val="center"/>
              <w:rPr>
                <w:rFonts w:ascii="仿宋" w:eastAsia="仿宋" w:hAnsi="仿宋" w:cs="宋体"/>
                <w:sz w:val="24"/>
                <w:szCs w:val="24"/>
              </w:rPr>
            </w:pPr>
            <w:r w:rsidRPr="00B931B4">
              <w:rPr>
                <w:rFonts w:ascii="仿宋" w:eastAsia="仿宋" w:hAnsi="仿宋" w:cs="宋体"/>
                <w:sz w:val="24"/>
                <w:szCs w:val="24"/>
              </w:rPr>
              <w:t>Harmony XL</w:t>
            </w:r>
          </w:p>
        </w:tc>
        <w:tc>
          <w:tcPr>
            <w:tcW w:w="318" w:type="pct"/>
            <w:shd w:val="clear" w:color="auto" w:fill="auto"/>
            <w:tcMar>
              <w:top w:w="15" w:type="dxa"/>
              <w:left w:w="15" w:type="dxa"/>
              <w:right w:w="15" w:type="dxa"/>
            </w:tcMar>
            <w:vAlign w:val="center"/>
          </w:tcPr>
          <w:p w:rsidR="00B931B4" w:rsidRPr="00B931B4" w:rsidRDefault="00B931B4" w:rsidP="00B931B4">
            <w:pPr>
              <w:jc w:val="center"/>
              <w:rPr>
                <w:rFonts w:ascii="仿宋" w:eastAsia="仿宋" w:hAnsi="仿宋" w:cs="宋体"/>
                <w:sz w:val="24"/>
                <w:szCs w:val="24"/>
              </w:rPr>
            </w:pPr>
            <w:r w:rsidRPr="00B931B4">
              <w:rPr>
                <w:rFonts w:ascii="仿宋" w:eastAsia="仿宋" w:hAnsi="仿宋" w:cs="宋体" w:hint="eastAsia"/>
                <w:sz w:val="24"/>
                <w:szCs w:val="24"/>
              </w:rPr>
              <w:t>2</w:t>
            </w:r>
            <w:r w:rsidRPr="00B931B4">
              <w:rPr>
                <w:rFonts w:ascii="仿宋" w:eastAsia="仿宋" w:hAnsi="仿宋" w:cs="宋体"/>
                <w:sz w:val="24"/>
                <w:szCs w:val="24"/>
              </w:rPr>
              <w:t>013</w:t>
            </w:r>
            <w:r w:rsidRPr="00B931B4">
              <w:rPr>
                <w:rFonts w:ascii="仿宋" w:eastAsia="仿宋" w:hAnsi="仿宋" w:cs="宋体" w:hint="eastAsia"/>
                <w:sz w:val="24"/>
                <w:szCs w:val="24"/>
              </w:rPr>
              <w:t>-</w:t>
            </w:r>
            <w:r w:rsidRPr="00B931B4">
              <w:rPr>
                <w:rFonts w:ascii="仿宋" w:eastAsia="仿宋" w:hAnsi="仿宋" w:cs="宋体"/>
                <w:sz w:val="24"/>
                <w:szCs w:val="24"/>
              </w:rPr>
              <w:t>1</w:t>
            </w:r>
          </w:p>
        </w:tc>
        <w:tc>
          <w:tcPr>
            <w:tcW w:w="398" w:type="pct"/>
            <w:shd w:val="clear" w:color="auto" w:fill="auto"/>
            <w:tcMar>
              <w:top w:w="15" w:type="dxa"/>
              <w:left w:w="15" w:type="dxa"/>
              <w:right w:w="15" w:type="dxa"/>
            </w:tcMar>
            <w:vAlign w:val="center"/>
          </w:tcPr>
          <w:p w:rsidR="00B931B4" w:rsidRPr="00B931B4" w:rsidRDefault="00B931B4" w:rsidP="00B931B4">
            <w:pPr>
              <w:jc w:val="center"/>
              <w:rPr>
                <w:rFonts w:ascii="仿宋" w:eastAsia="仿宋" w:hAnsi="仿宋" w:cs="宋体"/>
                <w:sz w:val="24"/>
                <w:szCs w:val="24"/>
              </w:rPr>
            </w:pPr>
            <w:r w:rsidRPr="00B931B4">
              <w:rPr>
                <w:rFonts w:ascii="仿宋" w:eastAsia="仿宋" w:hAnsi="仿宋" w:cs="宋体" w:hint="eastAsia"/>
                <w:sz w:val="24"/>
                <w:szCs w:val="24"/>
              </w:rPr>
              <w:t>9</w:t>
            </w:r>
          </w:p>
        </w:tc>
        <w:tc>
          <w:tcPr>
            <w:tcW w:w="363" w:type="pct"/>
            <w:shd w:val="clear" w:color="auto" w:fill="auto"/>
            <w:tcMar>
              <w:top w:w="15" w:type="dxa"/>
              <w:left w:w="15" w:type="dxa"/>
              <w:right w:w="15" w:type="dxa"/>
            </w:tcMar>
            <w:vAlign w:val="center"/>
          </w:tcPr>
          <w:p w:rsidR="00B931B4" w:rsidRPr="00B931B4" w:rsidRDefault="00B931B4" w:rsidP="00B931B4">
            <w:pPr>
              <w:jc w:val="center"/>
              <w:rPr>
                <w:rFonts w:ascii="仿宋" w:eastAsia="仿宋" w:hAnsi="仿宋" w:cs="宋体"/>
                <w:sz w:val="24"/>
                <w:szCs w:val="24"/>
              </w:rPr>
            </w:pPr>
            <w:r w:rsidRPr="00B931B4">
              <w:rPr>
                <w:rFonts w:ascii="仿宋" w:eastAsia="仿宋" w:hAnsi="仿宋" w:cs="宋体" w:hint="eastAsia"/>
                <w:sz w:val="24"/>
                <w:szCs w:val="24"/>
              </w:rPr>
              <w:t>1</w:t>
            </w:r>
          </w:p>
        </w:tc>
      </w:tr>
    </w:tbl>
    <w:p w:rsidR="00B931B4" w:rsidRPr="00B931B4" w:rsidRDefault="00B931B4" w:rsidP="00B931B4">
      <w:pPr>
        <w:spacing w:after="160" w:line="400" w:lineRule="exact"/>
        <w:ind w:firstLineChars="200" w:firstLine="482"/>
        <w:outlineLvl w:val="2"/>
        <w:rPr>
          <w:rFonts w:ascii="仿宋" w:eastAsia="仿宋" w:hAnsi="仿宋" w:cs="Times New Roman"/>
          <w:b/>
          <w:sz w:val="24"/>
          <w:szCs w:val="24"/>
        </w:rPr>
      </w:pPr>
      <w:r w:rsidRPr="00B931B4">
        <w:rPr>
          <w:rFonts w:ascii="仿宋" w:eastAsia="仿宋" w:hAnsi="仿宋" w:cs="Times New Roman" w:hint="eastAsia"/>
          <w:b/>
          <w:sz w:val="24"/>
          <w:szCs w:val="24"/>
        </w:rPr>
        <w:t>0</w:t>
      </w:r>
      <w:r w:rsidRPr="00B931B4">
        <w:rPr>
          <w:rFonts w:ascii="仿宋" w:eastAsia="仿宋" w:hAnsi="仿宋" w:cs="Times New Roman"/>
          <w:b/>
          <w:sz w:val="24"/>
          <w:szCs w:val="24"/>
        </w:rPr>
        <w:t>2</w:t>
      </w:r>
      <w:r w:rsidRPr="00B931B4">
        <w:rPr>
          <w:rFonts w:ascii="仿宋" w:eastAsia="仿宋" w:hAnsi="仿宋" w:cs="Times New Roman" w:hint="eastAsia"/>
          <w:b/>
          <w:sz w:val="24"/>
          <w:szCs w:val="24"/>
        </w:rPr>
        <w:t>包：</w:t>
      </w:r>
    </w:p>
    <w:tbl>
      <w:tblPr>
        <w:tblW w:w="5326" w:type="pct"/>
        <w:tblLayout w:type="fixed"/>
        <w:tblLook w:val="04A0" w:firstRow="1" w:lastRow="0" w:firstColumn="1" w:lastColumn="0" w:noHBand="0" w:noVBand="1"/>
      </w:tblPr>
      <w:tblGrid>
        <w:gridCol w:w="444"/>
        <w:gridCol w:w="1105"/>
        <w:gridCol w:w="765"/>
        <w:gridCol w:w="3040"/>
        <w:gridCol w:w="710"/>
        <w:gridCol w:w="1202"/>
        <w:gridCol w:w="1571"/>
      </w:tblGrid>
      <w:tr w:rsidR="00B931B4" w:rsidRPr="00B931B4" w:rsidTr="000E4E16">
        <w:trPr>
          <w:trHeight w:val="510"/>
        </w:trPr>
        <w:tc>
          <w:tcPr>
            <w:tcW w:w="251" w:type="pct"/>
            <w:tcBorders>
              <w:top w:val="single" w:sz="4" w:space="0" w:color="000000"/>
              <w:left w:val="single" w:sz="4" w:space="0" w:color="000000"/>
              <w:bottom w:val="single" w:sz="4" w:space="0" w:color="000000"/>
              <w:right w:val="single" w:sz="4" w:space="0" w:color="000000"/>
            </w:tcBorders>
            <w:vAlign w:val="center"/>
          </w:tcPr>
          <w:p w:rsidR="00B931B4" w:rsidRPr="00B931B4" w:rsidRDefault="00B931B4" w:rsidP="00B931B4">
            <w:pPr>
              <w:widowControl/>
              <w:jc w:val="center"/>
              <w:textAlignment w:val="center"/>
              <w:rPr>
                <w:rFonts w:ascii="仿宋" w:eastAsia="仿宋" w:hAnsi="仿宋" w:cs="宋体"/>
                <w:kern w:val="0"/>
                <w:sz w:val="24"/>
                <w:szCs w:val="24"/>
                <w:lang w:bidi="ar"/>
              </w:rPr>
            </w:pPr>
            <w:bookmarkStart w:id="2" w:name="_Hlk117617726"/>
            <w:r w:rsidRPr="00B931B4">
              <w:rPr>
                <w:rFonts w:ascii="仿宋" w:eastAsia="仿宋" w:hAnsi="仿宋" w:cs="宋体" w:hint="eastAsia"/>
                <w:kern w:val="0"/>
                <w:sz w:val="24"/>
                <w:szCs w:val="24"/>
              </w:rPr>
              <w:t>序号</w:t>
            </w:r>
          </w:p>
        </w:tc>
        <w:tc>
          <w:tcPr>
            <w:tcW w:w="625" w:type="pct"/>
            <w:tcBorders>
              <w:top w:val="single" w:sz="4" w:space="0" w:color="000000"/>
              <w:left w:val="single" w:sz="4" w:space="0" w:color="000000"/>
              <w:bottom w:val="single" w:sz="4" w:space="0" w:color="000000"/>
              <w:right w:val="single" w:sz="4" w:space="0" w:color="000000"/>
            </w:tcBorders>
            <w:vAlign w:val="center"/>
          </w:tcPr>
          <w:p w:rsidR="00B931B4" w:rsidRPr="00B931B4" w:rsidRDefault="00B931B4" w:rsidP="00B931B4">
            <w:pPr>
              <w:widowControl/>
              <w:jc w:val="center"/>
              <w:textAlignment w:val="center"/>
              <w:rPr>
                <w:rFonts w:ascii="仿宋" w:eastAsia="仿宋" w:hAnsi="仿宋" w:cs="宋体"/>
                <w:kern w:val="0"/>
                <w:sz w:val="24"/>
                <w:szCs w:val="24"/>
                <w:lang w:bidi="ar"/>
              </w:rPr>
            </w:pPr>
            <w:r w:rsidRPr="00B931B4">
              <w:rPr>
                <w:rFonts w:ascii="仿宋" w:eastAsia="仿宋" w:hAnsi="仿宋" w:cs="仿宋" w:hint="eastAsia"/>
                <w:sz w:val="24"/>
                <w:szCs w:val="24"/>
              </w:rPr>
              <w:t>标的名称</w:t>
            </w:r>
          </w:p>
        </w:tc>
        <w:tc>
          <w:tcPr>
            <w:tcW w:w="433" w:type="pct"/>
            <w:tcBorders>
              <w:top w:val="single" w:sz="4" w:space="0" w:color="000000"/>
              <w:left w:val="single" w:sz="4" w:space="0" w:color="000000"/>
              <w:bottom w:val="single" w:sz="4" w:space="0" w:color="000000"/>
              <w:right w:val="single" w:sz="4" w:space="0" w:color="000000"/>
            </w:tcBorders>
            <w:vAlign w:val="center"/>
          </w:tcPr>
          <w:p w:rsidR="00B931B4" w:rsidRPr="00B931B4" w:rsidRDefault="00B931B4" w:rsidP="00B931B4">
            <w:pPr>
              <w:widowControl/>
              <w:jc w:val="center"/>
              <w:textAlignment w:val="center"/>
              <w:rPr>
                <w:rFonts w:ascii="仿宋" w:eastAsia="仿宋" w:hAnsi="仿宋" w:cs="宋体"/>
                <w:kern w:val="0"/>
                <w:sz w:val="24"/>
                <w:szCs w:val="24"/>
                <w:lang w:bidi="ar"/>
              </w:rPr>
            </w:pPr>
            <w:r w:rsidRPr="00B931B4">
              <w:rPr>
                <w:rFonts w:ascii="仿宋" w:eastAsia="仿宋" w:hAnsi="仿宋" w:cs="仿宋" w:hint="eastAsia"/>
                <w:sz w:val="24"/>
                <w:szCs w:val="24"/>
              </w:rPr>
              <w:t>所属行业</w:t>
            </w:r>
          </w:p>
        </w:tc>
        <w:tc>
          <w:tcPr>
            <w:tcW w:w="17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制造厂商</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类型</w:t>
            </w: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型号</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数量（张）</w:t>
            </w:r>
          </w:p>
        </w:tc>
      </w:tr>
      <w:tr w:rsidR="00B931B4" w:rsidRPr="00B931B4" w:rsidTr="000E4E16">
        <w:trPr>
          <w:trHeight w:val="510"/>
        </w:trPr>
        <w:tc>
          <w:tcPr>
            <w:tcW w:w="251" w:type="pct"/>
            <w:vMerge w:val="restart"/>
            <w:tcBorders>
              <w:top w:val="single" w:sz="4" w:space="0" w:color="000000"/>
              <w:left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r w:rsidRPr="00B931B4">
              <w:rPr>
                <w:rFonts w:ascii="仿宋" w:eastAsia="仿宋" w:hAnsi="仿宋" w:cs="宋体"/>
                <w:kern w:val="0"/>
                <w:sz w:val="24"/>
                <w:szCs w:val="24"/>
                <w:lang w:bidi="ar"/>
              </w:rPr>
              <w:t>1</w:t>
            </w:r>
          </w:p>
        </w:tc>
        <w:tc>
          <w:tcPr>
            <w:tcW w:w="625" w:type="pct"/>
            <w:vMerge w:val="restart"/>
            <w:tcBorders>
              <w:top w:val="single" w:sz="4" w:space="0" w:color="000000"/>
              <w:left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r w:rsidRPr="00B931B4">
              <w:rPr>
                <w:rFonts w:ascii="仿宋" w:eastAsia="仿宋" w:hAnsi="仿宋" w:cs="宋体" w:hint="eastAsia"/>
                <w:kern w:val="0"/>
                <w:sz w:val="24"/>
                <w:szCs w:val="24"/>
                <w:lang w:bidi="ar"/>
              </w:rPr>
              <w:t>东院病床2022年度人工服务</w:t>
            </w:r>
          </w:p>
        </w:tc>
        <w:tc>
          <w:tcPr>
            <w:tcW w:w="433" w:type="pct"/>
            <w:vMerge w:val="restart"/>
            <w:tcBorders>
              <w:top w:val="single" w:sz="4" w:space="0" w:color="000000"/>
              <w:left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r w:rsidRPr="00B931B4">
              <w:rPr>
                <w:rFonts w:ascii="仿宋" w:eastAsia="仿宋" w:hAnsi="仿宋" w:cs="宋体" w:hint="eastAsia"/>
                <w:kern w:val="0"/>
                <w:sz w:val="24"/>
                <w:szCs w:val="24"/>
                <w:lang w:bidi="ar"/>
              </w:rPr>
              <w:t>其他未列明行业</w:t>
            </w:r>
          </w:p>
        </w:tc>
        <w:tc>
          <w:tcPr>
            <w:tcW w:w="17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四川港通医疗设备有限公司</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病床</w:t>
            </w: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一摇二折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ind w:right="720"/>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502</w:t>
            </w:r>
          </w:p>
        </w:tc>
      </w:tr>
      <w:tr w:rsidR="00B931B4" w:rsidRPr="00B931B4" w:rsidTr="000E4E16">
        <w:trPr>
          <w:trHeight w:val="510"/>
        </w:trPr>
        <w:tc>
          <w:tcPr>
            <w:tcW w:w="251" w:type="pct"/>
            <w:vMerge/>
            <w:tcBorders>
              <w:left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p>
        </w:tc>
        <w:tc>
          <w:tcPr>
            <w:tcW w:w="625" w:type="pct"/>
            <w:vMerge/>
            <w:tcBorders>
              <w:left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p>
        </w:tc>
        <w:tc>
          <w:tcPr>
            <w:tcW w:w="433" w:type="pct"/>
            <w:vMerge/>
            <w:tcBorders>
              <w:left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武汉江汉医疗制药设备有限公司</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病床</w:t>
            </w:r>
          </w:p>
        </w:tc>
        <w:tc>
          <w:tcPr>
            <w:tcW w:w="6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三摇三折</w:t>
            </w:r>
          </w:p>
        </w:tc>
        <w:tc>
          <w:tcPr>
            <w:tcW w:w="8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ind w:right="480"/>
              <w:jc w:val="center"/>
              <w:textAlignment w:val="center"/>
              <w:rPr>
                <w:rFonts w:ascii="仿宋" w:eastAsia="仿宋" w:hAnsi="仿宋" w:cs="宋体"/>
                <w:sz w:val="24"/>
                <w:szCs w:val="24"/>
              </w:rPr>
            </w:pPr>
            <w:r w:rsidRPr="00B931B4">
              <w:rPr>
                <w:rFonts w:ascii="仿宋" w:eastAsia="仿宋" w:hAnsi="仿宋" w:cs="宋体" w:hint="eastAsia"/>
                <w:sz w:val="24"/>
                <w:szCs w:val="24"/>
              </w:rPr>
              <w:t>81</w:t>
            </w:r>
          </w:p>
        </w:tc>
      </w:tr>
      <w:tr w:rsidR="00B931B4" w:rsidRPr="00B931B4" w:rsidTr="000E4E16">
        <w:trPr>
          <w:trHeight w:val="440"/>
        </w:trPr>
        <w:tc>
          <w:tcPr>
            <w:tcW w:w="251" w:type="pct"/>
            <w:vMerge/>
            <w:tcBorders>
              <w:left w:val="single" w:sz="4" w:space="0" w:color="000000"/>
              <w:bottom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p>
        </w:tc>
        <w:tc>
          <w:tcPr>
            <w:tcW w:w="625" w:type="pct"/>
            <w:vMerge/>
            <w:tcBorders>
              <w:left w:val="single" w:sz="4" w:space="0" w:color="000000"/>
              <w:bottom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p>
        </w:tc>
        <w:tc>
          <w:tcPr>
            <w:tcW w:w="433" w:type="pct"/>
            <w:vMerge/>
            <w:tcBorders>
              <w:left w:val="single" w:sz="4" w:space="0" w:color="000000"/>
              <w:bottom w:val="single" w:sz="4" w:space="0" w:color="000000"/>
              <w:right w:val="single" w:sz="4" w:space="0" w:color="000000"/>
            </w:tcBorders>
          </w:tcPr>
          <w:p w:rsidR="00B931B4" w:rsidRPr="00B931B4" w:rsidRDefault="00B931B4" w:rsidP="00B931B4">
            <w:pPr>
              <w:widowControl/>
              <w:jc w:val="center"/>
              <w:textAlignment w:val="center"/>
              <w:rPr>
                <w:rFonts w:ascii="仿宋" w:eastAsia="仿宋" w:hAnsi="仿宋" w:cs="宋体"/>
                <w:kern w:val="0"/>
                <w:sz w:val="24"/>
                <w:szCs w:val="24"/>
                <w:lang w:bidi="ar"/>
              </w:rPr>
            </w:pPr>
          </w:p>
        </w:tc>
        <w:tc>
          <w:tcPr>
            <w:tcW w:w="17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其它维修项目</w:t>
            </w:r>
          </w:p>
        </w:tc>
        <w:tc>
          <w:tcPr>
            <w:tcW w:w="197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931B4" w:rsidRPr="00B931B4" w:rsidRDefault="00B931B4" w:rsidP="00B931B4">
            <w:pPr>
              <w:widowControl/>
              <w:jc w:val="center"/>
              <w:textAlignment w:val="center"/>
              <w:rPr>
                <w:rFonts w:ascii="仿宋" w:eastAsia="仿宋" w:hAnsi="仿宋" w:cs="宋体"/>
                <w:sz w:val="24"/>
                <w:szCs w:val="24"/>
              </w:rPr>
            </w:pPr>
            <w:r w:rsidRPr="00B931B4">
              <w:rPr>
                <w:rFonts w:ascii="仿宋" w:eastAsia="仿宋" w:hAnsi="仿宋" w:cs="宋体" w:hint="eastAsia"/>
                <w:kern w:val="0"/>
                <w:sz w:val="24"/>
                <w:szCs w:val="24"/>
                <w:lang w:bidi="ar"/>
              </w:rPr>
              <w:t>协助维修中心机械类设备的维修</w:t>
            </w:r>
          </w:p>
        </w:tc>
      </w:tr>
    </w:tbl>
    <w:bookmarkEnd w:id="2"/>
    <w:p w:rsidR="00B931B4" w:rsidRPr="00B931B4" w:rsidRDefault="00B931B4" w:rsidP="00B931B4">
      <w:pPr>
        <w:keepNext/>
        <w:keepLines/>
        <w:spacing w:before="260" w:after="260" w:line="400" w:lineRule="exact"/>
        <w:ind w:firstLineChars="98" w:firstLine="236"/>
        <w:outlineLvl w:val="1"/>
        <w:rPr>
          <w:rFonts w:ascii="仿宋" w:eastAsia="仿宋" w:hAnsi="仿宋" w:cs="Times New Roman"/>
          <w:b/>
          <w:bCs/>
          <w:sz w:val="24"/>
          <w:szCs w:val="24"/>
        </w:rPr>
      </w:pPr>
      <w:r w:rsidRPr="00B931B4">
        <w:rPr>
          <w:rFonts w:ascii="仿宋" w:eastAsia="仿宋" w:hAnsi="仿宋" w:cs="Times New Roman" w:hint="eastAsia"/>
          <w:b/>
          <w:bCs/>
          <w:sz w:val="24"/>
          <w:szCs w:val="24"/>
        </w:rPr>
        <w:t>★二、</w:t>
      </w:r>
      <w:r w:rsidRPr="00B931B4">
        <w:rPr>
          <w:rFonts w:ascii="仿宋" w:eastAsia="仿宋" w:hAnsi="仿宋" w:cs="Times New Roman"/>
          <w:b/>
          <w:bCs/>
          <w:sz w:val="24"/>
          <w:szCs w:val="24"/>
        </w:rPr>
        <w:t xml:space="preserve"> </w:t>
      </w:r>
      <w:r w:rsidRPr="00B931B4">
        <w:rPr>
          <w:rFonts w:ascii="仿宋" w:eastAsia="仿宋" w:hAnsi="仿宋" w:cs="Times New Roman" w:hint="eastAsia"/>
          <w:b/>
          <w:bCs/>
          <w:sz w:val="24"/>
          <w:szCs w:val="24"/>
        </w:rPr>
        <w:t>商务要求</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1.付款方式： 由采购人统一支付，中标人须在合同签订生效之日起的 7 个工作日内，按招标文件</w:t>
      </w:r>
      <w:r w:rsidRPr="00B931B4">
        <w:rPr>
          <w:rFonts w:ascii="仿宋" w:eastAsia="仿宋" w:hAnsi="仿宋" w:cs="Times New Roman"/>
          <w:sz w:val="24"/>
          <w:szCs w:val="24"/>
        </w:rPr>
        <w:t>第二章</w:t>
      </w:r>
      <w:r w:rsidRPr="00B931B4">
        <w:rPr>
          <w:rFonts w:ascii="仿宋" w:eastAsia="仿宋" w:hAnsi="仿宋" w:cs="Times New Roman" w:hint="eastAsia"/>
          <w:sz w:val="24"/>
          <w:szCs w:val="24"/>
        </w:rPr>
        <w:t>“投标人须知附表”中</w:t>
      </w:r>
      <w:r w:rsidRPr="00B931B4">
        <w:rPr>
          <w:rFonts w:ascii="仿宋" w:eastAsia="仿宋" w:hAnsi="仿宋" w:cs="Times New Roman"/>
          <w:sz w:val="24"/>
          <w:szCs w:val="24"/>
        </w:rPr>
        <w:t>的约定</w:t>
      </w:r>
      <w:r w:rsidRPr="00B931B4">
        <w:rPr>
          <w:rFonts w:ascii="仿宋" w:eastAsia="仿宋" w:hAnsi="仿宋" w:cs="Times New Roman" w:hint="eastAsia"/>
          <w:sz w:val="24"/>
          <w:szCs w:val="24"/>
        </w:rPr>
        <w:t>支付履约保证金，中标人须向采购人出具合法有效完整的完税发票及凭证资料进行支付结算，采购人支付合同总价的 100%款项给中标人。</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2.履约保证金的退还：合同服务期限到期后，采购人接到中标人付款申请后 30 个工作日内，采购人一次性无息退还中标人的履约保证金。</w:t>
      </w:r>
    </w:p>
    <w:p w:rsidR="00B931B4" w:rsidRPr="00B931B4" w:rsidRDefault="00B931B4" w:rsidP="00B931B4">
      <w:pPr>
        <w:spacing w:after="160" w:line="500" w:lineRule="exact"/>
        <w:ind w:firstLineChars="200" w:firstLine="480"/>
        <w:rPr>
          <w:rFonts w:ascii="仿宋" w:eastAsia="仿宋" w:hAnsi="仿宋" w:cs="Times New Roman"/>
          <w:bCs/>
          <w:sz w:val="24"/>
          <w:szCs w:val="24"/>
        </w:rPr>
      </w:pPr>
      <w:r w:rsidRPr="00B931B4">
        <w:rPr>
          <w:rFonts w:ascii="仿宋" w:eastAsia="仿宋" w:hAnsi="仿宋" w:cs="Times New Roman"/>
          <w:bCs/>
          <w:sz w:val="24"/>
          <w:szCs w:val="24"/>
        </w:rPr>
        <w:t>3</w:t>
      </w:r>
      <w:r w:rsidRPr="00B931B4">
        <w:rPr>
          <w:rFonts w:ascii="仿宋" w:eastAsia="仿宋" w:hAnsi="仿宋" w:cs="Times New Roman" w:hint="eastAsia"/>
          <w:bCs/>
          <w:sz w:val="24"/>
          <w:szCs w:val="24"/>
        </w:rPr>
        <w:t>.维修保养服务年限：一年。</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4.服务地点：四川省人民医院。</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5.中标人须指派专人负责与采购人联系服务事宜。</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6.其他条件：若服务过程中服务内容涉及中标人需要提供的配件为医疗器械时，中标人需符合《医疗器械监督管理条例》，所提供的相关产品须符合《医疗器械注册与备案管理办法》，并向采购人提供中标人的医疗器械经营许可证、生</w:t>
      </w:r>
      <w:r w:rsidRPr="00B931B4">
        <w:rPr>
          <w:rFonts w:ascii="仿宋" w:eastAsia="仿宋" w:hAnsi="仿宋" w:cs="Times New Roman" w:hint="eastAsia"/>
          <w:sz w:val="24"/>
          <w:szCs w:val="24"/>
        </w:rPr>
        <w:lastRenderedPageBreak/>
        <w:t>产厂家的医疗器械生产许可证（或国家新颁发的有效证书）及产品注册证（或有效医疗器械备案凭证）。</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7.履约验收：按照《财政部关于进一步加强政府采购需求和履约验收管理的指导意见》</w:t>
      </w:r>
      <w:r w:rsidRPr="00B931B4">
        <w:rPr>
          <w:rFonts w:ascii="仿宋" w:eastAsia="仿宋" w:hAnsi="仿宋" w:cs="Times New Roman"/>
          <w:sz w:val="24"/>
          <w:szCs w:val="24"/>
        </w:rPr>
        <w:t>(</w:t>
      </w:r>
      <w:r w:rsidRPr="00B931B4">
        <w:rPr>
          <w:rFonts w:ascii="仿宋" w:eastAsia="仿宋" w:hAnsi="仿宋" w:cs="Times New Roman" w:hint="eastAsia"/>
          <w:sz w:val="24"/>
          <w:szCs w:val="24"/>
        </w:rPr>
        <w:t>财库〔</w:t>
      </w:r>
      <w:r w:rsidRPr="00B931B4">
        <w:rPr>
          <w:rFonts w:ascii="仿宋" w:eastAsia="仿宋" w:hAnsi="仿宋" w:cs="Times New Roman"/>
          <w:sz w:val="24"/>
          <w:szCs w:val="24"/>
        </w:rPr>
        <w:t>2016</w:t>
      </w:r>
      <w:r w:rsidRPr="00B931B4">
        <w:rPr>
          <w:rFonts w:ascii="仿宋" w:eastAsia="仿宋" w:hAnsi="仿宋" w:cs="Times New Roman" w:hint="eastAsia"/>
          <w:sz w:val="24"/>
          <w:szCs w:val="24"/>
        </w:rPr>
        <w:t>〕</w:t>
      </w:r>
      <w:r w:rsidRPr="00B931B4">
        <w:rPr>
          <w:rFonts w:ascii="仿宋" w:eastAsia="仿宋" w:hAnsi="仿宋" w:cs="Times New Roman"/>
          <w:sz w:val="24"/>
          <w:szCs w:val="24"/>
        </w:rPr>
        <w:t>205</w:t>
      </w:r>
      <w:r w:rsidRPr="00B931B4">
        <w:rPr>
          <w:rFonts w:ascii="仿宋" w:eastAsia="仿宋" w:hAnsi="仿宋" w:cs="Times New Roman" w:hint="eastAsia"/>
          <w:sz w:val="24"/>
          <w:szCs w:val="24"/>
        </w:rPr>
        <w:t>号</w:t>
      </w:r>
      <w:r w:rsidRPr="00B931B4">
        <w:rPr>
          <w:rFonts w:ascii="仿宋" w:eastAsia="仿宋" w:hAnsi="仿宋" w:cs="Times New Roman"/>
          <w:sz w:val="24"/>
          <w:szCs w:val="24"/>
        </w:rPr>
        <w:t>)</w:t>
      </w:r>
      <w:r w:rsidRPr="00B931B4">
        <w:rPr>
          <w:rFonts w:ascii="仿宋" w:eastAsia="仿宋" w:hAnsi="仿宋" w:cs="Times New Roman" w:hint="eastAsia"/>
          <w:sz w:val="24"/>
          <w:szCs w:val="24"/>
        </w:rPr>
        <w:t xml:space="preserve"> 及招标文件技术要求、投标文件响应情况和国家、行业标准进行验收，或以合同约定为准。</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8.签订合同须使用本招标文件中提供的模板（详见第八章），具体条款以招标文件、投标文件及双方另行约定为准。</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9.其他事项以合同签订为准。</w:t>
      </w:r>
    </w:p>
    <w:p w:rsidR="00B931B4" w:rsidRPr="00B931B4" w:rsidRDefault="00B931B4" w:rsidP="00B931B4">
      <w:pPr>
        <w:spacing w:after="160" w:line="420" w:lineRule="exact"/>
        <w:ind w:firstLineChars="200" w:firstLine="480"/>
        <w:rPr>
          <w:rFonts w:ascii="仿宋" w:eastAsia="仿宋" w:hAnsi="仿宋" w:cs="Times New Roman"/>
          <w:sz w:val="24"/>
          <w:szCs w:val="24"/>
        </w:rPr>
      </w:pPr>
      <w:r w:rsidRPr="00B931B4">
        <w:rPr>
          <w:rFonts w:ascii="仿宋" w:eastAsia="仿宋" w:hAnsi="仿宋" w:cs="Times New Roman" w:hint="eastAsia"/>
          <w:sz w:val="24"/>
          <w:szCs w:val="24"/>
        </w:rPr>
        <w:t>10.其他要求：如因服务期间设备报废或其它不可控因素而导致不再具备实施服务的条件，投标人应根据实际未能提供服务的时段（以投标人收到采购人通知之次日至服务期限最后一日的总天数计算），按比例退还采购人相应金额，具体计算方式为：退还金额=合同金额（如涉及设备为维保服务对象的其中一台或几台的，应以涉及各设备的分项报价计算）*（实际未提供服务时段长度/合同服务期限）。</w:t>
      </w:r>
    </w:p>
    <w:p w:rsidR="00B931B4" w:rsidRPr="00B931B4" w:rsidRDefault="00B931B4" w:rsidP="00B931B4">
      <w:pPr>
        <w:keepNext/>
        <w:keepLines/>
        <w:snapToGrid w:val="0"/>
        <w:spacing w:before="260" w:after="260" w:line="360" w:lineRule="auto"/>
        <w:ind w:firstLineChars="98" w:firstLine="236"/>
        <w:outlineLvl w:val="1"/>
        <w:rPr>
          <w:rFonts w:ascii="仿宋" w:eastAsia="仿宋" w:hAnsi="仿宋" w:cs="Times New Roman"/>
          <w:b/>
          <w:bCs/>
          <w:sz w:val="24"/>
          <w:szCs w:val="24"/>
        </w:rPr>
      </w:pPr>
      <w:r w:rsidRPr="00B931B4">
        <w:rPr>
          <w:rFonts w:ascii="仿宋" w:eastAsia="仿宋" w:hAnsi="仿宋" w:cs="Times New Roman" w:hint="eastAsia"/>
          <w:b/>
          <w:bCs/>
          <w:sz w:val="24"/>
          <w:szCs w:val="24"/>
        </w:rPr>
        <w:t>三、</w:t>
      </w:r>
      <w:r w:rsidRPr="00B931B4">
        <w:rPr>
          <w:rFonts w:ascii="仿宋" w:eastAsia="仿宋" w:hAnsi="仿宋" w:cs="Times New Roman"/>
          <w:b/>
          <w:bCs/>
          <w:sz w:val="24"/>
          <w:szCs w:val="24"/>
        </w:rPr>
        <w:t xml:space="preserve"> </w:t>
      </w:r>
      <w:r w:rsidRPr="00B931B4">
        <w:rPr>
          <w:rFonts w:ascii="仿宋" w:eastAsia="仿宋" w:hAnsi="仿宋" w:cs="Times New Roman" w:hint="eastAsia"/>
          <w:b/>
          <w:bCs/>
          <w:sz w:val="24"/>
          <w:szCs w:val="24"/>
        </w:rPr>
        <w:t>技术</w:t>
      </w:r>
      <w:r w:rsidRPr="00B931B4">
        <w:rPr>
          <w:rFonts w:ascii="仿宋" w:eastAsia="仿宋" w:hAnsi="仿宋" w:cs="Times New Roman"/>
          <w:b/>
          <w:bCs/>
          <w:sz w:val="24"/>
          <w:szCs w:val="24"/>
        </w:rPr>
        <w:t>、服务要求</w:t>
      </w:r>
      <w:bookmarkEnd w:id="0"/>
    </w:p>
    <w:p w:rsidR="00B931B4" w:rsidRPr="00B931B4" w:rsidRDefault="00B931B4" w:rsidP="00B931B4">
      <w:pPr>
        <w:keepNext/>
        <w:keepLines/>
        <w:snapToGrid w:val="0"/>
        <w:spacing w:before="40" w:after="40" w:line="360" w:lineRule="auto"/>
        <w:ind w:firstLineChars="200" w:firstLine="482"/>
        <w:outlineLvl w:val="2"/>
        <w:rPr>
          <w:rFonts w:ascii="仿宋" w:eastAsia="仿宋" w:hAnsi="仿宋" w:cs="Times New Roman"/>
          <w:b/>
          <w:sz w:val="24"/>
          <w:szCs w:val="32"/>
        </w:rPr>
      </w:pPr>
      <w:r w:rsidRPr="00B931B4">
        <w:rPr>
          <w:rFonts w:ascii="仿宋" w:eastAsia="仿宋" w:hAnsi="仿宋" w:cs="Times New Roman" w:hint="eastAsia"/>
          <w:b/>
          <w:sz w:val="24"/>
          <w:szCs w:val="32"/>
        </w:rPr>
        <w:t>0</w:t>
      </w:r>
      <w:r w:rsidRPr="00B931B4">
        <w:rPr>
          <w:rFonts w:ascii="仿宋" w:eastAsia="仿宋" w:hAnsi="仿宋" w:cs="Times New Roman"/>
          <w:b/>
          <w:sz w:val="24"/>
          <w:szCs w:val="32"/>
        </w:rPr>
        <w:t>1</w:t>
      </w:r>
      <w:r w:rsidRPr="00B931B4">
        <w:rPr>
          <w:rFonts w:ascii="仿宋" w:eastAsia="仿宋" w:hAnsi="仿宋" w:cs="Times New Roman" w:hint="eastAsia"/>
          <w:b/>
          <w:sz w:val="24"/>
          <w:szCs w:val="32"/>
        </w:rPr>
        <w:t>包：激光和脉冲光工作站维保服务</w:t>
      </w:r>
    </w:p>
    <w:p w:rsidR="00B931B4" w:rsidRPr="00B931B4" w:rsidRDefault="00B931B4" w:rsidP="00B931B4">
      <w:pPr>
        <w:snapToGrid w:val="0"/>
        <w:spacing w:after="160" w:line="360" w:lineRule="auto"/>
        <w:ind w:firstLineChars="200" w:firstLine="480"/>
        <w:rPr>
          <w:rFonts w:ascii="仿宋" w:eastAsia="仿宋" w:hAnsi="仿宋" w:cs="Times New Roman"/>
          <w:bCs/>
          <w:sz w:val="24"/>
          <w:szCs w:val="24"/>
        </w:rPr>
      </w:pPr>
      <w:r w:rsidRPr="00B931B4">
        <w:rPr>
          <w:rFonts w:ascii="仿宋" w:eastAsia="仿宋" w:hAnsi="仿宋" w:cs="Times New Roman" w:hint="eastAsia"/>
          <w:bCs/>
          <w:sz w:val="24"/>
          <w:szCs w:val="24"/>
        </w:rPr>
        <w:t>1</w:t>
      </w:r>
      <w:r w:rsidRPr="00B931B4">
        <w:rPr>
          <w:rFonts w:ascii="仿宋" w:eastAsia="仿宋" w:hAnsi="仿宋" w:cs="Times New Roman"/>
          <w:bCs/>
          <w:sz w:val="24"/>
          <w:szCs w:val="24"/>
        </w:rPr>
        <w:t>.</w:t>
      </w:r>
      <w:r w:rsidRPr="00B931B4">
        <w:rPr>
          <w:rFonts w:ascii="仿宋" w:eastAsia="仿宋" w:hAnsi="仿宋" w:cs="Times New Roman" w:hint="eastAsia"/>
          <w:bCs/>
          <w:sz w:val="24"/>
          <w:szCs w:val="24"/>
        </w:rPr>
        <w:t>保修期内，设备现有的手持器如故障或损坏，投标人须更换全新的手持器（规格型号应至少包含500-650nm、540-950nm，根据实际情况选择），更换总数不少于4把。</w:t>
      </w:r>
    </w:p>
    <w:p w:rsidR="00B931B4" w:rsidRPr="00B931B4" w:rsidRDefault="00B931B4" w:rsidP="00B931B4">
      <w:pPr>
        <w:snapToGrid w:val="0"/>
        <w:spacing w:after="160" w:line="360" w:lineRule="auto"/>
        <w:ind w:firstLineChars="200" w:firstLine="480"/>
        <w:rPr>
          <w:rFonts w:ascii="仿宋" w:eastAsia="仿宋" w:hAnsi="仿宋" w:cs="Times New Roman"/>
          <w:bCs/>
          <w:sz w:val="24"/>
          <w:szCs w:val="24"/>
        </w:rPr>
      </w:pPr>
      <w:r w:rsidRPr="00B931B4">
        <w:rPr>
          <w:rFonts w:ascii="仿宋" w:eastAsia="仿宋" w:hAnsi="仿宋" w:cs="Times New Roman" w:hint="eastAsia"/>
          <w:bCs/>
          <w:sz w:val="24"/>
          <w:szCs w:val="24"/>
        </w:rPr>
        <w:t>2</w:t>
      </w:r>
      <w:r w:rsidRPr="00B931B4">
        <w:rPr>
          <w:rFonts w:ascii="仿宋" w:eastAsia="仿宋" w:hAnsi="仿宋" w:cs="Times New Roman"/>
          <w:bCs/>
          <w:sz w:val="24"/>
          <w:szCs w:val="24"/>
        </w:rPr>
        <w:t>.</w:t>
      </w:r>
      <w:r w:rsidRPr="00B931B4">
        <w:rPr>
          <w:rFonts w:ascii="仿宋" w:eastAsia="仿宋" w:hAnsi="仿宋" w:cs="Times New Roman" w:hint="eastAsia"/>
          <w:bCs/>
          <w:sz w:val="24"/>
          <w:szCs w:val="24"/>
        </w:rPr>
        <w:t>投标人更换后的手持器，须提供质保不少于1年并保用不少于10万个脉冲。质保期从投标人更换手持器并经双方验收合格之日起计算。</w:t>
      </w:r>
    </w:p>
    <w:p w:rsidR="00B931B4" w:rsidRPr="00B931B4" w:rsidRDefault="00B931B4" w:rsidP="00B931B4">
      <w:pPr>
        <w:snapToGrid w:val="0"/>
        <w:spacing w:after="160" w:line="360" w:lineRule="auto"/>
        <w:ind w:firstLineChars="200" w:firstLine="480"/>
        <w:rPr>
          <w:rFonts w:ascii="仿宋" w:eastAsia="仿宋" w:hAnsi="仿宋" w:cs="Times New Roman"/>
          <w:bCs/>
          <w:sz w:val="24"/>
          <w:szCs w:val="24"/>
        </w:rPr>
      </w:pPr>
      <w:r w:rsidRPr="00B931B4">
        <w:rPr>
          <w:rFonts w:ascii="仿宋" w:eastAsia="仿宋" w:hAnsi="仿宋" w:cs="Times New Roman" w:hint="eastAsia"/>
          <w:bCs/>
          <w:sz w:val="24"/>
          <w:szCs w:val="24"/>
        </w:rPr>
        <w:t>3.投标人接到采购人报修后，如需更换配件，须在30日内将所需配件提供至采购人指定地点（四川省人民医院皮肤病研究所激光中心）</w:t>
      </w:r>
    </w:p>
    <w:p w:rsidR="00B931B4" w:rsidRPr="00B931B4" w:rsidRDefault="00B931B4" w:rsidP="00B931B4">
      <w:pPr>
        <w:snapToGrid w:val="0"/>
        <w:spacing w:after="160" w:line="360" w:lineRule="auto"/>
        <w:ind w:firstLineChars="200" w:firstLine="480"/>
        <w:rPr>
          <w:rFonts w:ascii="仿宋" w:eastAsia="仿宋" w:hAnsi="仿宋" w:cs="Times New Roman"/>
          <w:bCs/>
          <w:sz w:val="24"/>
          <w:szCs w:val="24"/>
        </w:rPr>
      </w:pPr>
      <w:r w:rsidRPr="00B931B4">
        <w:rPr>
          <w:rFonts w:ascii="仿宋" w:eastAsia="仿宋" w:hAnsi="仿宋" w:cs="Times New Roman" w:hint="eastAsia"/>
          <w:bCs/>
          <w:sz w:val="24"/>
          <w:szCs w:val="24"/>
        </w:rPr>
        <w:t>4.投标人需提供整机定期保养服务（一年不低于3次）和紧急维修服务，对每次检查结果记录成册提交采购人存档，投标人工程师具备飞顿资质。</w:t>
      </w:r>
    </w:p>
    <w:p w:rsidR="00B931B4" w:rsidRPr="00B931B4" w:rsidRDefault="00B931B4" w:rsidP="00B931B4">
      <w:pPr>
        <w:snapToGrid w:val="0"/>
        <w:spacing w:after="160" w:line="360" w:lineRule="auto"/>
        <w:ind w:firstLineChars="200" w:firstLine="480"/>
        <w:rPr>
          <w:rFonts w:ascii="仿宋" w:eastAsia="仿宋" w:hAnsi="仿宋" w:cs="Times New Roman"/>
          <w:bCs/>
          <w:sz w:val="24"/>
          <w:szCs w:val="24"/>
        </w:rPr>
      </w:pPr>
      <w:r w:rsidRPr="00B931B4">
        <w:rPr>
          <w:rFonts w:ascii="仿宋" w:eastAsia="仿宋" w:hAnsi="仿宋" w:cs="Times New Roman" w:hint="eastAsia"/>
          <w:bCs/>
          <w:sz w:val="24"/>
          <w:szCs w:val="24"/>
        </w:rPr>
        <w:t>5.投标人在实施保养和紧急维修等行为过程中所造成的一切设备的零件损坏，均由投标人负责（法定的不可抗力原因除外）；维保服务中因操作不当、违</w:t>
      </w:r>
      <w:r w:rsidRPr="00B931B4">
        <w:rPr>
          <w:rFonts w:ascii="仿宋" w:eastAsia="仿宋" w:hAnsi="仿宋" w:cs="Times New Roman" w:hint="eastAsia"/>
          <w:bCs/>
          <w:sz w:val="24"/>
          <w:szCs w:val="24"/>
        </w:rPr>
        <w:lastRenderedPageBreak/>
        <w:t>规操作导致安全责任事故的，投标人承担一切法律责任。</w:t>
      </w:r>
    </w:p>
    <w:p w:rsidR="00B931B4" w:rsidRPr="00B931B4" w:rsidRDefault="00B931B4" w:rsidP="00B931B4">
      <w:pPr>
        <w:snapToGrid w:val="0"/>
        <w:spacing w:after="160" w:line="360" w:lineRule="auto"/>
        <w:ind w:firstLineChars="200" w:firstLine="480"/>
        <w:rPr>
          <w:rFonts w:ascii="仿宋" w:eastAsia="仿宋" w:hAnsi="仿宋" w:cs="Times New Roman"/>
          <w:bCs/>
          <w:sz w:val="24"/>
          <w:szCs w:val="24"/>
        </w:rPr>
      </w:pPr>
      <w:r w:rsidRPr="00B931B4">
        <w:rPr>
          <w:rFonts w:ascii="仿宋" w:eastAsia="仿宋" w:hAnsi="仿宋" w:cs="Times New Roman" w:hint="eastAsia"/>
          <w:bCs/>
          <w:sz w:val="24"/>
          <w:szCs w:val="24"/>
        </w:rPr>
        <w:t>6.投标人对在维保过程中接触到甲方的技术资料、患者隐私信息等严格保密，不得外泄或用作商业用途，否则承担响应的侵权责任。</w:t>
      </w:r>
    </w:p>
    <w:p w:rsidR="00B931B4" w:rsidRPr="00B931B4" w:rsidRDefault="00B931B4" w:rsidP="00B931B4">
      <w:pPr>
        <w:snapToGrid w:val="0"/>
        <w:spacing w:after="160" w:line="360" w:lineRule="auto"/>
        <w:ind w:firstLineChars="200" w:firstLine="480"/>
        <w:rPr>
          <w:rFonts w:ascii="仿宋" w:eastAsia="仿宋" w:hAnsi="仿宋" w:cs="Times New Roman"/>
          <w:bCs/>
          <w:sz w:val="24"/>
          <w:szCs w:val="24"/>
        </w:rPr>
      </w:pPr>
      <w:r w:rsidRPr="00B931B4">
        <w:rPr>
          <w:rFonts w:ascii="仿宋" w:eastAsia="仿宋" w:hAnsi="仿宋" w:cs="Times New Roman" w:hint="eastAsia"/>
          <w:bCs/>
          <w:sz w:val="24"/>
          <w:szCs w:val="24"/>
        </w:rPr>
        <w:t>7.采购人提出维修请求后，投标人电话响应时间工作日不超过4小时，如需现场维修，投标人工程师到达甲方合同约定现场的时间工作日不超过72小时（因不可抗力因素导致无法执行除外）</w:t>
      </w:r>
    </w:p>
    <w:p w:rsidR="00B931B4" w:rsidRPr="00B931B4" w:rsidRDefault="00B931B4" w:rsidP="00B931B4">
      <w:pPr>
        <w:keepNext/>
        <w:keepLines/>
        <w:snapToGrid w:val="0"/>
        <w:spacing w:before="40" w:after="40" w:line="360" w:lineRule="auto"/>
        <w:ind w:firstLineChars="200" w:firstLine="482"/>
        <w:outlineLvl w:val="2"/>
        <w:rPr>
          <w:rFonts w:ascii="仿宋" w:eastAsia="仿宋" w:hAnsi="仿宋" w:cs="Times New Roman"/>
          <w:b/>
          <w:sz w:val="24"/>
          <w:szCs w:val="32"/>
        </w:rPr>
      </w:pPr>
      <w:r w:rsidRPr="00B931B4">
        <w:rPr>
          <w:rFonts w:ascii="仿宋" w:eastAsia="仿宋" w:hAnsi="仿宋" w:cs="Times New Roman" w:hint="eastAsia"/>
          <w:b/>
          <w:sz w:val="24"/>
          <w:szCs w:val="32"/>
        </w:rPr>
        <w:t>0</w:t>
      </w:r>
      <w:r w:rsidRPr="00B931B4">
        <w:rPr>
          <w:rFonts w:ascii="仿宋" w:eastAsia="仿宋" w:hAnsi="仿宋" w:cs="Times New Roman"/>
          <w:b/>
          <w:sz w:val="24"/>
          <w:szCs w:val="32"/>
        </w:rPr>
        <w:t>2</w:t>
      </w:r>
      <w:r w:rsidRPr="00B931B4">
        <w:rPr>
          <w:rFonts w:ascii="仿宋" w:eastAsia="仿宋" w:hAnsi="仿宋" w:cs="Times New Roman" w:hint="eastAsia"/>
          <w:b/>
          <w:sz w:val="24"/>
          <w:szCs w:val="32"/>
        </w:rPr>
        <w:t>包：东院病床2022年度人工服务</w:t>
      </w:r>
    </w:p>
    <w:p w:rsidR="00B931B4" w:rsidRPr="00B931B4" w:rsidRDefault="00B931B4" w:rsidP="00B931B4">
      <w:pPr>
        <w:snapToGrid w:val="0"/>
        <w:spacing w:after="160" w:line="360" w:lineRule="auto"/>
        <w:ind w:firstLineChars="200" w:firstLine="480"/>
        <w:rPr>
          <w:rFonts w:ascii="仿宋" w:eastAsia="仿宋" w:hAnsi="仿宋" w:cs="Times New Roman"/>
          <w:bCs/>
          <w:sz w:val="24"/>
          <w:szCs w:val="24"/>
        </w:rPr>
      </w:pPr>
      <w:r w:rsidRPr="00B931B4">
        <w:rPr>
          <w:rFonts w:ascii="仿宋" w:eastAsia="仿宋" w:hAnsi="仿宋" w:cs="Times New Roman" w:hint="eastAsia"/>
          <w:bCs/>
          <w:sz w:val="24"/>
          <w:szCs w:val="24"/>
        </w:rPr>
        <w:t>▲1.维保服务频次：每日</w:t>
      </w:r>
      <w:r w:rsidRPr="00B931B4">
        <w:rPr>
          <w:rFonts w:ascii="仿宋" w:eastAsia="仿宋" w:hAnsi="仿宋" w:cs="Times New Roman" w:hint="eastAsia"/>
          <w:bCs/>
          <w:sz w:val="24"/>
          <w:szCs w:val="24"/>
        </w:rPr>
        <w:cr/>
      </w:r>
      <w:r w:rsidRPr="00B931B4">
        <w:rPr>
          <w:rFonts w:ascii="仿宋" w:eastAsia="仿宋" w:hAnsi="仿宋" w:cs="Times New Roman"/>
          <w:bCs/>
          <w:sz w:val="24"/>
          <w:szCs w:val="24"/>
        </w:rPr>
        <w:tab/>
      </w:r>
      <w:r w:rsidRPr="00B931B4">
        <w:rPr>
          <w:rFonts w:ascii="仿宋" w:eastAsia="仿宋" w:hAnsi="仿宋" w:cs="Times New Roman" w:hint="eastAsia"/>
          <w:bCs/>
          <w:sz w:val="24"/>
          <w:szCs w:val="24"/>
        </w:rPr>
        <w:t>★2.响应时限要求：在接到维修任务后须在3小时内前往科室进行维修。</w:t>
      </w:r>
      <w:r w:rsidRPr="00B931B4">
        <w:rPr>
          <w:rFonts w:ascii="仿宋" w:eastAsia="仿宋" w:hAnsi="仿宋" w:cs="Times New Roman" w:hint="eastAsia"/>
          <w:bCs/>
          <w:sz w:val="24"/>
          <w:szCs w:val="24"/>
        </w:rPr>
        <w:cr/>
      </w:r>
      <w:r w:rsidRPr="00B931B4">
        <w:rPr>
          <w:rFonts w:ascii="仿宋" w:eastAsia="仿宋" w:hAnsi="仿宋" w:cs="Times New Roman"/>
          <w:bCs/>
          <w:sz w:val="24"/>
          <w:szCs w:val="24"/>
        </w:rPr>
        <w:tab/>
      </w:r>
      <w:r w:rsidRPr="00B931B4">
        <w:rPr>
          <w:rFonts w:ascii="仿宋" w:eastAsia="仿宋" w:hAnsi="仿宋" w:cs="Times New Roman" w:hint="eastAsia"/>
          <w:bCs/>
          <w:sz w:val="24"/>
          <w:szCs w:val="24"/>
        </w:rPr>
        <w:t>3. 技术工具要求：维保人员自行提供基本维修工具。</w:t>
      </w:r>
      <w:r w:rsidRPr="00B931B4">
        <w:rPr>
          <w:rFonts w:ascii="仿宋" w:eastAsia="仿宋" w:hAnsi="仿宋" w:cs="Times New Roman" w:hint="eastAsia"/>
          <w:bCs/>
          <w:sz w:val="24"/>
          <w:szCs w:val="24"/>
        </w:rPr>
        <w:cr/>
      </w:r>
      <w:r w:rsidRPr="00B931B4">
        <w:rPr>
          <w:rFonts w:ascii="仿宋" w:eastAsia="仿宋" w:hAnsi="仿宋" w:cs="Times New Roman"/>
          <w:bCs/>
          <w:sz w:val="24"/>
          <w:szCs w:val="24"/>
        </w:rPr>
        <w:tab/>
      </w:r>
      <w:r w:rsidRPr="00B931B4">
        <w:rPr>
          <w:rFonts w:ascii="仿宋" w:eastAsia="仿宋" w:hAnsi="仿宋" w:cs="Times New Roman" w:hint="eastAsia"/>
          <w:bCs/>
          <w:sz w:val="24"/>
          <w:szCs w:val="24"/>
        </w:rPr>
        <w:t>4. 维保服务内容：在服务期间内供应商定点定人（一人及以上）定期向采购人提供售后检查，维护及维修更换服务，每1月内由供应商维修人员定点检查每个科室护理设备使用情况并及时反馈采购人后进行处理。</w:t>
      </w:r>
      <w:r w:rsidRPr="00B931B4">
        <w:rPr>
          <w:rFonts w:ascii="仿宋" w:eastAsia="仿宋" w:hAnsi="仿宋" w:cs="Times New Roman" w:hint="eastAsia"/>
          <w:bCs/>
          <w:sz w:val="24"/>
          <w:szCs w:val="24"/>
        </w:rPr>
        <w:cr/>
      </w:r>
      <w:r w:rsidRPr="00B931B4">
        <w:rPr>
          <w:rFonts w:ascii="仿宋" w:eastAsia="仿宋" w:hAnsi="仿宋" w:cs="Times New Roman"/>
          <w:bCs/>
          <w:sz w:val="24"/>
          <w:szCs w:val="24"/>
        </w:rPr>
        <w:tab/>
      </w:r>
      <w:r w:rsidRPr="00B931B4">
        <w:rPr>
          <w:rFonts w:ascii="仿宋" w:eastAsia="仿宋" w:hAnsi="仿宋" w:cs="Times New Roman" w:hint="eastAsia"/>
          <w:bCs/>
          <w:sz w:val="24"/>
          <w:szCs w:val="24"/>
        </w:rPr>
        <w:t>▲5.服务团队要求：供应商需具有维修配件备用库，维保人员需具有二年以上相关工作经验，着工作服，并佩戴工作证。维保人员须听从器械维修室工作安排，不得与科室发生冲突。</w:t>
      </w:r>
      <w:r w:rsidRPr="00B931B4">
        <w:rPr>
          <w:rFonts w:ascii="仿宋" w:eastAsia="仿宋" w:hAnsi="仿宋" w:cs="Times New Roman" w:hint="eastAsia"/>
          <w:bCs/>
          <w:sz w:val="24"/>
          <w:szCs w:val="24"/>
        </w:rPr>
        <w:cr/>
      </w:r>
      <w:r w:rsidRPr="00B931B4">
        <w:rPr>
          <w:rFonts w:ascii="仿宋" w:eastAsia="仿宋" w:hAnsi="仿宋" w:cs="Times New Roman"/>
          <w:bCs/>
          <w:sz w:val="24"/>
          <w:szCs w:val="24"/>
        </w:rPr>
        <w:tab/>
      </w:r>
      <w:r w:rsidRPr="00B931B4">
        <w:rPr>
          <w:rFonts w:ascii="仿宋" w:eastAsia="仿宋" w:hAnsi="仿宋" w:cs="Times New Roman" w:hint="eastAsia"/>
          <w:bCs/>
          <w:sz w:val="24"/>
          <w:szCs w:val="24"/>
        </w:rPr>
        <w:t>6. 维保服务档案：维修完成后填写科室签字维修记录单。</w:t>
      </w:r>
    </w:p>
    <w:p w:rsidR="007749C8" w:rsidRPr="00B931B4" w:rsidRDefault="007749C8"/>
    <w:sectPr w:rsidR="007749C8" w:rsidRPr="00B93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2D" w:rsidRDefault="0057732D" w:rsidP="00B931B4">
      <w:r>
        <w:separator/>
      </w:r>
    </w:p>
  </w:endnote>
  <w:endnote w:type="continuationSeparator" w:id="0">
    <w:p w:rsidR="0057732D" w:rsidRDefault="0057732D" w:rsidP="00B9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2D" w:rsidRDefault="0057732D" w:rsidP="00B931B4">
      <w:r>
        <w:separator/>
      </w:r>
    </w:p>
  </w:footnote>
  <w:footnote w:type="continuationSeparator" w:id="0">
    <w:p w:rsidR="0057732D" w:rsidRDefault="0057732D" w:rsidP="00B93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43"/>
    <w:rsid w:val="0057732D"/>
    <w:rsid w:val="007749C8"/>
    <w:rsid w:val="00956C43"/>
    <w:rsid w:val="00B93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B6B94-4F80-40A1-B2AD-01413ED2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1B4"/>
    <w:rPr>
      <w:sz w:val="18"/>
      <w:szCs w:val="18"/>
    </w:rPr>
  </w:style>
  <w:style w:type="paragraph" w:styleId="a4">
    <w:name w:val="footer"/>
    <w:basedOn w:val="a"/>
    <w:link w:val="Char0"/>
    <w:uiPriority w:val="99"/>
    <w:unhideWhenUsed/>
    <w:rsid w:val="00B931B4"/>
    <w:pPr>
      <w:tabs>
        <w:tab w:val="center" w:pos="4153"/>
        <w:tab w:val="right" w:pos="8306"/>
      </w:tabs>
      <w:snapToGrid w:val="0"/>
      <w:jc w:val="left"/>
    </w:pPr>
    <w:rPr>
      <w:sz w:val="18"/>
      <w:szCs w:val="18"/>
    </w:rPr>
  </w:style>
  <w:style w:type="character" w:customStyle="1" w:styleId="Char0">
    <w:name w:val="页脚 Char"/>
    <w:basedOn w:val="a0"/>
    <w:link w:val="a4"/>
    <w:uiPriority w:val="99"/>
    <w:rsid w:val="00B931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1612</Characters>
  <Application>Microsoft Office Word</Application>
  <DocSecurity>0</DocSecurity>
  <Lines>13</Lines>
  <Paragraphs>3</Paragraphs>
  <ScaleCrop>false</ScaleCrop>
  <Company>P R C</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2022-12-02T07:50:00Z</dcterms:created>
  <dcterms:modified xsi:type="dcterms:W3CDTF">2022-12-02T07:50:00Z</dcterms:modified>
</cp:coreProperties>
</file>