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outlineLvl w:val="0"/>
        <w:rPr>
          <w:rFonts w:hint="eastAsia" w:ascii="宋体" w:hAnsi="宋体" w:eastAsia="宋体" w:cs="宋体"/>
          <w:color w:val="auto"/>
          <w:sz w:val="24"/>
          <w:szCs w:val="24"/>
          <w:highlight w:val="none"/>
        </w:rPr>
      </w:pPr>
      <w:r>
        <w:rPr>
          <w:rFonts w:hint="eastAsia" w:ascii="宋体" w:hAnsi="宋体" w:eastAsia="宋体" w:cs="宋体"/>
          <w:color w:val="auto"/>
          <w:sz w:val="36"/>
          <w:szCs w:val="36"/>
          <w:highlight w:val="none"/>
        </w:rPr>
        <w:t>第六章 招标项目技术、政府采购合同内容条款及其他商务要求</w:t>
      </w:r>
    </w:p>
    <w:p>
      <w:pPr>
        <w:spacing w:line="360" w:lineRule="auto"/>
        <w:ind w:left="0" w:leftChars="0" w:firstLine="0" w:firstLineChars="0"/>
        <w:outlineLvl w:val="1"/>
        <w:rPr>
          <w:rFonts w:hint="eastAsia" w:ascii="宋体" w:hAnsi="宋体" w:eastAsia="宋体" w:cs="宋体"/>
          <w:b/>
          <w:bCs/>
          <w:color w:val="auto"/>
          <w:sz w:val="28"/>
          <w:szCs w:val="28"/>
          <w:highlight w:val="none"/>
        </w:rPr>
      </w:pPr>
      <w:bookmarkStart w:id="0" w:name="_Toc217446094"/>
      <w:bookmarkStart w:id="1" w:name="_Toc217446095"/>
      <w:r>
        <w:rPr>
          <w:rFonts w:hint="eastAsia" w:ascii="宋体" w:hAnsi="宋体" w:eastAsia="宋体" w:cs="宋体"/>
          <w:b/>
          <w:bCs/>
          <w:color w:val="auto"/>
          <w:sz w:val="28"/>
          <w:szCs w:val="28"/>
          <w:highlight w:val="none"/>
        </w:rPr>
        <w:t>一</w:t>
      </w: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rPr>
        <w:t>项目概述</w:t>
      </w:r>
      <w:bookmarkEnd w:id="0"/>
    </w:p>
    <w:p>
      <w:pPr>
        <w:pStyle w:val="8"/>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内江师范学院拟采购内江师范学院2022年计算机网络设备一项</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本项目</w:t>
      </w:r>
      <w:r>
        <w:rPr>
          <w:rFonts w:hint="eastAsia" w:ascii="宋体" w:hAnsi="宋体" w:eastAsia="宋体" w:cs="宋体"/>
          <w:color w:val="auto"/>
          <w:sz w:val="24"/>
          <w:highlight w:val="none"/>
          <w:lang w:val="en-US" w:eastAsia="zh-CN"/>
        </w:rPr>
        <w:t>分为2个包。</w:t>
      </w:r>
    </w:p>
    <w:p>
      <w:pPr>
        <w:spacing w:line="360" w:lineRule="auto"/>
        <w:ind w:left="0" w:leftChars="0" w:firstLine="0" w:firstLineChars="0"/>
        <w:outlineLvl w:val="1"/>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rPr>
        <w:t>★二</w:t>
      </w:r>
      <w:r>
        <w:rPr>
          <w:rFonts w:hint="eastAsia" w:ascii="宋体" w:hAnsi="宋体" w:eastAsia="宋体" w:cs="宋体"/>
          <w:b/>
          <w:bCs/>
          <w:color w:val="auto"/>
          <w:sz w:val="28"/>
          <w:szCs w:val="28"/>
          <w:highlight w:val="none"/>
          <w:lang w:eastAsia="zh-CN"/>
        </w:rPr>
        <w:t>、采购清单</w:t>
      </w:r>
    </w:p>
    <w:tbl>
      <w:tblPr>
        <w:tblStyle w:val="10"/>
        <w:tblW w:w="80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4"/>
        <w:gridCol w:w="1271"/>
        <w:gridCol w:w="2829"/>
        <w:gridCol w:w="1034"/>
        <w:gridCol w:w="1014"/>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1" w:hRule="atLeast"/>
          <w:jc w:val="center"/>
        </w:trPr>
        <w:tc>
          <w:tcPr>
            <w:tcW w:w="584" w:type="dxa"/>
            <w:noWrap w:val="0"/>
            <w:vAlign w:val="center"/>
          </w:tcPr>
          <w:p>
            <w:pPr>
              <w:spacing w:line="56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序号</w:t>
            </w:r>
          </w:p>
        </w:tc>
        <w:tc>
          <w:tcPr>
            <w:tcW w:w="1271" w:type="dxa"/>
            <w:noWrap w:val="0"/>
            <w:vAlign w:val="center"/>
          </w:tcPr>
          <w:p>
            <w:pPr>
              <w:spacing w:line="560" w:lineRule="exact"/>
              <w:jc w:val="center"/>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包号</w:t>
            </w:r>
          </w:p>
        </w:tc>
        <w:tc>
          <w:tcPr>
            <w:tcW w:w="2829" w:type="dxa"/>
            <w:noWrap w:val="0"/>
            <w:vAlign w:val="center"/>
          </w:tcPr>
          <w:p>
            <w:pPr>
              <w:spacing w:line="560" w:lineRule="exact"/>
              <w:jc w:val="center"/>
              <w:rPr>
                <w:rFonts w:hint="default" w:ascii="宋体" w:hAnsi="宋体" w:eastAsia="宋体" w:cs="宋体"/>
                <w:b/>
                <w:color w:val="auto"/>
                <w:sz w:val="24"/>
                <w:szCs w:val="24"/>
                <w:lang w:val="en-US" w:eastAsia="zh-CN"/>
              </w:rPr>
            </w:pPr>
            <w:r>
              <w:rPr>
                <w:rFonts w:hint="eastAsia" w:ascii="宋体" w:hAnsi="宋体" w:eastAsia="宋体" w:cs="宋体"/>
                <w:b/>
                <w:color w:val="auto"/>
                <w:sz w:val="24"/>
                <w:szCs w:val="24"/>
              </w:rPr>
              <w:t>标的名称</w:t>
            </w:r>
            <w:r>
              <w:rPr>
                <w:rFonts w:hint="eastAsia" w:ascii="宋体" w:hAnsi="宋体" w:eastAsia="宋体" w:cs="宋体"/>
                <w:b/>
                <w:color w:val="auto"/>
                <w:sz w:val="24"/>
                <w:szCs w:val="24"/>
                <w:lang w:val="en-US" w:eastAsia="zh-CN"/>
              </w:rPr>
              <w:t>/设备名称</w:t>
            </w:r>
          </w:p>
        </w:tc>
        <w:tc>
          <w:tcPr>
            <w:tcW w:w="1034" w:type="dxa"/>
            <w:noWrap w:val="0"/>
            <w:vAlign w:val="center"/>
          </w:tcPr>
          <w:p>
            <w:pPr>
              <w:spacing w:line="56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计量</w:t>
            </w:r>
          </w:p>
          <w:p>
            <w:pPr>
              <w:spacing w:line="56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单位</w:t>
            </w:r>
          </w:p>
        </w:tc>
        <w:tc>
          <w:tcPr>
            <w:tcW w:w="1014" w:type="dxa"/>
            <w:noWrap w:val="0"/>
            <w:vAlign w:val="center"/>
          </w:tcPr>
          <w:p>
            <w:pPr>
              <w:spacing w:line="56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数量</w:t>
            </w:r>
          </w:p>
        </w:tc>
        <w:tc>
          <w:tcPr>
            <w:tcW w:w="1326" w:type="dxa"/>
            <w:noWrap w:val="0"/>
            <w:vAlign w:val="center"/>
          </w:tcPr>
          <w:p>
            <w:pPr>
              <w:spacing w:line="560" w:lineRule="exact"/>
              <w:jc w:val="center"/>
              <w:rPr>
                <w:rFonts w:hint="eastAsia" w:ascii="宋体" w:hAnsi="宋体" w:eastAsia="宋体" w:cs="宋体"/>
                <w:b/>
                <w:color w:val="auto"/>
                <w:sz w:val="24"/>
                <w:szCs w:val="24"/>
                <w:lang w:eastAsia="zh-CN"/>
              </w:rPr>
            </w:pPr>
            <w:r>
              <w:rPr>
                <w:rFonts w:hint="eastAsia" w:ascii="宋体" w:hAnsi="宋体" w:eastAsia="宋体" w:cs="宋体"/>
                <w:b/>
                <w:color w:val="auto"/>
                <w:sz w:val="24"/>
                <w:szCs w:val="24"/>
              </w:rPr>
              <w:t>是否</w:t>
            </w:r>
            <w:r>
              <w:rPr>
                <w:rFonts w:hint="eastAsia" w:ascii="宋体" w:hAnsi="宋体" w:eastAsia="宋体" w:cs="宋体"/>
                <w:b/>
                <w:color w:val="auto"/>
                <w:sz w:val="24"/>
                <w:szCs w:val="24"/>
                <w:lang w:eastAsia="zh-CN"/>
              </w:rPr>
              <w:t>允许</w:t>
            </w:r>
            <w:r>
              <w:rPr>
                <w:rFonts w:hint="eastAsia" w:ascii="宋体" w:hAnsi="宋体" w:eastAsia="宋体" w:cs="宋体"/>
                <w:b/>
                <w:color w:val="auto"/>
                <w:sz w:val="24"/>
                <w:szCs w:val="24"/>
              </w:rPr>
              <w:t>进口</w:t>
            </w:r>
            <w:r>
              <w:rPr>
                <w:rFonts w:hint="eastAsia" w:ascii="宋体" w:hAnsi="宋体" w:eastAsia="宋体" w:cs="宋体"/>
                <w:b/>
                <w:color w:val="auto"/>
                <w:sz w:val="24"/>
                <w:szCs w:val="24"/>
                <w:lang w:eastAsia="zh-CN"/>
              </w:rPr>
              <w:t>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584" w:type="dxa"/>
            <w:noWrap w:val="0"/>
            <w:vAlign w:val="center"/>
          </w:tcPr>
          <w:p>
            <w:pPr>
              <w:numPr>
                <w:ilvl w:val="0"/>
                <w:numId w:val="2"/>
              </w:numPr>
              <w:adjustRightInd w:val="0"/>
              <w:snapToGrid w:val="0"/>
              <w:spacing w:line="560" w:lineRule="exact"/>
              <w:ind w:left="425" w:leftChars="0" w:hanging="425" w:firstLineChars="0"/>
              <w:jc w:val="center"/>
              <w:rPr>
                <w:rFonts w:hint="eastAsia" w:ascii="宋体" w:hAnsi="宋体" w:eastAsia="宋体" w:cs="宋体"/>
                <w:b w:val="0"/>
                <w:bCs w:val="0"/>
                <w:sz w:val="24"/>
                <w:szCs w:val="24"/>
              </w:rPr>
            </w:pPr>
          </w:p>
        </w:tc>
        <w:tc>
          <w:tcPr>
            <w:tcW w:w="1271" w:type="dxa"/>
            <w:vMerge w:val="restart"/>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采购包1</w:t>
            </w:r>
          </w:p>
        </w:tc>
        <w:tc>
          <w:tcPr>
            <w:tcW w:w="2829" w:type="dxa"/>
            <w:noWrap w:val="0"/>
            <w:vAlign w:val="center"/>
          </w:tcPr>
          <w:p>
            <w:pPr>
              <w:widowControl/>
              <w:jc w:val="center"/>
              <w:rPr>
                <w:rFonts w:hint="eastAsia" w:ascii="宋体" w:hAnsi="宋体" w:eastAsia="宋体" w:cs="宋体"/>
                <w:color w:val="000000"/>
                <w:sz w:val="24"/>
                <w:szCs w:val="24"/>
                <w:lang w:val="en-US" w:eastAsia="zh-CN"/>
              </w:rPr>
            </w:pPr>
            <w:r>
              <w:rPr>
                <w:rFonts w:hint="eastAsia" w:ascii="宋体" w:hAnsi="宋体" w:eastAsia="宋体" w:cs="宋体"/>
                <w:color w:val="000000"/>
                <w:kern w:val="0"/>
                <w:sz w:val="24"/>
                <w:szCs w:val="24"/>
              </w:rPr>
              <w:t>智能DNS</w:t>
            </w:r>
          </w:p>
        </w:tc>
        <w:tc>
          <w:tcPr>
            <w:tcW w:w="1034" w:type="dxa"/>
            <w:noWrap w:val="0"/>
            <w:vAlign w:val="center"/>
          </w:tcPr>
          <w:p>
            <w:pPr>
              <w:widowControl/>
              <w:jc w:val="center"/>
              <w:rPr>
                <w:rFonts w:hint="eastAsia" w:ascii="宋体" w:hAnsi="宋体" w:eastAsia="宋体" w:cs="宋体"/>
                <w:b w:val="0"/>
                <w:bCs w:val="0"/>
                <w:sz w:val="24"/>
                <w:szCs w:val="24"/>
              </w:rPr>
            </w:pPr>
            <w:r>
              <w:rPr>
                <w:rFonts w:hint="eastAsia" w:ascii="宋体" w:hAnsi="宋体" w:eastAsia="宋体" w:cs="宋体"/>
                <w:color w:val="000000"/>
                <w:kern w:val="0"/>
                <w:sz w:val="24"/>
                <w:szCs w:val="24"/>
              </w:rPr>
              <w:t>台</w:t>
            </w:r>
          </w:p>
        </w:tc>
        <w:tc>
          <w:tcPr>
            <w:tcW w:w="1014" w:type="dxa"/>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b w:val="0"/>
                <w:bCs w:val="0"/>
                <w:sz w:val="24"/>
                <w:szCs w:val="24"/>
                <w:lang w:val="en-US"/>
              </w:rPr>
            </w:pPr>
            <w:r>
              <w:rPr>
                <w:rFonts w:hint="eastAsia" w:ascii="宋体" w:hAnsi="宋体" w:eastAsia="宋体" w:cs="宋体"/>
                <w:b w:val="0"/>
                <w:bCs w:val="0"/>
                <w:sz w:val="24"/>
                <w:szCs w:val="24"/>
                <w:vertAlign w:val="baseline"/>
                <w:lang w:val="en-US" w:eastAsia="zh-CN"/>
              </w:rPr>
              <w:t>1</w:t>
            </w:r>
          </w:p>
        </w:tc>
        <w:tc>
          <w:tcPr>
            <w:tcW w:w="1326" w:type="dxa"/>
            <w:vMerge w:val="restart"/>
            <w:noWrap w:val="0"/>
            <w:vAlign w:val="center"/>
          </w:tcPr>
          <w:p>
            <w:pPr>
              <w:adjustRightInd w:val="0"/>
              <w:snapToGrid w:val="0"/>
              <w:spacing w:line="5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584" w:type="dxa"/>
            <w:noWrap w:val="0"/>
            <w:vAlign w:val="center"/>
          </w:tcPr>
          <w:p>
            <w:pPr>
              <w:numPr>
                <w:ilvl w:val="0"/>
                <w:numId w:val="2"/>
              </w:numPr>
              <w:adjustRightInd w:val="0"/>
              <w:snapToGrid w:val="0"/>
              <w:spacing w:line="560" w:lineRule="exact"/>
              <w:ind w:left="425" w:leftChars="0" w:hanging="425" w:firstLineChars="0"/>
              <w:jc w:val="center"/>
              <w:rPr>
                <w:rFonts w:hint="eastAsia" w:ascii="宋体" w:hAnsi="宋体" w:eastAsia="宋体" w:cs="宋体"/>
                <w:b w:val="0"/>
                <w:bCs w:val="0"/>
                <w:sz w:val="24"/>
                <w:szCs w:val="24"/>
              </w:rPr>
            </w:pPr>
          </w:p>
        </w:tc>
        <w:tc>
          <w:tcPr>
            <w:tcW w:w="1271"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24"/>
                <w:szCs w:val="24"/>
                <w:lang w:val="en-US" w:eastAsia="zh-CN"/>
              </w:rPr>
            </w:pPr>
          </w:p>
        </w:tc>
        <w:tc>
          <w:tcPr>
            <w:tcW w:w="2829" w:type="dxa"/>
            <w:noWrap w:val="0"/>
            <w:vAlign w:val="center"/>
          </w:tcPr>
          <w:p>
            <w:pPr>
              <w:widowControl/>
              <w:jc w:val="center"/>
              <w:rPr>
                <w:rFonts w:hint="eastAsia" w:ascii="宋体" w:hAnsi="宋体" w:eastAsia="宋体" w:cs="宋体"/>
                <w:color w:val="000000"/>
                <w:sz w:val="24"/>
                <w:szCs w:val="24"/>
                <w:lang w:val="en-US" w:eastAsia="zh-CN"/>
              </w:rPr>
            </w:pPr>
            <w:r>
              <w:rPr>
                <w:rFonts w:hint="eastAsia" w:ascii="宋体" w:hAnsi="宋体" w:eastAsia="宋体" w:cs="宋体"/>
                <w:color w:val="000000"/>
                <w:kern w:val="0"/>
                <w:sz w:val="24"/>
                <w:szCs w:val="24"/>
              </w:rPr>
              <w:t>IPv6转换</w:t>
            </w:r>
            <w:r>
              <w:rPr>
                <w:rFonts w:hint="eastAsia" w:ascii="宋体" w:hAnsi="宋体" w:eastAsia="宋体" w:cs="宋体"/>
                <w:color w:val="000000"/>
                <w:kern w:val="0"/>
                <w:sz w:val="24"/>
                <w:szCs w:val="24"/>
                <w:lang w:val="en-US" w:eastAsia="zh-CN"/>
              </w:rPr>
              <w:t>平台</w:t>
            </w:r>
          </w:p>
        </w:tc>
        <w:tc>
          <w:tcPr>
            <w:tcW w:w="1034" w:type="dxa"/>
            <w:noWrap w:val="0"/>
            <w:vAlign w:val="center"/>
          </w:tcPr>
          <w:p>
            <w:pPr>
              <w:widowControl/>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color w:val="000000"/>
                <w:kern w:val="0"/>
                <w:sz w:val="24"/>
                <w:szCs w:val="24"/>
              </w:rPr>
              <w:t>台</w:t>
            </w:r>
          </w:p>
        </w:tc>
        <w:tc>
          <w:tcPr>
            <w:tcW w:w="1014" w:type="dxa"/>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w:t>
            </w:r>
          </w:p>
        </w:tc>
        <w:tc>
          <w:tcPr>
            <w:tcW w:w="1326" w:type="dxa"/>
            <w:vMerge w:val="continue"/>
            <w:noWrap w:val="0"/>
            <w:vAlign w:val="center"/>
          </w:tcPr>
          <w:p>
            <w:pPr>
              <w:adjustRightInd w:val="0"/>
              <w:snapToGrid w:val="0"/>
              <w:spacing w:line="560" w:lineRule="exact"/>
              <w:jc w:val="center"/>
              <w:rPr>
                <w:rFonts w:hint="eastAsia"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584" w:type="dxa"/>
            <w:noWrap w:val="0"/>
            <w:vAlign w:val="center"/>
          </w:tcPr>
          <w:p>
            <w:pPr>
              <w:numPr>
                <w:ilvl w:val="0"/>
                <w:numId w:val="2"/>
              </w:numPr>
              <w:adjustRightInd w:val="0"/>
              <w:snapToGrid w:val="0"/>
              <w:spacing w:line="560" w:lineRule="exact"/>
              <w:ind w:left="425" w:leftChars="0" w:hanging="425" w:firstLineChars="0"/>
              <w:jc w:val="center"/>
              <w:rPr>
                <w:rFonts w:hint="eastAsia" w:ascii="宋体" w:hAnsi="宋体" w:eastAsia="宋体" w:cs="宋体"/>
                <w:b w:val="0"/>
                <w:bCs w:val="0"/>
                <w:sz w:val="24"/>
                <w:szCs w:val="24"/>
              </w:rPr>
            </w:pPr>
          </w:p>
        </w:tc>
        <w:tc>
          <w:tcPr>
            <w:tcW w:w="1271" w:type="dxa"/>
            <w:vMerge w:val="restart"/>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采购包2</w:t>
            </w:r>
          </w:p>
        </w:tc>
        <w:tc>
          <w:tcPr>
            <w:tcW w:w="2829" w:type="dxa"/>
            <w:noWrap w:val="0"/>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kern w:val="0"/>
                <w:sz w:val="24"/>
                <w:szCs w:val="24"/>
                <w:lang w:bidi="ar"/>
              </w:rPr>
              <w:t>楼层汇聚交换机</w:t>
            </w:r>
          </w:p>
        </w:tc>
        <w:tc>
          <w:tcPr>
            <w:tcW w:w="1034" w:type="dxa"/>
            <w:noWrap w:val="0"/>
            <w:vAlign w:val="center"/>
          </w:tcPr>
          <w:p>
            <w:pPr>
              <w:widowControl/>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color w:val="000000"/>
                <w:kern w:val="0"/>
                <w:sz w:val="24"/>
                <w:szCs w:val="24"/>
                <w:lang w:bidi="ar"/>
              </w:rPr>
              <w:t>台</w:t>
            </w:r>
          </w:p>
        </w:tc>
        <w:tc>
          <w:tcPr>
            <w:tcW w:w="1014" w:type="dxa"/>
            <w:noWrap w:val="0"/>
            <w:vAlign w:val="center"/>
          </w:tcPr>
          <w:p>
            <w:pPr>
              <w:widowControl/>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color w:val="000000"/>
                <w:kern w:val="0"/>
                <w:sz w:val="24"/>
                <w:szCs w:val="24"/>
                <w:lang w:bidi="ar"/>
              </w:rPr>
              <w:t>2</w:t>
            </w:r>
          </w:p>
        </w:tc>
        <w:tc>
          <w:tcPr>
            <w:tcW w:w="1326" w:type="dxa"/>
            <w:vMerge w:val="continue"/>
            <w:noWrap w:val="0"/>
            <w:vAlign w:val="center"/>
          </w:tcPr>
          <w:p>
            <w:pPr>
              <w:adjustRightInd w:val="0"/>
              <w:snapToGrid w:val="0"/>
              <w:spacing w:line="560" w:lineRule="exact"/>
              <w:jc w:val="center"/>
              <w:rPr>
                <w:rFonts w:hint="eastAsia"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584" w:type="dxa"/>
            <w:noWrap w:val="0"/>
            <w:vAlign w:val="center"/>
          </w:tcPr>
          <w:p>
            <w:pPr>
              <w:numPr>
                <w:ilvl w:val="0"/>
                <w:numId w:val="2"/>
              </w:numPr>
              <w:adjustRightInd w:val="0"/>
              <w:snapToGrid w:val="0"/>
              <w:spacing w:line="560" w:lineRule="exact"/>
              <w:ind w:left="425" w:leftChars="0" w:hanging="425" w:firstLineChars="0"/>
              <w:jc w:val="center"/>
              <w:rPr>
                <w:rFonts w:hint="eastAsia" w:ascii="宋体" w:hAnsi="宋体" w:eastAsia="宋体" w:cs="宋体"/>
                <w:b w:val="0"/>
                <w:bCs w:val="0"/>
                <w:sz w:val="24"/>
                <w:szCs w:val="24"/>
              </w:rPr>
            </w:pPr>
          </w:p>
        </w:tc>
        <w:tc>
          <w:tcPr>
            <w:tcW w:w="1271"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24"/>
                <w:szCs w:val="24"/>
                <w:lang w:val="en-US" w:eastAsia="zh-CN"/>
              </w:rPr>
            </w:pPr>
          </w:p>
        </w:tc>
        <w:tc>
          <w:tcPr>
            <w:tcW w:w="2829"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color w:val="000000"/>
                <w:kern w:val="0"/>
                <w:sz w:val="24"/>
                <w:szCs w:val="24"/>
                <w:lang w:bidi="ar"/>
              </w:rPr>
              <w:t>楼栋汇聚交换机</w:t>
            </w:r>
          </w:p>
        </w:tc>
        <w:tc>
          <w:tcPr>
            <w:tcW w:w="1034" w:type="dxa"/>
            <w:noWrap w:val="0"/>
            <w:vAlign w:val="center"/>
          </w:tcPr>
          <w:p>
            <w:pPr>
              <w:widowControl/>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color w:val="000000"/>
                <w:kern w:val="0"/>
                <w:sz w:val="24"/>
                <w:szCs w:val="24"/>
                <w:lang w:bidi="ar"/>
              </w:rPr>
              <w:t>台</w:t>
            </w:r>
          </w:p>
        </w:tc>
        <w:tc>
          <w:tcPr>
            <w:tcW w:w="1014" w:type="dxa"/>
            <w:noWrap w:val="0"/>
            <w:vAlign w:val="center"/>
          </w:tcPr>
          <w:p>
            <w:pPr>
              <w:widowControl/>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color w:val="000000"/>
                <w:kern w:val="0"/>
                <w:sz w:val="24"/>
                <w:szCs w:val="24"/>
                <w:lang w:bidi="ar"/>
              </w:rPr>
              <w:t>1</w:t>
            </w:r>
          </w:p>
        </w:tc>
        <w:tc>
          <w:tcPr>
            <w:tcW w:w="1326" w:type="dxa"/>
            <w:vMerge w:val="continue"/>
            <w:noWrap w:val="0"/>
            <w:vAlign w:val="center"/>
          </w:tcPr>
          <w:p>
            <w:pPr>
              <w:adjustRightInd w:val="0"/>
              <w:snapToGrid w:val="0"/>
              <w:spacing w:line="560" w:lineRule="exact"/>
              <w:jc w:val="center"/>
              <w:rPr>
                <w:rFonts w:hint="eastAsia"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584" w:type="dxa"/>
            <w:noWrap w:val="0"/>
            <w:vAlign w:val="center"/>
          </w:tcPr>
          <w:p>
            <w:pPr>
              <w:numPr>
                <w:ilvl w:val="0"/>
                <w:numId w:val="2"/>
              </w:numPr>
              <w:adjustRightInd w:val="0"/>
              <w:snapToGrid w:val="0"/>
              <w:spacing w:line="560" w:lineRule="exact"/>
              <w:ind w:left="425" w:leftChars="0" w:hanging="425" w:firstLineChars="0"/>
              <w:jc w:val="center"/>
              <w:rPr>
                <w:rFonts w:hint="eastAsia" w:ascii="宋体" w:hAnsi="宋体" w:eastAsia="宋体" w:cs="宋体"/>
                <w:b w:val="0"/>
                <w:bCs w:val="0"/>
                <w:sz w:val="24"/>
                <w:szCs w:val="24"/>
              </w:rPr>
            </w:pPr>
          </w:p>
        </w:tc>
        <w:tc>
          <w:tcPr>
            <w:tcW w:w="1271"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24"/>
                <w:szCs w:val="24"/>
                <w:lang w:val="en-US" w:eastAsia="zh-CN"/>
              </w:rPr>
            </w:pPr>
          </w:p>
        </w:tc>
        <w:tc>
          <w:tcPr>
            <w:tcW w:w="2829"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color w:val="000000"/>
                <w:kern w:val="0"/>
                <w:sz w:val="24"/>
                <w:szCs w:val="24"/>
                <w:lang w:bidi="ar"/>
              </w:rPr>
              <w:t>千兆单模光模块</w:t>
            </w:r>
          </w:p>
        </w:tc>
        <w:tc>
          <w:tcPr>
            <w:tcW w:w="1034" w:type="dxa"/>
            <w:noWrap w:val="0"/>
            <w:vAlign w:val="center"/>
          </w:tcPr>
          <w:p>
            <w:pPr>
              <w:widowControl/>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color w:val="000000"/>
                <w:kern w:val="0"/>
                <w:sz w:val="24"/>
                <w:szCs w:val="24"/>
                <w:lang w:bidi="ar"/>
              </w:rPr>
              <w:t>台</w:t>
            </w:r>
          </w:p>
        </w:tc>
        <w:tc>
          <w:tcPr>
            <w:tcW w:w="1014" w:type="dxa"/>
            <w:noWrap w:val="0"/>
            <w:vAlign w:val="center"/>
          </w:tcPr>
          <w:p>
            <w:pPr>
              <w:widowControl/>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color w:val="000000"/>
                <w:kern w:val="0"/>
                <w:sz w:val="24"/>
                <w:szCs w:val="24"/>
                <w:lang w:bidi="ar"/>
              </w:rPr>
              <w:t>86</w:t>
            </w:r>
          </w:p>
        </w:tc>
        <w:tc>
          <w:tcPr>
            <w:tcW w:w="1326" w:type="dxa"/>
            <w:vMerge w:val="continue"/>
            <w:noWrap w:val="0"/>
            <w:vAlign w:val="center"/>
          </w:tcPr>
          <w:p>
            <w:pPr>
              <w:adjustRightInd w:val="0"/>
              <w:snapToGrid w:val="0"/>
              <w:spacing w:line="560" w:lineRule="exact"/>
              <w:jc w:val="center"/>
              <w:rPr>
                <w:rFonts w:hint="eastAsia"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584" w:type="dxa"/>
            <w:noWrap w:val="0"/>
            <w:vAlign w:val="center"/>
          </w:tcPr>
          <w:p>
            <w:pPr>
              <w:numPr>
                <w:ilvl w:val="0"/>
                <w:numId w:val="2"/>
              </w:numPr>
              <w:adjustRightInd w:val="0"/>
              <w:snapToGrid w:val="0"/>
              <w:spacing w:line="560" w:lineRule="exact"/>
              <w:ind w:left="425" w:leftChars="0" w:hanging="425" w:firstLineChars="0"/>
              <w:jc w:val="center"/>
              <w:rPr>
                <w:rFonts w:hint="eastAsia" w:ascii="宋体" w:hAnsi="宋体" w:eastAsia="宋体" w:cs="宋体"/>
                <w:b w:val="0"/>
                <w:bCs w:val="0"/>
                <w:sz w:val="24"/>
                <w:szCs w:val="24"/>
              </w:rPr>
            </w:pPr>
          </w:p>
        </w:tc>
        <w:tc>
          <w:tcPr>
            <w:tcW w:w="1271"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24"/>
                <w:szCs w:val="24"/>
                <w:lang w:val="en-US" w:eastAsia="zh-CN"/>
              </w:rPr>
            </w:pPr>
          </w:p>
        </w:tc>
        <w:tc>
          <w:tcPr>
            <w:tcW w:w="2829"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color w:val="000000"/>
                <w:kern w:val="0"/>
                <w:sz w:val="24"/>
                <w:szCs w:val="24"/>
                <w:lang w:bidi="ar"/>
              </w:rPr>
              <w:t>万兆多模光模块</w:t>
            </w:r>
          </w:p>
        </w:tc>
        <w:tc>
          <w:tcPr>
            <w:tcW w:w="1034" w:type="dxa"/>
            <w:noWrap w:val="0"/>
            <w:vAlign w:val="center"/>
          </w:tcPr>
          <w:p>
            <w:pPr>
              <w:widowControl/>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color w:val="000000"/>
                <w:kern w:val="0"/>
                <w:sz w:val="24"/>
                <w:szCs w:val="24"/>
                <w:lang w:bidi="ar"/>
              </w:rPr>
              <w:t>台</w:t>
            </w:r>
          </w:p>
        </w:tc>
        <w:tc>
          <w:tcPr>
            <w:tcW w:w="1014" w:type="dxa"/>
            <w:noWrap w:val="0"/>
            <w:vAlign w:val="center"/>
          </w:tcPr>
          <w:p>
            <w:pPr>
              <w:widowControl/>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color w:val="000000"/>
                <w:kern w:val="0"/>
                <w:sz w:val="24"/>
                <w:szCs w:val="24"/>
                <w:lang w:bidi="ar"/>
              </w:rPr>
              <w:t>142</w:t>
            </w:r>
          </w:p>
        </w:tc>
        <w:tc>
          <w:tcPr>
            <w:tcW w:w="1326" w:type="dxa"/>
            <w:vMerge w:val="continue"/>
            <w:noWrap w:val="0"/>
            <w:vAlign w:val="center"/>
          </w:tcPr>
          <w:p>
            <w:pPr>
              <w:adjustRightInd w:val="0"/>
              <w:snapToGrid w:val="0"/>
              <w:spacing w:line="560" w:lineRule="exact"/>
              <w:jc w:val="center"/>
              <w:rPr>
                <w:rFonts w:hint="eastAsia"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584" w:type="dxa"/>
            <w:noWrap w:val="0"/>
            <w:vAlign w:val="center"/>
          </w:tcPr>
          <w:p>
            <w:pPr>
              <w:numPr>
                <w:ilvl w:val="0"/>
                <w:numId w:val="2"/>
              </w:numPr>
              <w:adjustRightInd w:val="0"/>
              <w:snapToGrid w:val="0"/>
              <w:spacing w:line="560" w:lineRule="exact"/>
              <w:ind w:left="425" w:leftChars="0" w:hanging="425" w:firstLineChars="0"/>
              <w:jc w:val="center"/>
              <w:rPr>
                <w:rFonts w:hint="eastAsia" w:ascii="宋体" w:hAnsi="宋体" w:eastAsia="宋体" w:cs="宋体"/>
                <w:b w:val="0"/>
                <w:bCs w:val="0"/>
                <w:sz w:val="24"/>
                <w:szCs w:val="24"/>
              </w:rPr>
            </w:pPr>
          </w:p>
        </w:tc>
        <w:tc>
          <w:tcPr>
            <w:tcW w:w="1271"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24"/>
                <w:szCs w:val="24"/>
                <w:lang w:val="en-US" w:eastAsia="zh-CN"/>
              </w:rPr>
            </w:pPr>
          </w:p>
        </w:tc>
        <w:tc>
          <w:tcPr>
            <w:tcW w:w="2829"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color w:val="000000"/>
                <w:kern w:val="0"/>
                <w:sz w:val="24"/>
                <w:szCs w:val="24"/>
                <w:lang w:bidi="ar"/>
              </w:rPr>
              <w:t>万兆单模光模块</w:t>
            </w:r>
          </w:p>
        </w:tc>
        <w:tc>
          <w:tcPr>
            <w:tcW w:w="1034" w:type="dxa"/>
            <w:noWrap w:val="0"/>
            <w:vAlign w:val="center"/>
          </w:tcPr>
          <w:p>
            <w:pPr>
              <w:widowControl/>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color w:val="000000"/>
                <w:kern w:val="0"/>
                <w:sz w:val="24"/>
                <w:szCs w:val="24"/>
                <w:lang w:bidi="ar"/>
              </w:rPr>
              <w:t>台</w:t>
            </w:r>
          </w:p>
        </w:tc>
        <w:tc>
          <w:tcPr>
            <w:tcW w:w="1014" w:type="dxa"/>
            <w:noWrap w:val="0"/>
            <w:vAlign w:val="center"/>
          </w:tcPr>
          <w:p>
            <w:pPr>
              <w:widowControl/>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color w:val="000000"/>
                <w:kern w:val="0"/>
                <w:sz w:val="24"/>
                <w:szCs w:val="24"/>
                <w:lang w:bidi="ar"/>
              </w:rPr>
              <w:t>4</w:t>
            </w:r>
          </w:p>
        </w:tc>
        <w:tc>
          <w:tcPr>
            <w:tcW w:w="1326" w:type="dxa"/>
            <w:vMerge w:val="continue"/>
            <w:noWrap w:val="0"/>
            <w:vAlign w:val="center"/>
          </w:tcPr>
          <w:p>
            <w:pPr>
              <w:adjustRightInd w:val="0"/>
              <w:snapToGrid w:val="0"/>
              <w:spacing w:line="560" w:lineRule="exact"/>
              <w:jc w:val="center"/>
              <w:rPr>
                <w:rFonts w:hint="eastAsia"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584" w:type="dxa"/>
            <w:noWrap w:val="0"/>
            <w:vAlign w:val="center"/>
          </w:tcPr>
          <w:p>
            <w:pPr>
              <w:numPr>
                <w:ilvl w:val="0"/>
                <w:numId w:val="2"/>
              </w:numPr>
              <w:adjustRightInd w:val="0"/>
              <w:snapToGrid w:val="0"/>
              <w:spacing w:line="560" w:lineRule="exact"/>
              <w:ind w:left="425" w:leftChars="0" w:hanging="425" w:firstLineChars="0"/>
              <w:jc w:val="center"/>
              <w:rPr>
                <w:rFonts w:hint="eastAsia" w:ascii="宋体" w:hAnsi="宋体" w:eastAsia="宋体" w:cs="宋体"/>
                <w:b w:val="0"/>
                <w:bCs w:val="0"/>
                <w:sz w:val="24"/>
                <w:szCs w:val="24"/>
              </w:rPr>
            </w:pPr>
          </w:p>
        </w:tc>
        <w:tc>
          <w:tcPr>
            <w:tcW w:w="1271"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24"/>
                <w:szCs w:val="24"/>
                <w:lang w:val="en-US" w:eastAsia="zh-CN"/>
              </w:rPr>
            </w:pPr>
          </w:p>
        </w:tc>
        <w:tc>
          <w:tcPr>
            <w:tcW w:w="2829"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color w:val="000000"/>
                <w:kern w:val="0"/>
                <w:sz w:val="24"/>
                <w:szCs w:val="24"/>
                <w:lang w:bidi="ar"/>
              </w:rPr>
              <w:t>万兆核心交换机</w:t>
            </w:r>
          </w:p>
        </w:tc>
        <w:tc>
          <w:tcPr>
            <w:tcW w:w="1034" w:type="dxa"/>
            <w:noWrap w:val="0"/>
            <w:vAlign w:val="center"/>
          </w:tcPr>
          <w:p>
            <w:pPr>
              <w:widowControl/>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color w:val="000000"/>
                <w:kern w:val="0"/>
                <w:sz w:val="24"/>
                <w:szCs w:val="24"/>
                <w:lang w:bidi="ar"/>
              </w:rPr>
              <w:t>台</w:t>
            </w:r>
          </w:p>
        </w:tc>
        <w:tc>
          <w:tcPr>
            <w:tcW w:w="1014" w:type="dxa"/>
            <w:noWrap w:val="0"/>
            <w:vAlign w:val="center"/>
          </w:tcPr>
          <w:p>
            <w:pPr>
              <w:widowControl/>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color w:val="000000"/>
                <w:kern w:val="0"/>
                <w:sz w:val="24"/>
                <w:szCs w:val="24"/>
                <w:lang w:bidi="ar"/>
              </w:rPr>
              <w:t>2</w:t>
            </w:r>
          </w:p>
        </w:tc>
        <w:tc>
          <w:tcPr>
            <w:tcW w:w="1326" w:type="dxa"/>
            <w:vMerge w:val="continue"/>
            <w:noWrap w:val="0"/>
            <w:vAlign w:val="center"/>
          </w:tcPr>
          <w:p>
            <w:pPr>
              <w:adjustRightInd w:val="0"/>
              <w:snapToGrid w:val="0"/>
              <w:spacing w:line="560" w:lineRule="exact"/>
              <w:jc w:val="center"/>
              <w:rPr>
                <w:rFonts w:hint="eastAsia"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584" w:type="dxa"/>
            <w:noWrap w:val="0"/>
            <w:vAlign w:val="center"/>
          </w:tcPr>
          <w:p>
            <w:pPr>
              <w:numPr>
                <w:ilvl w:val="0"/>
                <w:numId w:val="2"/>
              </w:numPr>
              <w:adjustRightInd w:val="0"/>
              <w:snapToGrid w:val="0"/>
              <w:spacing w:line="560" w:lineRule="exact"/>
              <w:ind w:left="425" w:leftChars="0" w:hanging="425" w:firstLineChars="0"/>
              <w:jc w:val="center"/>
              <w:rPr>
                <w:rFonts w:hint="eastAsia" w:ascii="宋体" w:hAnsi="宋体" w:eastAsia="宋体" w:cs="宋体"/>
                <w:b w:val="0"/>
                <w:bCs w:val="0"/>
                <w:sz w:val="24"/>
                <w:szCs w:val="24"/>
              </w:rPr>
            </w:pPr>
          </w:p>
        </w:tc>
        <w:tc>
          <w:tcPr>
            <w:tcW w:w="1271"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24"/>
                <w:szCs w:val="24"/>
                <w:lang w:val="en-US" w:eastAsia="zh-CN"/>
              </w:rPr>
            </w:pPr>
          </w:p>
        </w:tc>
        <w:tc>
          <w:tcPr>
            <w:tcW w:w="2829"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color w:val="000000"/>
                <w:kern w:val="0"/>
                <w:sz w:val="24"/>
                <w:szCs w:val="24"/>
                <w:lang w:bidi="ar"/>
              </w:rPr>
              <w:t>千兆服务器接入交换机</w:t>
            </w:r>
          </w:p>
        </w:tc>
        <w:tc>
          <w:tcPr>
            <w:tcW w:w="1034" w:type="dxa"/>
            <w:noWrap w:val="0"/>
            <w:vAlign w:val="center"/>
          </w:tcPr>
          <w:p>
            <w:pPr>
              <w:widowControl/>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color w:val="000000"/>
                <w:kern w:val="0"/>
                <w:sz w:val="24"/>
                <w:szCs w:val="24"/>
                <w:lang w:bidi="ar"/>
              </w:rPr>
              <w:t>台</w:t>
            </w:r>
          </w:p>
        </w:tc>
        <w:tc>
          <w:tcPr>
            <w:tcW w:w="1014" w:type="dxa"/>
            <w:noWrap w:val="0"/>
            <w:vAlign w:val="center"/>
          </w:tcPr>
          <w:p>
            <w:pPr>
              <w:widowControl/>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color w:val="000000"/>
                <w:kern w:val="0"/>
                <w:sz w:val="24"/>
                <w:szCs w:val="24"/>
                <w:lang w:bidi="ar"/>
              </w:rPr>
              <w:t>2</w:t>
            </w:r>
          </w:p>
        </w:tc>
        <w:tc>
          <w:tcPr>
            <w:tcW w:w="1326" w:type="dxa"/>
            <w:vMerge w:val="continue"/>
            <w:noWrap w:val="0"/>
            <w:vAlign w:val="center"/>
          </w:tcPr>
          <w:p>
            <w:pPr>
              <w:adjustRightInd w:val="0"/>
              <w:snapToGrid w:val="0"/>
              <w:spacing w:line="560" w:lineRule="exact"/>
              <w:jc w:val="center"/>
              <w:rPr>
                <w:rFonts w:hint="eastAsia"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584" w:type="dxa"/>
            <w:noWrap w:val="0"/>
            <w:vAlign w:val="center"/>
          </w:tcPr>
          <w:p>
            <w:pPr>
              <w:numPr>
                <w:ilvl w:val="0"/>
                <w:numId w:val="2"/>
              </w:numPr>
              <w:adjustRightInd w:val="0"/>
              <w:snapToGrid w:val="0"/>
              <w:spacing w:line="560" w:lineRule="exact"/>
              <w:ind w:left="425" w:leftChars="0" w:hanging="425" w:firstLineChars="0"/>
              <w:jc w:val="center"/>
              <w:rPr>
                <w:rFonts w:hint="eastAsia" w:ascii="宋体" w:hAnsi="宋体" w:eastAsia="宋体" w:cs="宋体"/>
                <w:b w:val="0"/>
                <w:bCs w:val="0"/>
                <w:sz w:val="24"/>
                <w:szCs w:val="24"/>
              </w:rPr>
            </w:pPr>
          </w:p>
        </w:tc>
        <w:tc>
          <w:tcPr>
            <w:tcW w:w="1271"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24"/>
                <w:szCs w:val="24"/>
                <w:lang w:val="en-US" w:eastAsia="zh-CN"/>
              </w:rPr>
            </w:pPr>
          </w:p>
        </w:tc>
        <w:tc>
          <w:tcPr>
            <w:tcW w:w="2829"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color w:val="000000"/>
                <w:kern w:val="0"/>
                <w:sz w:val="24"/>
                <w:szCs w:val="24"/>
                <w:lang w:bidi="ar"/>
              </w:rPr>
              <w:t>超融合数据交换机</w:t>
            </w:r>
          </w:p>
        </w:tc>
        <w:tc>
          <w:tcPr>
            <w:tcW w:w="1034" w:type="dxa"/>
            <w:noWrap w:val="0"/>
            <w:vAlign w:val="center"/>
          </w:tcPr>
          <w:p>
            <w:pPr>
              <w:widowControl/>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color w:val="000000"/>
                <w:kern w:val="0"/>
                <w:sz w:val="24"/>
                <w:szCs w:val="24"/>
                <w:lang w:bidi="ar"/>
              </w:rPr>
              <w:t>台</w:t>
            </w:r>
          </w:p>
        </w:tc>
        <w:tc>
          <w:tcPr>
            <w:tcW w:w="1014" w:type="dxa"/>
            <w:noWrap w:val="0"/>
            <w:vAlign w:val="center"/>
          </w:tcPr>
          <w:p>
            <w:pPr>
              <w:widowControl/>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color w:val="000000"/>
                <w:kern w:val="0"/>
                <w:sz w:val="24"/>
                <w:szCs w:val="24"/>
                <w:lang w:bidi="ar"/>
              </w:rPr>
              <w:t>2</w:t>
            </w:r>
          </w:p>
        </w:tc>
        <w:tc>
          <w:tcPr>
            <w:tcW w:w="1326" w:type="dxa"/>
            <w:vMerge w:val="continue"/>
            <w:noWrap w:val="0"/>
            <w:vAlign w:val="center"/>
          </w:tcPr>
          <w:p>
            <w:pPr>
              <w:adjustRightInd w:val="0"/>
              <w:snapToGrid w:val="0"/>
              <w:spacing w:line="560" w:lineRule="exact"/>
              <w:jc w:val="center"/>
              <w:rPr>
                <w:rFonts w:hint="eastAsia"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584" w:type="dxa"/>
            <w:noWrap w:val="0"/>
            <w:vAlign w:val="center"/>
          </w:tcPr>
          <w:p>
            <w:pPr>
              <w:numPr>
                <w:ilvl w:val="0"/>
                <w:numId w:val="2"/>
              </w:numPr>
              <w:adjustRightInd w:val="0"/>
              <w:snapToGrid w:val="0"/>
              <w:spacing w:line="560" w:lineRule="exact"/>
              <w:ind w:left="425" w:leftChars="0" w:hanging="425" w:firstLineChars="0"/>
              <w:jc w:val="center"/>
              <w:rPr>
                <w:rFonts w:hint="eastAsia" w:ascii="宋体" w:hAnsi="宋体" w:eastAsia="宋体" w:cs="宋体"/>
                <w:b w:val="0"/>
                <w:bCs w:val="0"/>
                <w:sz w:val="24"/>
                <w:szCs w:val="24"/>
              </w:rPr>
            </w:pPr>
          </w:p>
        </w:tc>
        <w:tc>
          <w:tcPr>
            <w:tcW w:w="1271"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24"/>
                <w:szCs w:val="24"/>
                <w:lang w:val="en-US" w:eastAsia="zh-CN"/>
              </w:rPr>
            </w:pPr>
          </w:p>
        </w:tc>
        <w:tc>
          <w:tcPr>
            <w:tcW w:w="2829"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color w:val="000000"/>
                <w:kern w:val="0"/>
                <w:sz w:val="24"/>
                <w:szCs w:val="24"/>
                <w:lang w:bidi="ar"/>
              </w:rPr>
              <w:t>IPMI调试交换机</w:t>
            </w:r>
          </w:p>
        </w:tc>
        <w:tc>
          <w:tcPr>
            <w:tcW w:w="1034" w:type="dxa"/>
            <w:noWrap w:val="0"/>
            <w:vAlign w:val="center"/>
          </w:tcPr>
          <w:p>
            <w:pPr>
              <w:widowControl/>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color w:val="000000"/>
                <w:kern w:val="0"/>
                <w:sz w:val="24"/>
                <w:szCs w:val="24"/>
                <w:lang w:bidi="ar"/>
              </w:rPr>
              <w:t>台</w:t>
            </w:r>
          </w:p>
        </w:tc>
        <w:tc>
          <w:tcPr>
            <w:tcW w:w="1014" w:type="dxa"/>
            <w:noWrap w:val="0"/>
            <w:vAlign w:val="center"/>
          </w:tcPr>
          <w:p>
            <w:pPr>
              <w:widowControl/>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color w:val="000000"/>
                <w:kern w:val="0"/>
                <w:sz w:val="24"/>
                <w:szCs w:val="24"/>
                <w:lang w:bidi="ar"/>
              </w:rPr>
              <w:t>2</w:t>
            </w:r>
          </w:p>
        </w:tc>
        <w:tc>
          <w:tcPr>
            <w:tcW w:w="1326" w:type="dxa"/>
            <w:vMerge w:val="continue"/>
            <w:noWrap w:val="0"/>
            <w:vAlign w:val="center"/>
          </w:tcPr>
          <w:p>
            <w:pPr>
              <w:adjustRightInd w:val="0"/>
              <w:snapToGrid w:val="0"/>
              <w:spacing w:line="560" w:lineRule="exact"/>
              <w:jc w:val="center"/>
              <w:rPr>
                <w:rFonts w:hint="eastAsia"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584" w:type="dxa"/>
            <w:noWrap w:val="0"/>
            <w:vAlign w:val="center"/>
          </w:tcPr>
          <w:p>
            <w:pPr>
              <w:numPr>
                <w:ilvl w:val="0"/>
                <w:numId w:val="2"/>
              </w:numPr>
              <w:adjustRightInd w:val="0"/>
              <w:snapToGrid w:val="0"/>
              <w:spacing w:line="560" w:lineRule="exact"/>
              <w:ind w:left="425" w:leftChars="0" w:hanging="425" w:firstLineChars="0"/>
              <w:jc w:val="center"/>
              <w:rPr>
                <w:rFonts w:hint="eastAsia" w:ascii="宋体" w:hAnsi="宋体" w:eastAsia="宋体" w:cs="宋体"/>
                <w:b w:val="0"/>
                <w:bCs w:val="0"/>
                <w:sz w:val="24"/>
                <w:szCs w:val="24"/>
              </w:rPr>
            </w:pPr>
          </w:p>
        </w:tc>
        <w:tc>
          <w:tcPr>
            <w:tcW w:w="1271"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24"/>
                <w:szCs w:val="24"/>
                <w:lang w:val="en-US" w:eastAsia="zh-CN"/>
              </w:rPr>
            </w:pPr>
          </w:p>
        </w:tc>
        <w:tc>
          <w:tcPr>
            <w:tcW w:w="2829"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color w:val="000000"/>
                <w:kern w:val="0"/>
                <w:sz w:val="24"/>
                <w:szCs w:val="24"/>
                <w:lang w:bidi="ar"/>
              </w:rPr>
              <w:t>千兆多模光模块</w:t>
            </w:r>
          </w:p>
        </w:tc>
        <w:tc>
          <w:tcPr>
            <w:tcW w:w="1034" w:type="dxa"/>
            <w:noWrap w:val="0"/>
            <w:vAlign w:val="center"/>
          </w:tcPr>
          <w:p>
            <w:pPr>
              <w:widowControl/>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color w:val="000000"/>
                <w:kern w:val="0"/>
                <w:sz w:val="24"/>
                <w:szCs w:val="24"/>
                <w:lang w:bidi="ar"/>
              </w:rPr>
              <w:t>台</w:t>
            </w:r>
          </w:p>
        </w:tc>
        <w:tc>
          <w:tcPr>
            <w:tcW w:w="1014" w:type="dxa"/>
            <w:noWrap w:val="0"/>
            <w:vAlign w:val="center"/>
          </w:tcPr>
          <w:p>
            <w:pPr>
              <w:widowControl/>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color w:val="000000"/>
                <w:kern w:val="0"/>
                <w:sz w:val="24"/>
                <w:szCs w:val="24"/>
                <w:lang w:bidi="ar"/>
              </w:rPr>
              <w:t>4</w:t>
            </w:r>
          </w:p>
        </w:tc>
        <w:tc>
          <w:tcPr>
            <w:tcW w:w="1326" w:type="dxa"/>
            <w:vMerge w:val="continue"/>
            <w:noWrap w:val="0"/>
            <w:vAlign w:val="center"/>
          </w:tcPr>
          <w:p>
            <w:pPr>
              <w:adjustRightInd w:val="0"/>
              <w:snapToGrid w:val="0"/>
              <w:spacing w:line="560" w:lineRule="exact"/>
              <w:jc w:val="center"/>
              <w:rPr>
                <w:rFonts w:hint="eastAsia"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584" w:type="dxa"/>
            <w:noWrap w:val="0"/>
            <w:vAlign w:val="center"/>
          </w:tcPr>
          <w:p>
            <w:pPr>
              <w:numPr>
                <w:ilvl w:val="0"/>
                <w:numId w:val="2"/>
              </w:numPr>
              <w:adjustRightInd w:val="0"/>
              <w:snapToGrid w:val="0"/>
              <w:spacing w:line="560" w:lineRule="exact"/>
              <w:ind w:left="425" w:leftChars="0" w:hanging="425" w:firstLineChars="0"/>
              <w:jc w:val="center"/>
              <w:rPr>
                <w:rFonts w:hint="eastAsia" w:ascii="宋体" w:hAnsi="宋体" w:eastAsia="宋体" w:cs="宋体"/>
                <w:b w:val="0"/>
                <w:bCs w:val="0"/>
                <w:sz w:val="24"/>
                <w:szCs w:val="24"/>
              </w:rPr>
            </w:pPr>
          </w:p>
        </w:tc>
        <w:tc>
          <w:tcPr>
            <w:tcW w:w="1271"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宋体" w:hAnsi="宋体" w:eastAsia="宋体" w:cs="宋体"/>
                <w:color w:val="000000"/>
                <w:sz w:val="24"/>
                <w:szCs w:val="24"/>
                <w:lang w:val="en-US" w:eastAsia="zh-CN"/>
              </w:rPr>
            </w:pPr>
          </w:p>
        </w:tc>
        <w:tc>
          <w:tcPr>
            <w:tcW w:w="2829" w:type="dxa"/>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color w:val="000000"/>
                <w:kern w:val="0"/>
                <w:sz w:val="24"/>
                <w:szCs w:val="24"/>
                <w:lang w:bidi="ar"/>
              </w:rPr>
              <w:t>辅材及配件</w:t>
            </w:r>
          </w:p>
        </w:tc>
        <w:tc>
          <w:tcPr>
            <w:tcW w:w="1034" w:type="dxa"/>
            <w:noWrap w:val="0"/>
            <w:vAlign w:val="center"/>
          </w:tcPr>
          <w:p>
            <w:pPr>
              <w:widowControl/>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color w:val="000000"/>
                <w:kern w:val="0"/>
                <w:sz w:val="24"/>
                <w:szCs w:val="24"/>
                <w:lang w:bidi="ar"/>
              </w:rPr>
              <w:t>套</w:t>
            </w:r>
          </w:p>
        </w:tc>
        <w:tc>
          <w:tcPr>
            <w:tcW w:w="1014" w:type="dxa"/>
            <w:noWrap w:val="0"/>
            <w:vAlign w:val="center"/>
          </w:tcPr>
          <w:p>
            <w:pPr>
              <w:widowControl/>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color w:val="000000"/>
                <w:kern w:val="0"/>
                <w:sz w:val="24"/>
                <w:szCs w:val="24"/>
                <w:lang w:bidi="ar"/>
              </w:rPr>
              <w:t>1</w:t>
            </w:r>
          </w:p>
        </w:tc>
        <w:tc>
          <w:tcPr>
            <w:tcW w:w="1326" w:type="dxa"/>
            <w:vMerge w:val="continue"/>
            <w:noWrap w:val="0"/>
            <w:vAlign w:val="center"/>
          </w:tcPr>
          <w:p>
            <w:pPr>
              <w:adjustRightInd w:val="0"/>
              <w:snapToGrid w:val="0"/>
              <w:spacing w:line="560" w:lineRule="exact"/>
              <w:jc w:val="center"/>
              <w:rPr>
                <w:rFonts w:hint="eastAsia" w:ascii="宋体" w:hAnsi="宋体" w:eastAsia="宋体" w:cs="宋体"/>
                <w:b w:val="0"/>
                <w:bCs w:val="0"/>
                <w:sz w:val="24"/>
                <w:szCs w:val="24"/>
              </w:rPr>
            </w:pPr>
          </w:p>
        </w:tc>
      </w:tr>
    </w:tbl>
    <w:p>
      <w:pPr>
        <w:numPr>
          <w:ilvl w:val="0"/>
          <w:numId w:val="0"/>
        </w:numPr>
        <w:spacing w:line="360" w:lineRule="auto"/>
        <w:outlineLvl w:val="1"/>
        <w:rPr>
          <w:rFonts w:hint="default"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注：本项目标的名称为1-12项</w:t>
      </w:r>
    </w:p>
    <w:p>
      <w:pPr>
        <w:numPr>
          <w:ilvl w:val="0"/>
          <w:numId w:val="0"/>
        </w:numPr>
        <w:spacing w:line="360" w:lineRule="auto"/>
        <w:outlineLvl w:val="1"/>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val="en-US" w:eastAsia="zh-CN"/>
        </w:rPr>
        <w:t>三、技术</w:t>
      </w:r>
      <w:r>
        <w:rPr>
          <w:rFonts w:hint="eastAsia" w:ascii="宋体" w:hAnsi="宋体" w:eastAsia="宋体" w:cs="宋体"/>
          <w:b/>
          <w:bCs/>
          <w:color w:val="auto"/>
          <w:sz w:val="28"/>
          <w:szCs w:val="28"/>
          <w:highlight w:val="none"/>
        </w:rPr>
        <w:t>要求</w:t>
      </w:r>
    </w:p>
    <w:p>
      <w:pPr>
        <w:jc w:val="left"/>
        <w:rPr>
          <w:rFonts w:hint="eastAsia"/>
          <w:b/>
          <w:bCs/>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采购包1：</w:t>
      </w:r>
    </w:p>
    <w:p>
      <w:pPr>
        <w:keepNext w:val="0"/>
        <w:keepLines w:val="0"/>
        <w:pageBreakBefore w:val="0"/>
        <w:kinsoku/>
        <w:wordWrap/>
        <w:overflowPunct/>
        <w:topLinePunct w:val="0"/>
        <w:autoSpaceDE/>
        <w:autoSpaceDN/>
        <w:bidi w:val="0"/>
        <w:adjustRightInd/>
        <w:spacing w:line="360" w:lineRule="auto"/>
        <w:jc w:val="lef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一）、智能DNS</w:t>
      </w:r>
      <w:r>
        <w:rPr>
          <w:rFonts w:hint="eastAsia" w:ascii="宋体" w:hAnsi="宋体" w:eastAsia="宋体" w:cs="宋体"/>
          <w:b/>
          <w:bCs/>
          <w:sz w:val="24"/>
          <w:szCs w:val="24"/>
          <w:lang w:val="en-US" w:eastAsia="zh-CN"/>
        </w:rPr>
        <w:tab/>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硬件规格：不低于标准19英寸2U机架式 ,双电源；设备解析性能：解析性能QPS（Query Per Second）≥120,000。</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主要功能：具备基本的域管理、递归域管理、</w:t>
      </w:r>
      <w:r>
        <w:rPr>
          <w:rFonts w:hint="eastAsia" w:ascii="宋体" w:hAnsi="宋体" w:eastAsia="宋体" w:cs="宋体"/>
          <w:color w:val="auto"/>
          <w:sz w:val="24"/>
          <w:szCs w:val="24"/>
          <w:highlight w:val="none"/>
          <w:lang w:val="en-US" w:eastAsia="zh-CN"/>
        </w:rPr>
        <w:t>系统自身防护</w:t>
      </w:r>
      <w:r>
        <w:rPr>
          <w:rFonts w:hint="eastAsia" w:ascii="宋体" w:hAnsi="宋体" w:eastAsia="宋体" w:cs="宋体"/>
          <w:sz w:val="24"/>
          <w:szCs w:val="24"/>
          <w:lang w:val="en-US" w:eastAsia="zh-CN"/>
        </w:rPr>
        <w:t>、告警通知、端口聚合、网络工具、用户角色管理、服务集群管理、操作日志、DNS日志等功能模块。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▲系统存储介质：同时支持使用快速卡（CF卡）存储和使用硬盘存储，在必要的时候支持更换。</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网络接口数量： ≥8个千兆电接口；≥4个千兆光纤接口,配备光模块≥4个。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接口IP：支持同一接口上绑定多IP，支持在同一个接口上配置IPv6/IPv4双栈地址。</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链路聚合：支持多接口链路聚合，聚合方式至少支持FAILOVER、FEC、LACP、LOADBALANCE、ROUNDROBIN等方式。</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▲接口类型：支持逻辑接口和物理接口分离，支持在逻辑接口上引用物理接口。（提供截图证明材料并加盖投标人公章）</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▲接口安全：支持各逻辑接口的管理、业务、Ping分别开启和关闭，并保证DNS的解析安全。（提供截图证明材料并加盖投标人公章）</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全中文的图形界面：支持全中文的图形管理界面；管理方式：支持HTTP、HTTPS、SSH、SNMP等多种管理方式。</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权限管理：支持分级用户管理权限，系统中可建立超级管理员、系统管理员、域名管理员。</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升级方式：支持本地升级，支持远程在线升级，支持升级检测。</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▲支持数据备份，支持区分日志数据、域名数据、线路数据、系统数据，支持全部导出和部分导出。（提供截图证明材料并加盖投标人公章）</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▲解析过滤：支持双栈模式下IPv4记录和IPv6记录过滤功能，支持指定递归域名的 AAAA 解析内容过滤，只返回指定域名的 A 记录过滤 AAAA 记录，同时其他域名的 AAAA解析不受影响。（提供截图证明材料并加盖投标人公章）</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日志分析：支持日志分析，支持基于查询次数与拦截次数、威胁类型、TOP受威胁主机、威胁域名TOP排行、来源线路统计、域名库统计等数据统计；支持内网主机事件报表分析;支持威胁事件主机统计，支持根据时间段、线路、内网主机、威胁名称、恶意域名拦截时间进行排名，支持威胁主机导出功能。（提供截图证明并加盖公章）</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日志存储：本地、远程日志存储；日志分析：本地、远程日志深度分析。</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记录类型：支持A、AAAA、A6、CAA、CNAME、DNAME、HINFO、MX、NS、NAPTR、PTR、SRV、TXT、URL等记录类型。</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智能解析：支持外部用户访问学校内部的网站时，引导不同运营商的用户访问到各自所在的运营商镜像地址。如来自电信的访问者，解析到电信的镜像地址，来自教育网的访问者，则解析到教育网的镜像地址。</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▲IP库管理：支持运营商（中国移动、中国电信、中国联通、中国广电等）以及各省市IP库，IP地址库支持自定义维护。（提供截图证明材料并加盖投标人公章）</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▲端口复用：支持端口解析，将多个域名解析到同一个IP地址上，并携带端口信息，起到地址复用的作用（提供截图证明材料并加盖投标人公章）。</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泛域名解析：支持泛域名解析。</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IPv支持：支持纯IPv6、纯IPv4 及IPv6/IPv4双栈解析。</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策略路由：支持接入多条ISP线路，绑定多个ISP 的IP地址，实现对不同ISP提供智能解析。</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highlight w:val="none"/>
          <w:lang w:val="en-US" w:eastAsia="zh-CN"/>
        </w:rPr>
        <w:t>▲防火墙联动：能联动出口防火墙和数据中心防火墙实现链</w:t>
      </w:r>
      <w:r>
        <w:rPr>
          <w:rFonts w:hint="eastAsia" w:ascii="宋体" w:hAnsi="宋体" w:eastAsia="宋体" w:cs="宋体"/>
          <w:sz w:val="24"/>
          <w:szCs w:val="24"/>
          <w:lang w:val="en-US" w:eastAsia="zh-CN"/>
        </w:rPr>
        <w:t>路负载监控并实现各链路的负载均衡。（提供截图证明材料并加盖投标人公章）</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负载均衡：支持DNS负载均衡功能。</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自动同步：支持主辅互备，支持多台多层次智能DNS数据同步，支持无限级部署以及集中管理。</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▲安全威胁：支持自定义威胁域名库数据库，可以自行创建威胁域名数据；</w:t>
      </w:r>
      <w:r>
        <w:rPr>
          <w:rFonts w:hint="eastAsia" w:ascii="宋体" w:hAnsi="宋体" w:eastAsia="宋体" w:cs="宋体"/>
          <w:color w:val="auto"/>
          <w:sz w:val="24"/>
          <w:szCs w:val="24"/>
          <w:highlight w:val="none"/>
          <w:lang w:val="en-US" w:eastAsia="zh-CN"/>
        </w:rPr>
        <w:t>非正常解析请求处置</w:t>
      </w:r>
      <w:r>
        <w:rPr>
          <w:rFonts w:hint="eastAsia" w:ascii="宋体" w:hAnsi="宋体" w:eastAsia="宋体" w:cs="宋体"/>
          <w:sz w:val="24"/>
          <w:szCs w:val="24"/>
          <w:lang w:val="en-US" w:eastAsia="zh-CN"/>
        </w:rPr>
        <w:t>，内置病毒、木马、网络钓鱼以及广告等恶意域名数据库，可以针对全部或部分用户实施恶意域名拦截，支持威胁情报管理，支持恶意IP地址数据库及威胁域名数据库在线管理、自动更新，实现基于解析结果及威胁域的恶意网络活动进行实时拦截。（提供截图证明材料并加盖投标人公章）</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告警监控：配置监控告警模块，支持自定义监控类别与监控阈值，监控类别包括但不限于CPU利用率、内存利用率、存储空间、系统负载、CPU温度、解析成功率等，支持多种告警方式，包括邮件、短信、微信）。</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黑白名单：支持黑白名单功能，可以拒绝指定IP查询及访问，可以允许指定IP访问和管理智能DNS系统。</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▲安全防护：支持防DDOS模块和并发解析功能，可以限制单IP每秒的解析请求。（提供截图证明材料并加盖投标人公章）</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▲BRAS联动：支持与BRAS系统联动实现基于用户身份的自动选路（提供截图证明材料并加盖投标人公章）。</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递归限制：支持限制递归并发数和单一域域递归并发数。</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域名纠错：支持不存在域名重定向到指定IP地址。</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域名拦截：支持将指定域名拦截到指定IP地址，支持URL拦截和跳转到指定网站。</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▲地址池功能：支持多种主机健康检测方式（ping,URL,SNMPv2,端口，API接口）对应用服务器进行检测，并实现负载均衡功能。（提供截图证明材料并加盖投标人公章）</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▲实用工具：支持dig、whois、ping、中文域名编码转换等常用工具。（提供截图证明并加盖公章）</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生效检查：支持对添加的记录在外部DNS服务器检查是否生效。</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数据迁移：支持将原有Bind、Windows DNS配置文件迁移到新系统。</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监控告警：支持告警设置和将告警信息以邮件形式发送给管理员。</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▲解析过滤：支持在执行递归解析的时候将解析结果进行类型过滤。（提供截图证明材料并加盖投标人公章）</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▲高可用方式：支持开放标准API接口,与不同的智能DNS联动实现高可用和数据同步。（提供承诺函并加盖投标人公章）</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数据挖掘：支持开启和关闭数据挖局功能，数据挖掘功能主要是实现查询日志的实时提取和分析。</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▲动态线路/域：支持新建的线路进行动态更新地址库，支持自动写入和自动删除主机位的IP地址。（提供截图证明材料并加盖投标人公章）</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接口VLAN：支持接口上配置VLAN标签，支持VLAN优先级</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支持启用和禁用数据挖掘，分析模式支持本地分析和远程分析，开启分析之后支持查询日志统计，关闭分析后禁用查询日志分析。</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▲支持记录迁移，支持选择线路，选择域名，选择记录，TTL值等多种迁移项，支持迁移提示，避免数据在迁移的时候丢失。（提供截图证明材料并加盖投标人公章）</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可支持远程关闭系统和远程直接关闭电源。</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▲回收站功能，支持恢复被删除的集群、域、线路、记录。（提供截图证明材料并加盖投标人公章）</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lang w:val="en-US" w:eastAsia="zh-CN"/>
        </w:rPr>
      </w:pPr>
    </w:p>
    <w:p>
      <w:pPr>
        <w:keepNext w:val="0"/>
        <w:keepLines w:val="0"/>
        <w:pageBreakBefore w:val="0"/>
        <w:kinsoku/>
        <w:wordWrap/>
        <w:overflowPunct/>
        <w:topLinePunct w:val="0"/>
        <w:autoSpaceDE/>
        <w:autoSpaceDN/>
        <w:bidi w:val="0"/>
        <w:adjustRightInd/>
        <w:spacing w:line="360" w:lineRule="auto"/>
        <w:jc w:val="lef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二）、IPv6转换平台</w:t>
      </w:r>
    </w:p>
    <w:p>
      <w:pPr>
        <w:keepNext w:val="0"/>
        <w:keepLines w:val="0"/>
        <w:pageBreakBefore w:val="0"/>
        <w:numPr>
          <w:ilvl w:val="0"/>
          <w:numId w:val="4"/>
        </w:numPr>
        <w:kinsoku/>
        <w:wordWrap/>
        <w:overflowPunct/>
        <w:topLinePunct w:val="0"/>
        <w:autoSpaceDE/>
        <w:autoSpaceDN/>
        <w:bidi w:val="0"/>
        <w:adjustRightInd/>
        <w:spacing w:line="360" w:lineRule="auto"/>
        <w:ind w:left="0" w:leftChars="0" w:firstLine="42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用软硬件一体式设计，配置千兆电口≥8个，千兆光口≥4个,配备光模块≥4个，可管理资源站点数量≥300个，硬盘≥1TB，WebVPN并发用户数≥1000个。要求配置备案管理、资源发布、WebVPN、一键断网、HTTPS证书管理、安全威胁管理、僵尸网站检测、资源导航、远程运维管理、日志审计等功能模块，所有功能模块均应在单台设备上实现。</w:t>
      </w:r>
    </w:p>
    <w:p>
      <w:pPr>
        <w:keepNext w:val="0"/>
        <w:keepLines w:val="0"/>
        <w:pageBreakBefore w:val="0"/>
        <w:numPr>
          <w:ilvl w:val="0"/>
          <w:numId w:val="4"/>
        </w:numPr>
        <w:kinsoku/>
        <w:wordWrap/>
        <w:overflowPunct/>
        <w:topLinePunct w:val="0"/>
        <w:autoSpaceDE/>
        <w:autoSpaceDN/>
        <w:bidi w:val="0"/>
        <w:adjustRightInd/>
        <w:spacing w:line="360" w:lineRule="auto"/>
        <w:ind w:left="0" w:leftChars="0" w:firstLine="42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支持对校内网站及信息系统等Web资源进行集中统一管理，统一入口，隐藏服务器内部IP。</w:t>
      </w:r>
    </w:p>
    <w:p>
      <w:pPr>
        <w:keepNext w:val="0"/>
        <w:keepLines w:val="0"/>
        <w:pageBreakBefore w:val="0"/>
        <w:numPr>
          <w:ilvl w:val="0"/>
          <w:numId w:val="4"/>
        </w:numPr>
        <w:kinsoku/>
        <w:wordWrap/>
        <w:overflowPunct/>
        <w:topLinePunct w:val="0"/>
        <w:autoSpaceDE/>
        <w:autoSpaceDN/>
        <w:bidi w:val="0"/>
        <w:adjustRightInd/>
        <w:spacing w:line="360" w:lineRule="auto"/>
        <w:ind w:left="0" w:leftChars="0" w:firstLine="42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▲全面支持IPv6，支持网站及业务系统进行IPv4/IPv6双栈访问（提供截图证明材料并加盖投标人公章）。</w:t>
      </w:r>
    </w:p>
    <w:p>
      <w:pPr>
        <w:keepNext w:val="0"/>
        <w:keepLines w:val="0"/>
        <w:pageBreakBefore w:val="0"/>
        <w:numPr>
          <w:ilvl w:val="0"/>
          <w:numId w:val="4"/>
        </w:numPr>
        <w:kinsoku/>
        <w:wordWrap/>
        <w:overflowPunct/>
        <w:topLinePunct w:val="0"/>
        <w:autoSpaceDE/>
        <w:autoSpaceDN/>
        <w:bidi w:val="0"/>
        <w:adjustRightInd/>
        <w:spacing w:line="360" w:lineRule="auto"/>
        <w:ind w:left="0" w:leftChars="0" w:firstLine="42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支持站点自定义排序，对站点的查询支持按部门分类统计。</w:t>
      </w:r>
    </w:p>
    <w:p>
      <w:pPr>
        <w:keepNext w:val="0"/>
        <w:keepLines w:val="0"/>
        <w:pageBreakBefore w:val="0"/>
        <w:numPr>
          <w:ilvl w:val="0"/>
          <w:numId w:val="4"/>
        </w:numPr>
        <w:kinsoku/>
        <w:wordWrap/>
        <w:overflowPunct/>
        <w:topLinePunct w:val="0"/>
        <w:autoSpaceDE/>
        <w:autoSpaceDN/>
        <w:bidi w:val="0"/>
        <w:adjustRightInd/>
        <w:spacing w:line="360" w:lineRule="auto"/>
        <w:ind w:left="0" w:leftChars="0" w:firstLine="42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▲提供独立的备案工作台，支持以用户身份登录显示由其负责的备案站点，包括我的流程、我的待办、流程设计等，并能够集中显示待办事项（提供截图证明材料并加盖投标人公章）。</w:t>
      </w:r>
    </w:p>
    <w:p>
      <w:pPr>
        <w:keepNext w:val="0"/>
        <w:keepLines w:val="0"/>
        <w:pageBreakBefore w:val="0"/>
        <w:numPr>
          <w:ilvl w:val="0"/>
          <w:numId w:val="4"/>
        </w:numPr>
        <w:kinsoku/>
        <w:wordWrap/>
        <w:overflowPunct/>
        <w:topLinePunct w:val="0"/>
        <w:autoSpaceDE/>
        <w:autoSpaceDN/>
        <w:bidi w:val="0"/>
        <w:adjustRightInd/>
        <w:spacing w:line="360" w:lineRule="auto"/>
        <w:ind w:left="0" w:leftChars="0" w:firstLine="42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支持备案审批流程的自定义，工作台支持备案流程设计，包含流程节点设计、表单字段设计，支持表单字段在不同节点上的权限设置，权限需支持可读、可编辑、隐藏，流程节点类型支持审批人、办理人、抄送人和条件分支；支持包含节点、表单字段、表单字段在不同节点上的权限设置、多人依次审批和会签（提供截图证明材料并加盖投标人公章）。</w:t>
      </w:r>
    </w:p>
    <w:p>
      <w:pPr>
        <w:keepNext w:val="0"/>
        <w:keepLines w:val="0"/>
        <w:pageBreakBefore w:val="0"/>
        <w:numPr>
          <w:ilvl w:val="0"/>
          <w:numId w:val="4"/>
        </w:numPr>
        <w:kinsoku/>
        <w:wordWrap/>
        <w:overflowPunct/>
        <w:topLinePunct w:val="0"/>
        <w:autoSpaceDE/>
        <w:autoSpaceDN/>
        <w:bidi w:val="0"/>
        <w:adjustRightInd/>
        <w:spacing w:line="360" w:lineRule="auto"/>
        <w:ind w:left="0" w:leftChars="0" w:firstLine="42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支持二级部门自助备案网站或信息系统，备案成功后二级部门管理员可对本部门站点进行上、下线操作管理。</w:t>
      </w:r>
    </w:p>
    <w:p>
      <w:pPr>
        <w:keepNext w:val="0"/>
        <w:keepLines w:val="0"/>
        <w:pageBreakBefore w:val="0"/>
        <w:numPr>
          <w:ilvl w:val="0"/>
          <w:numId w:val="4"/>
        </w:numPr>
        <w:kinsoku/>
        <w:wordWrap/>
        <w:overflowPunct/>
        <w:topLinePunct w:val="0"/>
        <w:autoSpaceDE/>
        <w:autoSpaceDN/>
        <w:bidi w:val="0"/>
        <w:adjustRightInd/>
        <w:spacing w:line="360" w:lineRule="auto"/>
        <w:ind w:left="0" w:leftChars="0" w:firstLine="42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备案审核之后自动发布站点，支持审核一键发布，支持仅审核、不发布；审核发布支持HTTPS。</w:t>
      </w:r>
    </w:p>
    <w:p>
      <w:pPr>
        <w:keepNext w:val="0"/>
        <w:keepLines w:val="0"/>
        <w:pageBreakBefore w:val="0"/>
        <w:numPr>
          <w:ilvl w:val="0"/>
          <w:numId w:val="4"/>
        </w:numPr>
        <w:kinsoku/>
        <w:wordWrap/>
        <w:overflowPunct/>
        <w:topLinePunct w:val="0"/>
        <w:autoSpaceDE/>
        <w:autoSpaceDN/>
        <w:bidi w:val="0"/>
        <w:adjustRightInd/>
        <w:spacing w:line="360" w:lineRule="auto"/>
        <w:ind w:left="0" w:leftChars="0" w:firstLine="42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支持备案年审，提供一键通知年审功能、备案移交功能以及备案变更功能，并提供备案输出功能，备案输出包括但不限于备案打印、导出为CSV和Excel格式，可支持显示年审列表、整改列表以督促问题站点及时整改（提供截图证明材料并加盖投标人公章）。</w:t>
      </w:r>
    </w:p>
    <w:p>
      <w:pPr>
        <w:keepNext w:val="0"/>
        <w:keepLines w:val="0"/>
        <w:pageBreakBefore w:val="0"/>
        <w:numPr>
          <w:ilvl w:val="0"/>
          <w:numId w:val="4"/>
        </w:numPr>
        <w:kinsoku/>
        <w:wordWrap/>
        <w:overflowPunct/>
        <w:topLinePunct w:val="0"/>
        <w:autoSpaceDE/>
        <w:autoSpaceDN/>
        <w:bidi w:val="0"/>
        <w:adjustRightInd/>
        <w:spacing w:line="360" w:lineRule="auto"/>
        <w:ind w:left="0" w:leftChars="0" w:firstLine="42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▲支持图书资源的自定义集中管理发布，可按首字母、数据库类型、学科分类、语种分类自定义查询，查询结果以列表、中外文、图书详情分类展示（提供截图证明材料并加盖投标人公章）。</w:t>
      </w:r>
    </w:p>
    <w:p>
      <w:pPr>
        <w:keepNext w:val="0"/>
        <w:keepLines w:val="0"/>
        <w:pageBreakBefore w:val="0"/>
        <w:numPr>
          <w:ilvl w:val="0"/>
          <w:numId w:val="4"/>
        </w:numPr>
        <w:kinsoku/>
        <w:wordWrap/>
        <w:overflowPunct/>
        <w:topLinePunct w:val="0"/>
        <w:autoSpaceDE/>
        <w:autoSpaceDN/>
        <w:bidi w:val="0"/>
        <w:adjustRightInd/>
        <w:spacing w:line="360" w:lineRule="auto"/>
        <w:ind w:left="0" w:leftChars="0" w:firstLine="42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支持PDF和Word格式的报表，可指定报表统计时间区间，支持用户名称自定义，并可自动生成报表编号。</w:t>
      </w:r>
    </w:p>
    <w:p>
      <w:pPr>
        <w:keepNext w:val="0"/>
        <w:keepLines w:val="0"/>
        <w:pageBreakBefore w:val="0"/>
        <w:numPr>
          <w:ilvl w:val="0"/>
          <w:numId w:val="4"/>
        </w:numPr>
        <w:kinsoku/>
        <w:wordWrap/>
        <w:overflowPunct/>
        <w:topLinePunct w:val="0"/>
        <w:autoSpaceDE/>
        <w:autoSpaceDN/>
        <w:bidi w:val="0"/>
        <w:adjustRightInd/>
        <w:spacing w:line="360" w:lineRule="auto"/>
        <w:ind w:left="0" w:leftChars="0" w:firstLine="42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▲支持电子图书资源的统计分析报表，提供HTTPS访问下的电子图书资源库名称、总访问量、入口访问量、全文下载量、及访问百分比的分析报表。（提供截图证明材料并加盖投标人公章）</w:t>
      </w:r>
    </w:p>
    <w:p>
      <w:pPr>
        <w:keepNext w:val="0"/>
        <w:keepLines w:val="0"/>
        <w:pageBreakBefore w:val="0"/>
        <w:numPr>
          <w:ilvl w:val="0"/>
          <w:numId w:val="4"/>
        </w:numPr>
        <w:kinsoku/>
        <w:wordWrap/>
        <w:overflowPunct/>
        <w:topLinePunct w:val="0"/>
        <w:autoSpaceDE/>
        <w:autoSpaceDN/>
        <w:bidi w:val="0"/>
        <w:adjustRightInd/>
        <w:spacing w:line="360" w:lineRule="auto"/>
        <w:ind w:left="0" w:leftChars="0" w:firstLine="42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支持一键关停，支持安全中心移动手机端自定义绑定，支持PC端及微信一键关停功能。</w:t>
      </w:r>
    </w:p>
    <w:p>
      <w:pPr>
        <w:keepNext w:val="0"/>
        <w:keepLines w:val="0"/>
        <w:pageBreakBefore w:val="0"/>
        <w:numPr>
          <w:ilvl w:val="0"/>
          <w:numId w:val="4"/>
        </w:numPr>
        <w:kinsoku/>
        <w:wordWrap/>
        <w:overflowPunct/>
        <w:topLinePunct w:val="0"/>
        <w:autoSpaceDE/>
        <w:autoSpaceDN/>
        <w:bidi w:val="0"/>
        <w:adjustRightInd/>
        <w:spacing w:line="360" w:lineRule="auto"/>
        <w:ind w:left="0" w:leftChars="0" w:firstLine="42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▲支持自定义一键关停二次验证功能，具有对网站及信息系统等web资源一键断网时支持短信通知相关部门负责人功能。（提供截图证明材料并加盖投标人公章）</w:t>
      </w:r>
    </w:p>
    <w:p>
      <w:pPr>
        <w:keepNext w:val="0"/>
        <w:keepLines w:val="0"/>
        <w:pageBreakBefore w:val="0"/>
        <w:numPr>
          <w:ilvl w:val="0"/>
          <w:numId w:val="4"/>
        </w:numPr>
        <w:kinsoku/>
        <w:wordWrap/>
        <w:overflowPunct/>
        <w:topLinePunct w:val="0"/>
        <w:autoSpaceDE/>
        <w:autoSpaceDN/>
        <w:bidi w:val="0"/>
        <w:adjustRightInd/>
        <w:spacing w:line="360" w:lineRule="auto"/>
        <w:ind w:left="0" w:leftChars="0" w:firstLine="42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支持网站、信息系统等web资源访问及上下线时间的自定义。</w:t>
      </w:r>
    </w:p>
    <w:p>
      <w:pPr>
        <w:keepNext w:val="0"/>
        <w:keepLines w:val="0"/>
        <w:pageBreakBefore w:val="0"/>
        <w:numPr>
          <w:ilvl w:val="0"/>
          <w:numId w:val="4"/>
        </w:numPr>
        <w:kinsoku/>
        <w:wordWrap/>
        <w:overflowPunct/>
        <w:topLinePunct w:val="0"/>
        <w:autoSpaceDE/>
        <w:autoSpaceDN/>
        <w:bidi w:val="0"/>
        <w:adjustRightInd/>
        <w:spacing w:line="360" w:lineRule="auto"/>
        <w:ind w:left="0" w:leftChars="0" w:firstLine="42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支持web资源访问策略的自定义；支持基于地理位置、日期、时间等要素的策略定义，支持精确到目录的访问策略控制。</w:t>
      </w:r>
    </w:p>
    <w:p>
      <w:pPr>
        <w:keepNext w:val="0"/>
        <w:keepLines w:val="0"/>
        <w:pageBreakBefore w:val="0"/>
        <w:numPr>
          <w:ilvl w:val="0"/>
          <w:numId w:val="4"/>
        </w:numPr>
        <w:kinsoku/>
        <w:wordWrap/>
        <w:overflowPunct/>
        <w:topLinePunct w:val="0"/>
        <w:autoSpaceDE/>
        <w:autoSpaceDN/>
        <w:bidi w:val="0"/>
        <w:adjustRightInd/>
        <w:spacing w:line="360" w:lineRule="auto"/>
        <w:ind w:left="0" w:leftChars="0" w:firstLine="42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完成与学校智慧校园统一身份证平台对接，支持对接用户不同权限分配，支持自定义权限管理，支持本地用户名口令、第三方认证组件(LDAP、CAS、RADIUS）、企业微信、钉钉、手机短信、用户名口令+短信双因素认证等认证方式。</w:t>
      </w:r>
    </w:p>
    <w:p>
      <w:pPr>
        <w:keepNext w:val="0"/>
        <w:keepLines w:val="0"/>
        <w:pageBreakBefore w:val="0"/>
        <w:numPr>
          <w:ilvl w:val="0"/>
          <w:numId w:val="4"/>
        </w:numPr>
        <w:kinsoku/>
        <w:wordWrap/>
        <w:overflowPunct/>
        <w:topLinePunct w:val="0"/>
        <w:autoSpaceDE/>
        <w:autoSpaceDN/>
        <w:bidi w:val="0"/>
        <w:adjustRightInd/>
        <w:spacing w:line="360" w:lineRule="auto"/>
        <w:ind w:left="0" w:leftChars="0" w:firstLine="42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▲支持本地创建用户分组，不同用户可以分配不同权限，权限种类至少包括管理员权限、备案权限、整改权限、日志权限、访问协议权限（提供截图证明材料并加盖投标人公章）。</w:t>
      </w:r>
    </w:p>
    <w:p>
      <w:pPr>
        <w:keepNext w:val="0"/>
        <w:keepLines w:val="0"/>
        <w:pageBreakBefore w:val="0"/>
        <w:numPr>
          <w:ilvl w:val="0"/>
          <w:numId w:val="4"/>
        </w:numPr>
        <w:kinsoku/>
        <w:wordWrap/>
        <w:overflowPunct/>
        <w:topLinePunct w:val="0"/>
        <w:autoSpaceDE/>
        <w:autoSpaceDN/>
        <w:bidi w:val="0"/>
        <w:adjustRightInd/>
        <w:spacing w:line="360" w:lineRule="auto"/>
        <w:ind w:left="0" w:leftChars="0" w:firstLine="42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▲配备WebVPN模块，无须在系统中通过域名或别名对资源进行预先定义或适配即可通过系统访问HTTP、HTTPS、RDP、VNC、Telnet、SSH协议的资源（提供截图证明材料并加盖投标人公章）。</w:t>
      </w:r>
    </w:p>
    <w:p>
      <w:pPr>
        <w:keepNext w:val="0"/>
        <w:keepLines w:val="0"/>
        <w:pageBreakBefore w:val="0"/>
        <w:numPr>
          <w:ilvl w:val="0"/>
          <w:numId w:val="4"/>
        </w:numPr>
        <w:kinsoku/>
        <w:wordWrap/>
        <w:overflowPunct/>
        <w:topLinePunct w:val="0"/>
        <w:autoSpaceDE/>
        <w:autoSpaceDN/>
        <w:bidi w:val="0"/>
        <w:adjustRightInd/>
        <w:spacing w:line="360" w:lineRule="auto"/>
        <w:ind w:left="0" w:leftChars="0" w:firstLine="42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▲无需配置通配符泛域名解析，即可实现用户通过门户中导航块直接访问资源，支持通过门户中的地址栏自定义其访问目标；且可以对HTTPS/HTTP、SSH、RDP、telnet等协议权限做控制。</w:t>
      </w:r>
    </w:p>
    <w:p>
      <w:pPr>
        <w:keepNext w:val="0"/>
        <w:keepLines w:val="0"/>
        <w:pageBreakBefore w:val="0"/>
        <w:numPr>
          <w:ilvl w:val="0"/>
          <w:numId w:val="4"/>
        </w:numPr>
        <w:kinsoku/>
        <w:wordWrap/>
        <w:overflowPunct/>
        <w:topLinePunct w:val="0"/>
        <w:autoSpaceDE/>
        <w:autoSpaceDN/>
        <w:bidi w:val="0"/>
        <w:adjustRightInd/>
        <w:spacing w:line="360" w:lineRule="auto"/>
        <w:ind w:left="0" w:leftChars="0" w:firstLine="42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配置超级终端模块，支持SSH、telnet、RDP、VNC等，支持自定义端口号，支持操作录屏。</w:t>
      </w:r>
    </w:p>
    <w:p>
      <w:pPr>
        <w:keepNext w:val="0"/>
        <w:keepLines w:val="0"/>
        <w:pageBreakBefore w:val="0"/>
        <w:numPr>
          <w:ilvl w:val="0"/>
          <w:numId w:val="4"/>
        </w:numPr>
        <w:kinsoku/>
        <w:wordWrap/>
        <w:overflowPunct/>
        <w:topLinePunct w:val="0"/>
        <w:autoSpaceDE/>
        <w:autoSpaceDN/>
        <w:bidi w:val="0"/>
        <w:adjustRightInd/>
        <w:spacing w:line="360" w:lineRule="auto"/>
        <w:ind w:left="0" w:leftChars="0" w:firstLine="42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支持SSL加密传输，提供SSL网站的可信授权；支持HSTS、HTTPS/HTTP2.0。</w:t>
      </w:r>
    </w:p>
    <w:p>
      <w:pPr>
        <w:keepNext w:val="0"/>
        <w:keepLines w:val="0"/>
        <w:pageBreakBefore w:val="0"/>
        <w:numPr>
          <w:ilvl w:val="0"/>
          <w:numId w:val="4"/>
        </w:numPr>
        <w:kinsoku/>
        <w:wordWrap/>
        <w:overflowPunct/>
        <w:topLinePunct w:val="0"/>
        <w:autoSpaceDE/>
        <w:autoSpaceDN/>
        <w:bidi w:val="0"/>
        <w:adjustRightInd/>
        <w:spacing w:line="360" w:lineRule="auto"/>
        <w:ind w:left="0" w:leftChars="0" w:firstLine="42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支持自定义创建僵尸网站策略，策略条件包括访问量、网站是更新、时间段。同时可以检测网站在180天内是否有更新（提供截图证明材料并加盖投标人公章）。</w:t>
      </w:r>
    </w:p>
    <w:p>
      <w:pPr>
        <w:keepNext w:val="0"/>
        <w:keepLines w:val="0"/>
        <w:pageBreakBefore w:val="0"/>
        <w:numPr>
          <w:ilvl w:val="0"/>
          <w:numId w:val="4"/>
        </w:numPr>
        <w:kinsoku/>
        <w:wordWrap/>
        <w:overflowPunct/>
        <w:topLinePunct w:val="0"/>
        <w:autoSpaceDE/>
        <w:autoSpaceDN/>
        <w:bidi w:val="0"/>
        <w:adjustRightInd/>
        <w:spacing w:line="360" w:lineRule="auto"/>
        <w:ind w:left="0" w:leftChars="0" w:firstLine="42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支持WAF规则自定义，支持WAF防护、安全策略、IP黑白名单限制，支持SQL注入、XSS跨站、cc攻击等攻击防护，支持例外设置。</w:t>
      </w:r>
    </w:p>
    <w:p>
      <w:pPr>
        <w:keepNext w:val="0"/>
        <w:keepLines w:val="0"/>
        <w:pageBreakBefore w:val="0"/>
        <w:numPr>
          <w:ilvl w:val="0"/>
          <w:numId w:val="4"/>
        </w:numPr>
        <w:kinsoku/>
        <w:wordWrap/>
        <w:overflowPunct/>
        <w:topLinePunct w:val="0"/>
        <w:autoSpaceDE/>
        <w:autoSpaceDN/>
        <w:bidi w:val="0"/>
        <w:adjustRightInd/>
        <w:spacing w:line="360" w:lineRule="auto"/>
        <w:ind w:left="0" w:leftChars="0" w:firstLine="42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支持网站防篡改策略，策略类型包括名称、策略对象、有效期、起止时间、周选择。同时可以对单个网站大小、文件数进行查看和管理，并可以恢复至任意备份站点，须支持防篡改功能的缓存管理。（提供截图证明材料并加盖投标人公章）。</w:t>
      </w:r>
    </w:p>
    <w:p>
      <w:pPr>
        <w:keepNext w:val="0"/>
        <w:keepLines w:val="0"/>
        <w:pageBreakBefore w:val="0"/>
        <w:numPr>
          <w:ilvl w:val="0"/>
          <w:numId w:val="4"/>
        </w:numPr>
        <w:kinsoku/>
        <w:wordWrap/>
        <w:overflowPunct/>
        <w:topLinePunct w:val="0"/>
        <w:autoSpaceDE/>
        <w:autoSpaceDN/>
        <w:bidi w:val="0"/>
        <w:adjustRightInd/>
        <w:spacing w:line="360" w:lineRule="auto"/>
        <w:ind w:left="0" w:leftChars="0" w:firstLine="42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支持非法扫描和爬虫防护的开启和关闭，支持智能扫描机器人类型的自定义；支持弱密码的检测及防护；支持防盗链检测及防护。</w:t>
      </w:r>
    </w:p>
    <w:p>
      <w:pPr>
        <w:keepNext w:val="0"/>
        <w:keepLines w:val="0"/>
        <w:pageBreakBefore w:val="0"/>
        <w:numPr>
          <w:ilvl w:val="0"/>
          <w:numId w:val="4"/>
        </w:numPr>
        <w:kinsoku/>
        <w:wordWrap/>
        <w:overflowPunct/>
        <w:topLinePunct w:val="0"/>
        <w:autoSpaceDE/>
        <w:autoSpaceDN/>
        <w:bidi w:val="0"/>
        <w:adjustRightInd/>
        <w:spacing w:line="360" w:lineRule="auto"/>
        <w:ind w:left="0" w:leftChars="0" w:firstLine="42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支持防盗链管理，提供防盗链事件日志记录，包括时间、请求类型、请求网站、地理位置、防盗链规则等。（提供截图证明材料并加盖投标人公章）。</w:t>
      </w:r>
    </w:p>
    <w:p>
      <w:pPr>
        <w:keepNext w:val="0"/>
        <w:keepLines w:val="0"/>
        <w:pageBreakBefore w:val="0"/>
        <w:numPr>
          <w:ilvl w:val="0"/>
          <w:numId w:val="4"/>
        </w:numPr>
        <w:kinsoku/>
        <w:wordWrap/>
        <w:overflowPunct/>
        <w:topLinePunct w:val="0"/>
        <w:autoSpaceDE/>
        <w:autoSpaceDN/>
        <w:bidi w:val="0"/>
        <w:adjustRightInd/>
        <w:spacing w:line="360" w:lineRule="auto"/>
        <w:ind w:left="0" w:leftChars="0" w:firstLine="42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支持弱密码检测及防护功能，支持针对网络中存在弱密码系统的进行事件日志记录，包括时间、用户名、密码、详细信息等，并可导出日志。（提供截图证明材料并加盖投标人公章）</w:t>
      </w:r>
    </w:p>
    <w:p>
      <w:pPr>
        <w:keepNext w:val="0"/>
        <w:keepLines w:val="0"/>
        <w:pageBreakBefore w:val="0"/>
        <w:numPr>
          <w:ilvl w:val="0"/>
          <w:numId w:val="4"/>
        </w:numPr>
        <w:kinsoku/>
        <w:wordWrap/>
        <w:overflowPunct/>
        <w:topLinePunct w:val="0"/>
        <w:autoSpaceDE/>
        <w:autoSpaceDN/>
        <w:bidi w:val="0"/>
        <w:adjustRightInd/>
        <w:spacing w:line="360" w:lineRule="auto"/>
        <w:ind w:left="0" w:leftChars="0" w:firstLine="42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▲支持安全威胁管理，信息系统发生安全风险时可根据安全隐患名称、隐患类别通过短信及邮件及时通知相关责任人。（提供截图证明材料并加盖投标人公章）</w:t>
      </w:r>
    </w:p>
    <w:p>
      <w:pPr>
        <w:keepNext w:val="0"/>
        <w:keepLines w:val="0"/>
        <w:pageBreakBefore w:val="0"/>
        <w:numPr>
          <w:ilvl w:val="0"/>
          <w:numId w:val="4"/>
        </w:numPr>
        <w:kinsoku/>
        <w:wordWrap/>
        <w:overflowPunct/>
        <w:topLinePunct w:val="0"/>
        <w:autoSpaceDE/>
        <w:autoSpaceDN/>
        <w:bidi w:val="0"/>
        <w:adjustRightInd/>
        <w:spacing w:line="360" w:lineRule="auto"/>
        <w:ind w:left="0" w:leftChars="0" w:firstLine="42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▲提供雷达实时监控及监控列表两种方式，支持批量告警设置，支持在监控列表中一键通知相关负责人，支持实时监测与告警信息同屏显示。（提供截图证明材料并加盖投标人公章）</w:t>
      </w:r>
    </w:p>
    <w:p>
      <w:pPr>
        <w:keepNext w:val="0"/>
        <w:keepLines w:val="0"/>
        <w:pageBreakBefore w:val="0"/>
        <w:numPr>
          <w:ilvl w:val="0"/>
          <w:numId w:val="4"/>
        </w:numPr>
        <w:kinsoku/>
        <w:wordWrap/>
        <w:overflowPunct/>
        <w:topLinePunct w:val="0"/>
        <w:autoSpaceDE/>
        <w:autoSpaceDN/>
        <w:bidi w:val="0"/>
        <w:adjustRightInd/>
        <w:spacing w:line="360" w:lineRule="auto"/>
        <w:ind w:left="0" w:leftChars="0" w:firstLine="42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▲内置短信平台模块，支持通讯录定制开发，可满足组织架构创建与维护，自定义全局通讯录信息；可根据部门、职位、管理权限等信息自定义用户组下发漏洞整改报告。（提供截图证明材料并加盖投标人公章）</w:t>
      </w:r>
    </w:p>
    <w:p>
      <w:pPr>
        <w:keepNext w:val="0"/>
        <w:keepLines w:val="0"/>
        <w:pageBreakBefore w:val="0"/>
        <w:numPr>
          <w:ilvl w:val="0"/>
          <w:numId w:val="4"/>
        </w:numPr>
        <w:kinsoku/>
        <w:wordWrap/>
        <w:overflowPunct/>
        <w:topLinePunct w:val="0"/>
        <w:autoSpaceDE/>
        <w:autoSpaceDN/>
        <w:bidi w:val="0"/>
        <w:adjustRightInd/>
        <w:spacing w:line="360" w:lineRule="auto"/>
        <w:ind w:left="0" w:leftChars="0" w:firstLine="42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提供微信API接口，支持通过微信对接实现信息系统及站点一键关停操作及系统的告警信息推送。</w:t>
      </w:r>
    </w:p>
    <w:p>
      <w:pPr>
        <w:keepNext w:val="0"/>
        <w:keepLines w:val="0"/>
        <w:pageBreakBefore w:val="0"/>
        <w:numPr>
          <w:ilvl w:val="0"/>
          <w:numId w:val="4"/>
        </w:numPr>
        <w:kinsoku/>
        <w:wordWrap/>
        <w:overflowPunct/>
        <w:topLinePunct w:val="0"/>
        <w:autoSpaceDE/>
        <w:autoSpaceDN/>
        <w:bidi w:val="0"/>
        <w:adjustRightInd/>
        <w:spacing w:line="360" w:lineRule="auto"/>
        <w:ind w:left="0" w:leftChars="0" w:firstLine="42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▲提供开放标准接口，支持与DNS联动。（提供截图证明材料并加盖投标人公章）</w:t>
      </w:r>
    </w:p>
    <w:p>
      <w:pPr>
        <w:keepNext w:val="0"/>
        <w:keepLines w:val="0"/>
        <w:pageBreakBefore w:val="0"/>
        <w:numPr>
          <w:ilvl w:val="0"/>
          <w:numId w:val="4"/>
        </w:numPr>
        <w:kinsoku/>
        <w:wordWrap/>
        <w:overflowPunct/>
        <w:topLinePunct w:val="0"/>
        <w:autoSpaceDE/>
        <w:autoSpaceDN/>
        <w:bidi w:val="0"/>
        <w:adjustRightInd/>
        <w:spacing w:line="360" w:lineRule="auto"/>
        <w:ind w:left="0" w:leftChars="0" w:firstLine="42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以多种模式保证web资源的可用性，支持双机热备（HA）、多机集群、业务负载均衡等高可用模式。</w:t>
      </w:r>
    </w:p>
    <w:p>
      <w:pPr>
        <w:keepNext w:val="0"/>
        <w:keepLines w:val="0"/>
        <w:pageBreakBefore w:val="0"/>
        <w:numPr>
          <w:ilvl w:val="0"/>
          <w:numId w:val="4"/>
        </w:numPr>
        <w:kinsoku/>
        <w:wordWrap/>
        <w:overflowPunct/>
        <w:topLinePunct w:val="0"/>
        <w:autoSpaceDE/>
        <w:autoSpaceDN/>
        <w:bidi w:val="0"/>
        <w:adjustRightInd/>
        <w:spacing w:line="360" w:lineRule="auto"/>
        <w:ind w:left="0" w:leftChars="0" w:firstLine="42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业务负截均衡支持同一域名下的多个服务器进行负载均衡及健康状态检测，负载均衡算法包含轮询、权重、IP哈希、URL哈希、响应时间；健康状态检测包含主机服务状态、连接成功次数，失败次数。（提供截图证明材料并加盖投标人公章）</w:t>
      </w:r>
    </w:p>
    <w:p>
      <w:pPr>
        <w:keepNext w:val="0"/>
        <w:keepLines w:val="0"/>
        <w:pageBreakBefore w:val="0"/>
        <w:numPr>
          <w:ilvl w:val="0"/>
          <w:numId w:val="4"/>
        </w:numPr>
        <w:kinsoku/>
        <w:wordWrap/>
        <w:overflowPunct/>
        <w:topLinePunct w:val="0"/>
        <w:autoSpaceDE/>
        <w:autoSpaceDN/>
        <w:bidi w:val="0"/>
        <w:adjustRightInd/>
        <w:spacing w:line="360" w:lineRule="auto"/>
        <w:ind w:left="0" w:leftChars="0" w:firstLine="42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支持应用层xforward_ip字段来源模式转发设置。开启后可在日志系统中对xforward_ip字段进行查询。</w:t>
      </w:r>
    </w:p>
    <w:p>
      <w:pPr>
        <w:keepNext w:val="0"/>
        <w:keepLines w:val="0"/>
        <w:pageBreakBefore w:val="0"/>
        <w:numPr>
          <w:ilvl w:val="0"/>
          <w:numId w:val="4"/>
        </w:numPr>
        <w:kinsoku/>
        <w:wordWrap/>
        <w:overflowPunct/>
        <w:topLinePunct w:val="0"/>
        <w:autoSpaceDE/>
        <w:autoSpaceDN/>
        <w:bidi w:val="0"/>
        <w:adjustRightInd/>
        <w:spacing w:line="360" w:lineRule="auto"/>
        <w:ind w:left="0" w:leftChars="0" w:firstLine="42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支持在多接口服务的环境下提供源进源出的路由功能，支持接口聚合，实时查看各网络接口上的流量。</w:t>
      </w:r>
    </w:p>
    <w:p>
      <w:pPr>
        <w:keepNext w:val="0"/>
        <w:keepLines w:val="0"/>
        <w:pageBreakBefore w:val="0"/>
        <w:numPr>
          <w:ilvl w:val="0"/>
          <w:numId w:val="4"/>
        </w:numPr>
        <w:kinsoku/>
        <w:wordWrap/>
        <w:overflowPunct/>
        <w:topLinePunct w:val="0"/>
        <w:autoSpaceDE/>
        <w:autoSpaceDN/>
        <w:bidi w:val="0"/>
        <w:adjustRightInd/>
        <w:spacing w:line="360" w:lineRule="auto"/>
        <w:ind w:left="0" w:leftChars="0" w:firstLine="42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提供常用网管工具PING、TRACEROUTE、网站访问、转码工具、端口探测、whois等工具。</w:t>
      </w:r>
    </w:p>
    <w:p>
      <w:pPr>
        <w:keepNext w:val="0"/>
        <w:keepLines w:val="0"/>
        <w:pageBreakBefore w:val="0"/>
        <w:numPr>
          <w:ilvl w:val="0"/>
          <w:numId w:val="4"/>
        </w:numPr>
        <w:kinsoku/>
        <w:wordWrap/>
        <w:overflowPunct/>
        <w:topLinePunct w:val="0"/>
        <w:autoSpaceDE/>
        <w:autoSpaceDN/>
        <w:bidi w:val="0"/>
        <w:adjustRightInd/>
        <w:spacing w:line="360" w:lineRule="auto"/>
        <w:ind w:left="0" w:leftChars="0" w:firstLine="42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支持以中国地图为背景的各省实时访问全景图展示，动态实时显示系统访问状态及排名。至少包括站点访问量排行、系统性能监测、实时访问、攻击数据滚动显示等。</w:t>
      </w:r>
    </w:p>
    <w:p>
      <w:pPr>
        <w:keepNext w:val="0"/>
        <w:keepLines w:val="0"/>
        <w:pageBreakBefore w:val="0"/>
        <w:numPr>
          <w:ilvl w:val="0"/>
          <w:numId w:val="4"/>
        </w:numPr>
        <w:kinsoku/>
        <w:wordWrap/>
        <w:overflowPunct/>
        <w:topLinePunct w:val="0"/>
        <w:autoSpaceDE/>
        <w:autoSpaceDN/>
        <w:bidi w:val="0"/>
        <w:adjustRightInd/>
        <w:spacing w:line="360" w:lineRule="auto"/>
        <w:ind w:left="0" w:leftChars="0" w:firstLine="42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提供系统操作日志、弱密码日志、超级终端日志、在线用户日志等。支持访问日志的自定义查询，支持访问日志详细查询可精确到具体URL、具体路径及文件名。</w:t>
      </w:r>
    </w:p>
    <w:p>
      <w:pPr>
        <w:keepNext w:val="0"/>
        <w:keepLines w:val="0"/>
        <w:pageBreakBefore w:val="0"/>
        <w:numPr>
          <w:ilvl w:val="0"/>
          <w:numId w:val="4"/>
        </w:numPr>
        <w:kinsoku/>
        <w:wordWrap/>
        <w:overflowPunct/>
        <w:topLinePunct w:val="0"/>
        <w:autoSpaceDE/>
        <w:autoSpaceDN/>
        <w:bidi w:val="0"/>
        <w:adjustRightInd/>
        <w:spacing w:line="360" w:lineRule="auto"/>
        <w:ind w:left="0" w:leftChars="0" w:firstLine="42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支持全局站点全球3D动态实时访问，支持各站点3D动态实时访问；</w:t>
      </w:r>
    </w:p>
    <w:p>
      <w:pPr>
        <w:keepNext w:val="0"/>
        <w:keepLines w:val="0"/>
        <w:pageBreakBefore w:val="0"/>
        <w:numPr>
          <w:ilvl w:val="0"/>
          <w:numId w:val="4"/>
        </w:numPr>
        <w:kinsoku/>
        <w:wordWrap/>
        <w:overflowPunct/>
        <w:topLinePunct w:val="0"/>
        <w:autoSpaceDE/>
        <w:autoSpaceDN/>
        <w:bidi w:val="0"/>
        <w:adjustRightInd/>
        <w:spacing w:line="360" w:lineRule="auto"/>
        <w:ind w:left="0" w:leftChars="0" w:firstLine="42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支持各站点及信息系统的实时监控功能，支持各网站及信息系统访问质量统计分析。实时显示网站发布状态。</w:t>
      </w:r>
    </w:p>
    <w:p>
      <w:pPr>
        <w:keepNext w:val="0"/>
        <w:keepLines w:val="0"/>
        <w:pageBreakBefore w:val="0"/>
        <w:numPr>
          <w:ilvl w:val="0"/>
          <w:numId w:val="4"/>
        </w:numPr>
        <w:kinsoku/>
        <w:wordWrap/>
        <w:overflowPunct/>
        <w:topLinePunct w:val="0"/>
        <w:autoSpaceDE/>
        <w:autoSpaceDN/>
        <w:bidi w:val="0"/>
        <w:adjustRightInd/>
        <w:spacing w:line="360" w:lineRule="auto"/>
        <w:ind w:left="0" w:leftChars="0" w:firstLine="42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提供各信息系统资源的访问日志,实时显示访问时间,访问源IP,详细URL、访问类型等日志的记录.支持访问URL排名,支持访问IP排名形成详细的网站流量统计分析报表,终端访问者的操作系统和浏览器统计。</w:t>
      </w:r>
    </w:p>
    <w:p>
      <w:pPr>
        <w:keepNext w:val="0"/>
        <w:keepLines w:val="0"/>
        <w:pageBreakBefore w:val="0"/>
        <w:numPr>
          <w:ilvl w:val="0"/>
          <w:numId w:val="4"/>
        </w:numPr>
        <w:kinsoku/>
        <w:wordWrap/>
        <w:overflowPunct/>
        <w:topLinePunct w:val="0"/>
        <w:autoSpaceDE/>
        <w:autoSpaceDN/>
        <w:bidi w:val="0"/>
        <w:adjustRightInd/>
        <w:spacing w:line="360" w:lineRule="auto"/>
        <w:ind w:left="0" w:leftChars="0" w:firstLine="42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支持各站点资源的攻击日志记录，实时显示攻击时间,攻击源IP, URL、类型等日志的记录.支持攻击URL排名,支持攻击IP排名, 支持图表显示。</w:t>
      </w:r>
    </w:p>
    <w:p>
      <w:pPr>
        <w:keepNext w:val="0"/>
        <w:keepLines w:val="0"/>
        <w:pageBreakBefore w:val="0"/>
        <w:numPr>
          <w:ilvl w:val="0"/>
          <w:numId w:val="0"/>
        </w:numPr>
        <w:kinsoku/>
        <w:wordWrap/>
        <w:overflowPunct/>
        <w:topLinePunct w:val="0"/>
        <w:autoSpaceDE/>
        <w:autoSpaceDN/>
        <w:bidi w:val="0"/>
        <w:adjustRightInd/>
        <w:spacing w:line="360" w:lineRule="auto"/>
        <w:rPr>
          <w:rFonts w:hint="eastAsia" w:ascii="宋体" w:hAnsi="宋体" w:eastAsia="宋体" w:cs="宋体"/>
          <w:b/>
          <w:bCs/>
          <w:sz w:val="24"/>
          <w:szCs w:val="24"/>
          <w:lang w:val="en-US" w:eastAsia="zh-CN"/>
        </w:rPr>
      </w:pPr>
    </w:p>
    <w:p>
      <w:pPr>
        <w:keepNext w:val="0"/>
        <w:keepLines w:val="0"/>
        <w:pageBreakBefore w:val="0"/>
        <w:numPr>
          <w:ilvl w:val="0"/>
          <w:numId w:val="0"/>
        </w:numPr>
        <w:kinsoku/>
        <w:wordWrap/>
        <w:overflowPunct/>
        <w:topLinePunct w:val="0"/>
        <w:autoSpaceDE/>
        <w:autoSpaceDN/>
        <w:bidi w:val="0"/>
        <w:adjustRightInd/>
        <w:spacing w:line="360" w:lineRule="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采购包2：</w:t>
      </w:r>
    </w:p>
    <w:p>
      <w:pPr>
        <w:keepNext w:val="0"/>
        <w:keepLines w:val="0"/>
        <w:pageBreakBefore w:val="0"/>
        <w:numPr>
          <w:ilvl w:val="0"/>
          <w:numId w:val="0"/>
        </w:numPr>
        <w:kinsoku/>
        <w:wordWrap/>
        <w:overflowPunct/>
        <w:topLinePunct w:val="0"/>
        <w:autoSpaceDE/>
        <w:autoSpaceDN/>
        <w:bidi w:val="0"/>
        <w:adjustRightInd/>
        <w:spacing w:line="360" w:lineRule="auto"/>
        <w:rPr>
          <w:rFonts w:hint="eastAsia" w:ascii="宋体" w:hAnsi="宋体" w:eastAsia="宋体" w:cs="宋体"/>
          <w:b/>
          <w:bCs/>
          <w:sz w:val="24"/>
          <w:szCs w:val="24"/>
        </w:rPr>
      </w:pPr>
      <w:r>
        <w:rPr>
          <w:rFonts w:hint="eastAsia" w:ascii="宋体" w:hAnsi="宋体" w:eastAsia="宋体" w:cs="宋体"/>
          <w:b/>
          <w:bCs/>
          <w:sz w:val="24"/>
          <w:szCs w:val="24"/>
          <w:lang w:val="en-US" w:eastAsia="zh-CN"/>
        </w:rPr>
        <w:t>一）、</w:t>
      </w:r>
      <w:r>
        <w:rPr>
          <w:rFonts w:hint="eastAsia" w:ascii="宋体" w:hAnsi="宋体" w:eastAsia="宋体" w:cs="宋体"/>
          <w:b/>
          <w:bCs/>
          <w:sz w:val="24"/>
          <w:szCs w:val="24"/>
        </w:rPr>
        <w:t>楼层汇聚交换机</w:t>
      </w:r>
      <w:r>
        <w:rPr>
          <w:rFonts w:hint="eastAsia" w:ascii="宋体" w:hAnsi="宋体" w:eastAsia="宋体" w:cs="宋体"/>
          <w:b/>
          <w:bCs/>
          <w:sz w:val="24"/>
          <w:szCs w:val="24"/>
        </w:rPr>
        <w:tab/>
      </w:r>
    </w:p>
    <w:p>
      <w:pPr>
        <w:keepNext w:val="0"/>
        <w:keepLines w:val="0"/>
        <w:pageBreakBefore w:val="0"/>
        <w:numPr>
          <w:ilvl w:val="0"/>
          <w:numId w:val="0"/>
        </w:numPr>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1.▲采用紧凑型机框设计，设备高度≤1U；</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2.支持模块化风扇，独立的风扇插槽数量≥2个（非一个风扇框内置多个风扇），并支持选择风扇的出风方向；</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3.★设备整机交换容量≥2.56Tbps，整机包转发率≥720Mpps；</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4.▲主机默认自带配置10G/1G BASE-X SFP+端口数量≥24个，40G QSFP+端口数量≥2个；除去主机自带端口，额外支持扩展槽位数量≥2个；（提供官网截图）</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5.支持不同速率的端口扩展，支持1G、2.5G、5G、10G、25G、40G端口扩展；</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highlight w:val="none"/>
        </w:rPr>
        <w:t>支持扩展防火墙安全插槽功能</w:t>
      </w:r>
      <w:r>
        <w:rPr>
          <w:rFonts w:hint="eastAsia" w:ascii="宋体" w:hAnsi="宋体" w:eastAsia="宋体" w:cs="宋体"/>
          <w:sz w:val="24"/>
          <w:szCs w:val="24"/>
        </w:rPr>
        <w:t>；（提供具有CMA或CNAS标志检测报告复印件）</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7.支持将多台物理设备虚拟化为一台逻辑设备，虚拟组内可以实现一致的转发表项，统一的管理，跨物理设备的链路聚合；</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8.支持RIP、OSPF、BGP、ISIS等三层动态路由协议；</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9.主机集成无线控制器功能，无需配置AC插卡即可以实现对AP的管理，实现有线网络和无线网络一体化；</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10.支持并实配VxLAN功能，支持VxLAN二层、三层互通功能，支持EVPN功能；</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11.支持适配SDN组网，支持OPENFLOW 1.3标准支持普通模式和Openflow 模式切换；</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12.支持内置智能图形化管理功能，支持作为管理设备对其他成员设备管理；支持网络拓扑管理、设备列表管理等，支持对成员设备下发配置、版本升级、备份等功能；</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13.★配置要求：配置独立的风扇模块数量≥2个，模块化可热插拔电源数量≥2个。</w:t>
      </w:r>
    </w:p>
    <w:p>
      <w:pPr>
        <w:pStyle w:val="9"/>
        <w:keepNext w:val="0"/>
        <w:keepLines w:val="0"/>
        <w:pageBreakBefore w:val="0"/>
        <w:widowControl w:val="0"/>
        <w:numPr>
          <w:ilvl w:val="0"/>
          <w:numId w:val="0"/>
        </w:numPr>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b/>
          <w:bCs/>
          <w:sz w:val="24"/>
          <w:szCs w:val="24"/>
        </w:rPr>
      </w:pPr>
      <w:r>
        <w:rPr>
          <w:rFonts w:hint="eastAsia" w:ascii="宋体" w:hAnsi="宋体" w:eastAsia="宋体" w:cs="宋体"/>
          <w:b/>
          <w:bCs/>
          <w:sz w:val="24"/>
          <w:szCs w:val="24"/>
          <w:lang w:val="en-US" w:eastAsia="zh-CN"/>
        </w:rPr>
        <w:t>二）、</w:t>
      </w:r>
      <w:r>
        <w:rPr>
          <w:rFonts w:hint="eastAsia" w:ascii="宋体" w:hAnsi="宋体" w:eastAsia="宋体" w:cs="宋体"/>
          <w:b/>
          <w:bCs/>
          <w:sz w:val="24"/>
          <w:szCs w:val="24"/>
        </w:rPr>
        <w:t>楼栋汇聚交换机</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1.▲采用紧凑型机框设计，设备高度≤1U；</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2.支持模块化风扇，独立的风扇插槽数量≥2个（非一个风扇框内置多个风扇），并支持选择风扇的出风方向；</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3.★设备整机交换容量≥2.56Tbps，整机包转发率≥720Mpps；</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4.▲主机默认自带配置10G/1G BASE-X SFP+端口数量≥24个，40G QSFP+端口数量≥2个；除去主机自带端口，额外支持扩展槽位数量≥2个；（提供官网截图）</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5.支持不同速率的端口灵活扩展，支持1G、2.5G、5G、10G、25G、40G端口扩展；</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highlight w:val="none"/>
        </w:rPr>
        <w:t>支持扩展防火墙安全插槽功能</w:t>
      </w:r>
      <w:r>
        <w:rPr>
          <w:rFonts w:hint="eastAsia" w:ascii="宋体" w:hAnsi="宋体" w:eastAsia="宋体" w:cs="宋体"/>
          <w:sz w:val="24"/>
          <w:szCs w:val="24"/>
        </w:rPr>
        <w:t>；（提供具有CMA或CNAS标志检                            测报告复印件）</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7.支持将多台物理设备虚拟化为一台逻辑设备，虚拟组内可以实现一致的转发表项，统一的管理，跨物理设备的链路聚合；</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8.支持RIP、OSPF、BGP、ISIS等三层动态路由协议；</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9.主机集成无线控制器功能，无需配置AC插卡即可以实现对AP的管理，实现有线网络和无线网络一体化；</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10.支持并实配VxLAN功能，支持VxLAN二层、三层互通功能，支持EVPN功能；</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11.支持适配SDN组网，支持OPENFLOW 1.3标准支持普通模式和Openflow 模式切换；</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12.支持内置智能图形化管理功能，支持作为管理设备对其他成员设备管理；支持网络拓扑管理、设备列表管理等，支持对成员设备下发配置、版本升级、备份等功能；</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13.★配置要求：配置独立的风扇模块数量≥2个，模块化可热插拔电源数量≥2个。</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p>
    <w:p>
      <w:pPr>
        <w:keepNext w:val="0"/>
        <w:keepLines w:val="0"/>
        <w:pageBreakBefore w:val="0"/>
        <w:numPr>
          <w:ilvl w:val="0"/>
          <w:numId w:val="5"/>
        </w:numPr>
        <w:kinsoku/>
        <w:wordWrap/>
        <w:overflowPunct/>
        <w:topLinePunct w:val="0"/>
        <w:autoSpaceDE/>
        <w:autoSpaceDN/>
        <w:bidi w:val="0"/>
        <w:adjustRightInd/>
        <w:spacing w:line="360" w:lineRule="auto"/>
        <w:rPr>
          <w:rFonts w:hint="eastAsia" w:ascii="宋体" w:hAnsi="宋体" w:eastAsia="宋体" w:cs="宋体"/>
          <w:b/>
          <w:bCs/>
          <w:sz w:val="24"/>
          <w:szCs w:val="24"/>
        </w:rPr>
      </w:pPr>
      <w:r>
        <w:rPr>
          <w:rFonts w:hint="eastAsia" w:ascii="宋体" w:hAnsi="宋体" w:eastAsia="宋体" w:cs="宋体"/>
          <w:b/>
          <w:bCs/>
          <w:sz w:val="24"/>
          <w:szCs w:val="24"/>
          <w:lang w:val="en-US" w:eastAsia="zh-CN"/>
        </w:rPr>
        <w:t>、</w:t>
      </w:r>
      <w:r>
        <w:rPr>
          <w:rFonts w:hint="eastAsia" w:ascii="宋体" w:hAnsi="宋体" w:eastAsia="宋体" w:cs="宋体"/>
          <w:b/>
          <w:bCs/>
          <w:sz w:val="24"/>
          <w:szCs w:val="24"/>
        </w:rPr>
        <w:t>千兆单模光模块</w:t>
      </w:r>
      <w:r>
        <w:rPr>
          <w:rFonts w:hint="eastAsia" w:ascii="宋体" w:hAnsi="宋体" w:eastAsia="宋体" w:cs="宋体"/>
          <w:b/>
          <w:bCs/>
          <w:sz w:val="24"/>
          <w:szCs w:val="24"/>
          <w:lang w:eastAsia="zh-CN"/>
        </w:rPr>
        <w:t>：</w:t>
      </w:r>
      <w:r>
        <w:rPr>
          <w:rFonts w:hint="eastAsia" w:ascii="宋体" w:hAnsi="宋体" w:eastAsia="宋体" w:cs="宋体"/>
          <w:b/>
          <w:bCs/>
          <w:sz w:val="24"/>
          <w:szCs w:val="24"/>
        </w:rPr>
        <w:t>1GbE SFP LX 1310nm</w:t>
      </w:r>
    </w:p>
    <w:p>
      <w:pPr>
        <w:pStyle w:val="9"/>
        <w:keepNext w:val="0"/>
        <w:keepLines w:val="0"/>
        <w:pageBreakBefore w:val="0"/>
        <w:widowControl w:val="0"/>
        <w:numPr>
          <w:ilvl w:val="0"/>
          <w:numId w:val="0"/>
        </w:numPr>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rPr>
      </w:pPr>
    </w:p>
    <w:p>
      <w:pPr>
        <w:keepNext w:val="0"/>
        <w:keepLines w:val="0"/>
        <w:pageBreakBefore w:val="0"/>
        <w:numPr>
          <w:ilvl w:val="0"/>
          <w:numId w:val="5"/>
        </w:numPr>
        <w:kinsoku/>
        <w:wordWrap/>
        <w:overflowPunct/>
        <w:topLinePunct w:val="0"/>
        <w:autoSpaceDE/>
        <w:autoSpaceDN/>
        <w:bidi w:val="0"/>
        <w:adjustRightInd/>
        <w:spacing w:line="360" w:lineRule="auto"/>
        <w:ind w:left="0" w:leftChars="0" w:firstLine="0" w:firstLineChars="0"/>
        <w:rPr>
          <w:rFonts w:hint="eastAsia" w:ascii="宋体" w:hAnsi="宋体" w:eastAsia="宋体" w:cs="宋体"/>
          <w:b/>
          <w:bCs/>
          <w:sz w:val="24"/>
          <w:szCs w:val="24"/>
        </w:rPr>
      </w:pPr>
      <w:r>
        <w:rPr>
          <w:rFonts w:hint="eastAsia" w:ascii="宋体" w:hAnsi="宋体" w:eastAsia="宋体" w:cs="宋体"/>
          <w:b/>
          <w:bCs/>
          <w:sz w:val="24"/>
          <w:szCs w:val="24"/>
          <w:lang w:val="en-US" w:eastAsia="zh-CN"/>
        </w:rPr>
        <w:t>、万</w:t>
      </w:r>
      <w:r>
        <w:rPr>
          <w:rFonts w:hint="eastAsia" w:ascii="宋体" w:hAnsi="宋体" w:eastAsia="宋体" w:cs="宋体"/>
          <w:b/>
          <w:bCs/>
          <w:sz w:val="24"/>
          <w:szCs w:val="24"/>
        </w:rPr>
        <w:t>兆多模光模块</w:t>
      </w:r>
      <w:r>
        <w:rPr>
          <w:rFonts w:hint="eastAsia" w:ascii="宋体" w:hAnsi="宋体" w:eastAsia="宋体" w:cs="宋体"/>
          <w:b/>
          <w:bCs/>
          <w:sz w:val="24"/>
          <w:szCs w:val="24"/>
          <w:lang w:eastAsia="zh-CN"/>
        </w:rPr>
        <w:t>：</w:t>
      </w:r>
      <w:r>
        <w:rPr>
          <w:rFonts w:hint="eastAsia" w:ascii="宋体" w:hAnsi="宋体" w:eastAsia="宋体" w:cs="宋体"/>
          <w:b/>
          <w:bCs/>
          <w:sz w:val="24"/>
          <w:szCs w:val="24"/>
        </w:rPr>
        <w:t>10GbE SFP+ SR 850nm</w:t>
      </w:r>
    </w:p>
    <w:p>
      <w:pPr>
        <w:pStyle w:val="9"/>
        <w:keepNext w:val="0"/>
        <w:keepLines w:val="0"/>
        <w:pageBreakBefore w:val="0"/>
        <w:widowControl w:val="0"/>
        <w:numPr>
          <w:ilvl w:val="0"/>
          <w:numId w:val="0"/>
        </w:numPr>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rPr>
      </w:pPr>
    </w:p>
    <w:p>
      <w:pPr>
        <w:keepNext w:val="0"/>
        <w:keepLines w:val="0"/>
        <w:pageBreakBefore w:val="0"/>
        <w:numPr>
          <w:ilvl w:val="0"/>
          <w:numId w:val="5"/>
        </w:numPr>
        <w:kinsoku/>
        <w:wordWrap/>
        <w:overflowPunct/>
        <w:topLinePunct w:val="0"/>
        <w:autoSpaceDE/>
        <w:autoSpaceDN/>
        <w:bidi w:val="0"/>
        <w:adjustRightInd/>
        <w:spacing w:line="360" w:lineRule="auto"/>
        <w:ind w:left="0" w:leftChars="0" w:firstLine="0" w:firstLineChars="0"/>
        <w:rPr>
          <w:rFonts w:hint="eastAsia" w:ascii="宋体" w:hAnsi="宋体" w:eastAsia="宋体" w:cs="宋体"/>
          <w:b/>
          <w:bCs/>
          <w:sz w:val="24"/>
          <w:szCs w:val="24"/>
        </w:rPr>
      </w:pPr>
      <w:r>
        <w:rPr>
          <w:rFonts w:hint="eastAsia" w:ascii="宋体" w:hAnsi="宋体" w:eastAsia="宋体" w:cs="宋体"/>
          <w:b/>
          <w:bCs/>
          <w:sz w:val="24"/>
          <w:szCs w:val="24"/>
          <w:lang w:val="en-US" w:eastAsia="zh-CN"/>
        </w:rPr>
        <w:t>、</w:t>
      </w:r>
      <w:r>
        <w:rPr>
          <w:rFonts w:hint="eastAsia" w:ascii="宋体" w:hAnsi="宋体" w:eastAsia="宋体" w:cs="宋体"/>
          <w:b/>
          <w:bCs/>
          <w:sz w:val="24"/>
          <w:szCs w:val="24"/>
        </w:rPr>
        <w:t>万兆单模光模块</w:t>
      </w:r>
      <w:r>
        <w:rPr>
          <w:rFonts w:hint="eastAsia" w:ascii="宋体" w:hAnsi="宋体" w:eastAsia="宋体" w:cs="宋体"/>
          <w:b/>
          <w:bCs/>
          <w:sz w:val="24"/>
          <w:szCs w:val="24"/>
          <w:lang w:eastAsia="zh-CN"/>
        </w:rPr>
        <w:t>：</w:t>
      </w:r>
      <w:r>
        <w:rPr>
          <w:rFonts w:hint="eastAsia" w:ascii="宋体" w:hAnsi="宋体" w:eastAsia="宋体" w:cs="宋体"/>
          <w:b/>
          <w:bCs/>
          <w:sz w:val="24"/>
          <w:szCs w:val="24"/>
        </w:rPr>
        <w:t>10GbE SFP+ LR 1310nm</w:t>
      </w:r>
    </w:p>
    <w:p>
      <w:pPr>
        <w:pStyle w:val="9"/>
        <w:keepNext w:val="0"/>
        <w:keepLines w:val="0"/>
        <w:pageBreakBefore w:val="0"/>
        <w:widowControl w:val="0"/>
        <w:numPr>
          <w:ilvl w:val="0"/>
          <w:numId w:val="0"/>
        </w:numPr>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b/>
          <w:bCs/>
          <w:sz w:val="24"/>
          <w:szCs w:val="24"/>
        </w:rPr>
      </w:pPr>
      <w:r>
        <w:rPr>
          <w:rFonts w:hint="eastAsia" w:ascii="宋体" w:hAnsi="宋体" w:eastAsia="宋体" w:cs="宋体"/>
          <w:b/>
          <w:bCs/>
          <w:sz w:val="24"/>
          <w:szCs w:val="24"/>
          <w:lang w:val="en-US" w:eastAsia="zh-CN"/>
        </w:rPr>
        <w:t>六）、</w:t>
      </w:r>
      <w:r>
        <w:rPr>
          <w:rFonts w:hint="eastAsia" w:ascii="宋体" w:hAnsi="宋体" w:eastAsia="宋体" w:cs="宋体"/>
          <w:b/>
          <w:bCs/>
          <w:sz w:val="24"/>
          <w:szCs w:val="24"/>
        </w:rPr>
        <w:t>万兆核心交换机</w:t>
      </w:r>
      <w:r>
        <w:rPr>
          <w:rFonts w:hint="eastAsia" w:ascii="宋体" w:hAnsi="宋体" w:eastAsia="宋体" w:cs="宋体"/>
          <w:b/>
          <w:bCs/>
          <w:sz w:val="24"/>
          <w:szCs w:val="24"/>
        </w:rPr>
        <w:tab/>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1.▲采用紧凑型机框设计，设备高度≤1U；</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2.支持模块化风扇，独立的风扇插槽数量≥2个（非一个风扇框内置多个风扇），并支持选择风扇的出风方向；</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3.★设备整机交换容量≥2.5Tbps，整机包转发率≥1080Mpps；</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4.▲主机默认自带配置10G/1G BASE-X SFP+端口数量≥48个，40G QSFP+端口数量≥2个；除去主机自带端口，额外支持扩展槽位数量≥2个；（提供官网截图）</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5.支持不同速率的端口灵活扩展，支持1G、2.5G、5G、10G、25G、40G端口扩展；</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highlight w:val="none"/>
        </w:rPr>
        <w:t>支持扩展防火墙安全插槽功能</w:t>
      </w:r>
      <w:r>
        <w:rPr>
          <w:rFonts w:hint="eastAsia" w:ascii="宋体" w:hAnsi="宋体" w:eastAsia="宋体" w:cs="宋体"/>
          <w:sz w:val="24"/>
          <w:szCs w:val="24"/>
        </w:rPr>
        <w:t>；（提供具有CMA或CNAS标志检测报告复印件）</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7.支持将多台物理设备虚拟化为一台逻辑设备，虚拟组内可以实现一致的转发表项，统一的管理，跨物理设备的链路聚合；</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8.支持RIP、OSPF、BGP、ISIS等三层动态路由协议；</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9.主机集成无线控制器功能，无需配置AC插卡即可以实现对AP的管理，实现有线网络和无线网络一体化；</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10.支持并实配VxLAN功能，支持VxLAN二层、三层互通功能，支持EVPN功能；</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11.支持适配SDN组网，支持OPENFLOW 1.3标准支持普通模式和Openflow 模式切换；</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12.支持内置智能图形化管理功能，支持作为管理设备对其他成员设备管理；支持网络拓扑管理、设备列表管理等，支持对成员设备下发配置、版本升级、备份等功能；</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13.★配置要求：配置独立的风扇模块数量≥2个，模块化可热插拔电源数量≥2个。</w:t>
      </w:r>
    </w:p>
    <w:p>
      <w:pPr>
        <w:pStyle w:val="9"/>
        <w:keepNext w:val="0"/>
        <w:keepLines w:val="0"/>
        <w:pageBreakBefore w:val="0"/>
        <w:widowControl w:val="0"/>
        <w:numPr>
          <w:ilvl w:val="0"/>
          <w:numId w:val="0"/>
        </w:numPr>
        <w:kinsoku/>
        <w:wordWrap/>
        <w:overflowPunct/>
        <w:topLinePunct w:val="0"/>
        <w:autoSpaceDE/>
        <w:autoSpaceDN/>
        <w:bidi w:val="0"/>
        <w:adjustRightInd/>
        <w:snapToGrid/>
        <w:spacing w:after="0" w:line="360" w:lineRule="auto"/>
        <w:textAlignment w:val="auto"/>
        <w:rPr>
          <w:rFonts w:hint="eastAsia" w:ascii="宋体" w:hAnsi="宋体" w:eastAsia="宋体" w:cs="宋体"/>
          <w:sz w:val="24"/>
          <w:szCs w:val="24"/>
          <w:lang w:val="en-US" w:eastAsia="zh-CN"/>
        </w:rPr>
      </w:pP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b/>
          <w:bCs/>
          <w:sz w:val="24"/>
          <w:szCs w:val="24"/>
        </w:rPr>
      </w:pPr>
      <w:r>
        <w:rPr>
          <w:rFonts w:hint="eastAsia" w:ascii="宋体" w:hAnsi="宋体" w:eastAsia="宋体" w:cs="宋体"/>
          <w:b/>
          <w:bCs/>
          <w:sz w:val="24"/>
          <w:szCs w:val="24"/>
          <w:lang w:val="en-US" w:eastAsia="zh-CN"/>
        </w:rPr>
        <w:t>七）、</w:t>
      </w:r>
      <w:r>
        <w:rPr>
          <w:rFonts w:hint="eastAsia" w:ascii="宋体" w:hAnsi="宋体" w:eastAsia="宋体" w:cs="宋体"/>
          <w:b/>
          <w:bCs/>
          <w:sz w:val="24"/>
          <w:szCs w:val="24"/>
        </w:rPr>
        <w:t>千兆服务器接入交换机</w:t>
      </w:r>
      <w:r>
        <w:rPr>
          <w:rFonts w:hint="eastAsia" w:ascii="宋体" w:hAnsi="宋体" w:eastAsia="宋体" w:cs="宋体"/>
          <w:b/>
          <w:bCs/>
          <w:sz w:val="24"/>
          <w:szCs w:val="24"/>
        </w:rPr>
        <w:tab/>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1.★交换容量≥432Gbps，包转发率≥144Mpps；</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 xml:space="preserve">2.★接口类型：10/100/1000BASE-T自适应以太网端口≥48个，万兆 SFP+端口≥4个； </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3.MAC地址表≥16K，路由表容量≥1K，ACL≥1K；（提供具有CMA或CNAS标志检测报告复印件）</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4.支持10KV业务端口防雷能力；</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5.支持云平台交换机连接管理，支持蓝牙连接管理；</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 xml:space="preserve">6.▲设备具备USB接口，可以通过USB拷贝删除文件，可通过Micro USB登录设备；（提供具有CMA或CNAS标志检测报告复印件） </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 xml:space="preserve">7.▲支持RRPP（快速环网保护协议），支持Smartlink，支持RSTP功能，支持MSTP功能，支持PVST功能。（提供具有CMA或CNAS标志检测报告复印件） </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lang w:val="en-US" w:eastAsia="zh-CN"/>
        </w:rPr>
      </w:pPr>
    </w:p>
    <w:p>
      <w:pPr>
        <w:keepNext w:val="0"/>
        <w:keepLines w:val="0"/>
        <w:pageBreakBefore w:val="0"/>
        <w:numPr>
          <w:ilvl w:val="0"/>
          <w:numId w:val="6"/>
        </w:numPr>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b/>
          <w:bCs/>
          <w:sz w:val="24"/>
          <w:szCs w:val="24"/>
          <w:lang w:val="en-US" w:eastAsia="zh-CN"/>
        </w:rPr>
        <w:t>、</w:t>
      </w:r>
      <w:r>
        <w:rPr>
          <w:rFonts w:hint="eastAsia" w:ascii="宋体" w:hAnsi="宋体" w:eastAsia="宋体" w:cs="宋体"/>
          <w:b/>
          <w:bCs/>
          <w:sz w:val="24"/>
          <w:szCs w:val="24"/>
        </w:rPr>
        <w:t>超融合数据交换机</w:t>
      </w:r>
      <w:r>
        <w:rPr>
          <w:rFonts w:hint="eastAsia" w:ascii="宋体" w:hAnsi="宋体" w:eastAsia="宋体" w:cs="宋体"/>
          <w:sz w:val="24"/>
          <w:szCs w:val="24"/>
        </w:rPr>
        <w:tab/>
      </w:r>
    </w:p>
    <w:p>
      <w:pPr>
        <w:keepNext w:val="0"/>
        <w:keepLines w:val="0"/>
        <w:pageBreakBefore w:val="0"/>
        <w:numPr>
          <w:ilvl w:val="0"/>
          <w:numId w:val="0"/>
        </w:numPr>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1.▲采用紧凑型机框设计，设备高度≤1U；</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2.支持模块化风扇，独立的风扇插槽数量≥2个（非一个风扇框内置多个风扇），并支持选择风扇的出风方向；</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3.★设备整机交换容量≥2.5Tbps，整机包转发率≥1080Mpps；</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4.▲主机默认自带配置10G/1G BASE-X SFP+端口数量≥48个，40G QSFP+端口数量≥2个；除去主机自带端口，额外支持扩展槽位数量≥2个；（提供官网截图）</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5.支持不同速率的端口灵活扩展，支持1G、2.5G、5G、10G、25G、40G端口扩展；</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6.▲支持扩展防火墙安全插槽功能；（提供具有CMA或CNAS标志检测报告复印件）</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7.支持将多台物理设备虚拟化为一台逻辑设备，虚拟组内可以实现一致的转发表项，统一的管理，跨物理设备的链路聚合；</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8.支持RIP、OSPF、BGP、ISIS等三层动态路由协议；</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9.主机集成无线控制器功能，无需配置AC插卡即可以实现对AP的管理，实现有线网络和无线网络一体化；</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10.支持并实配VxLAN功能，支持VxLAN二层、三层互通功能，支持EVPN功能；</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11.支持适配SDN组网，支持OPENFLOW 1.3标准支持普通模式和Openflow 模式切换；</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12.支持内置智能图形化管理功能，支持作为管理设备对其他成员设备管理；支持网络拓扑管理、设备列表管理等，支持对成员设备下发配置、版本升级、备份等功能；</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13.★配置要求：配置独立的风扇模块数量≥2个，模块化可热插拔电源数量≥2个。</w:t>
      </w:r>
    </w:p>
    <w:p>
      <w:pPr>
        <w:keepNext w:val="0"/>
        <w:keepLines w:val="0"/>
        <w:pageBreakBefore w:val="0"/>
        <w:numPr>
          <w:ilvl w:val="0"/>
          <w:numId w:val="0"/>
        </w:numPr>
        <w:kinsoku/>
        <w:wordWrap/>
        <w:overflowPunct/>
        <w:topLinePunct w:val="0"/>
        <w:autoSpaceDE/>
        <w:autoSpaceDN/>
        <w:bidi w:val="0"/>
        <w:adjustRightInd/>
        <w:spacing w:line="360" w:lineRule="auto"/>
        <w:ind w:leftChars="0"/>
        <w:rPr>
          <w:rFonts w:hint="eastAsia" w:ascii="宋体" w:hAnsi="宋体" w:eastAsia="宋体" w:cs="宋体"/>
          <w:b/>
          <w:bCs/>
          <w:sz w:val="24"/>
          <w:szCs w:val="24"/>
        </w:rPr>
      </w:pPr>
    </w:p>
    <w:p>
      <w:pPr>
        <w:keepNext w:val="0"/>
        <w:keepLines w:val="0"/>
        <w:pageBreakBefore w:val="0"/>
        <w:numPr>
          <w:ilvl w:val="0"/>
          <w:numId w:val="6"/>
        </w:numPr>
        <w:kinsoku/>
        <w:wordWrap/>
        <w:overflowPunct/>
        <w:topLinePunct w:val="0"/>
        <w:autoSpaceDE/>
        <w:autoSpaceDN/>
        <w:bidi w:val="0"/>
        <w:adjustRightInd/>
        <w:spacing w:line="360" w:lineRule="auto"/>
        <w:ind w:left="0" w:leftChars="0" w:firstLine="0" w:firstLineChars="0"/>
        <w:rPr>
          <w:rFonts w:hint="eastAsia" w:ascii="宋体" w:hAnsi="宋体" w:eastAsia="宋体" w:cs="宋体"/>
          <w:b/>
          <w:bCs/>
          <w:sz w:val="24"/>
          <w:szCs w:val="24"/>
        </w:rPr>
      </w:pPr>
      <w:r>
        <w:rPr>
          <w:rFonts w:hint="eastAsia" w:ascii="宋体" w:hAnsi="宋体" w:eastAsia="宋体" w:cs="宋体"/>
          <w:b/>
          <w:bCs/>
          <w:sz w:val="24"/>
          <w:szCs w:val="24"/>
          <w:lang w:val="en-US" w:eastAsia="zh-CN"/>
        </w:rPr>
        <w:t>、</w:t>
      </w:r>
      <w:r>
        <w:rPr>
          <w:rFonts w:hint="eastAsia" w:ascii="宋体" w:hAnsi="宋体" w:eastAsia="宋体" w:cs="宋体"/>
          <w:b/>
          <w:bCs/>
          <w:sz w:val="24"/>
          <w:szCs w:val="24"/>
        </w:rPr>
        <w:t>IPMI调试交换机</w:t>
      </w:r>
    </w:p>
    <w:p>
      <w:pPr>
        <w:keepNext w:val="0"/>
        <w:keepLines w:val="0"/>
        <w:pageBreakBefore w:val="0"/>
        <w:numPr>
          <w:ilvl w:val="0"/>
          <w:numId w:val="0"/>
        </w:numPr>
        <w:kinsoku/>
        <w:wordWrap/>
        <w:overflowPunct/>
        <w:topLinePunct w:val="0"/>
        <w:autoSpaceDE/>
        <w:autoSpaceDN/>
        <w:bidi w:val="0"/>
        <w:adjustRightInd/>
        <w:spacing w:line="360" w:lineRule="auto"/>
        <w:ind w:leftChars="0"/>
        <w:rPr>
          <w:rFonts w:hint="eastAsia" w:ascii="宋体" w:hAnsi="宋体" w:eastAsia="宋体" w:cs="宋体"/>
          <w:sz w:val="24"/>
          <w:szCs w:val="24"/>
        </w:rPr>
      </w:pPr>
      <w:r>
        <w:rPr>
          <w:rFonts w:hint="eastAsia" w:ascii="宋体" w:hAnsi="宋体" w:eastAsia="宋体" w:cs="宋体"/>
          <w:sz w:val="24"/>
          <w:szCs w:val="24"/>
        </w:rPr>
        <w:t>1.★端口数量：≥48个10/100/1000Base-T端口，≥4个1000Base-X SFP光口；</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2.★交换容量：≥256Gbps,包转发率：≥96Mpps；</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3.支持流控(802.3x)；</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4.端口自动节能；</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5.动态链路聚合(802.3ad)/ 静态端口聚合；</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6.支持SP/WRR/SP+WRR。</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b/>
          <w:bCs/>
          <w:sz w:val="24"/>
          <w:szCs w:val="24"/>
          <w:lang w:val="en-US" w:eastAsia="zh-CN"/>
        </w:rPr>
      </w:pP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b/>
          <w:bCs/>
          <w:sz w:val="24"/>
          <w:szCs w:val="24"/>
        </w:rPr>
      </w:pPr>
      <w:r>
        <w:rPr>
          <w:rFonts w:hint="eastAsia" w:ascii="宋体" w:hAnsi="宋体" w:eastAsia="宋体" w:cs="宋体"/>
          <w:b/>
          <w:bCs/>
          <w:sz w:val="24"/>
          <w:szCs w:val="24"/>
          <w:lang w:val="en-US" w:eastAsia="zh-CN"/>
        </w:rPr>
        <w:t>十）、</w:t>
      </w:r>
      <w:r>
        <w:rPr>
          <w:rFonts w:hint="eastAsia" w:ascii="宋体" w:hAnsi="宋体" w:eastAsia="宋体" w:cs="宋体"/>
          <w:b/>
          <w:bCs/>
          <w:sz w:val="24"/>
          <w:szCs w:val="24"/>
        </w:rPr>
        <w:t>千兆多模光模块</w:t>
      </w:r>
      <w:r>
        <w:rPr>
          <w:rFonts w:hint="eastAsia" w:ascii="宋体" w:hAnsi="宋体" w:eastAsia="宋体" w:cs="宋体"/>
          <w:b/>
          <w:bCs/>
          <w:sz w:val="24"/>
          <w:szCs w:val="24"/>
          <w:lang w:eastAsia="zh-CN"/>
        </w:rPr>
        <w:t>：</w:t>
      </w:r>
      <w:r>
        <w:rPr>
          <w:rFonts w:hint="eastAsia" w:ascii="宋体" w:hAnsi="宋体" w:eastAsia="宋体" w:cs="宋体"/>
          <w:b w:val="0"/>
          <w:bCs w:val="0"/>
          <w:sz w:val="24"/>
          <w:szCs w:val="24"/>
        </w:rPr>
        <w:t>1GbE SFP SX 850nm</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b/>
          <w:bCs/>
          <w:sz w:val="24"/>
          <w:szCs w:val="24"/>
          <w:lang w:val="en-US" w:eastAsia="zh-CN"/>
        </w:rPr>
      </w:pP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b/>
          <w:bCs/>
          <w:sz w:val="24"/>
          <w:szCs w:val="24"/>
        </w:rPr>
      </w:pPr>
      <w:r>
        <w:rPr>
          <w:rFonts w:hint="eastAsia" w:ascii="宋体" w:hAnsi="宋体" w:eastAsia="宋体" w:cs="宋体"/>
          <w:b/>
          <w:bCs/>
          <w:sz w:val="24"/>
          <w:szCs w:val="24"/>
          <w:lang w:val="en-US" w:eastAsia="zh-CN"/>
        </w:rPr>
        <w:t>十一）、</w:t>
      </w:r>
      <w:r>
        <w:rPr>
          <w:rFonts w:hint="eastAsia" w:ascii="宋体" w:hAnsi="宋体" w:eastAsia="宋体" w:cs="宋体"/>
          <w:b/>
          <w:bCs/>
          <w:sz w:val="24"/>
          <w:szCs w:val="24"/>
        </w:rPr>
        <w:t>辅材及配件</w:t>
      </w:r>
      <w:r>
        <w:rPr>
          <w:rFonts w:hint="eastAsia" w:ascii="宋体" w:hAnsi="宋体" w:eastAsia="宋体" w:cs="宋体"/>
          <w:b/>
          <w:bCs/>
          <w:sz w:val="24"/>
          <w:szCs w:val="24"/>
        </w:rPr>
        <w:tab/>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z w:val="24"/>
          <w:szCs w:val="24"/>
        </w:rPr>
      </w:pPr>
      <w:r>
        <w:rPr>
          <w:rFonts w:hint="eastAsia" w:ascii="宋体" w:hAnsi="宋体" w:eastAsia="宋体" w:cs="宋体"/>
          <w:sz w:val="24"/>
          <w:szCs w:val="24"/>
        </w:rPr>
        <w:t>1.★需要考虑每间云桌面教室内部、楼层到楼栋、楼栋汇聚到核心交换机的熔纤和补纤的问题：光纤链路的光纤、熔纤、补纤、跳线、配线架等费用。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bCs/>
          <w:color w:val="auto"/>
          <w:sz w:val="24"/>
          <w:szCs w:val="24"/>
          <w:highlight w:val="none"/>
        </w:rPr>
      </w:pPr>
      <w:r>
        <w:rPr>
          <w:rFonts w:hint="eastAsia" w:ascii="宋体" w:hAnsi="宋体" w:eastAsia="宋体" w:cs="宋体"/>
          <w:sz w:val="24"/>
          <w:szCs w:val="24"/>
        </w:rPr>
        <w:t>2.★现场装修施工等布线费用，确保所有设备连通可用。</w:t>
      </w:r>
      <w:r>
        <w:rPr>
          <w:rFonts w:hint="eastAsia" w:ascii="宋体" w:hAnsi="宋体" w:eastAsia="宋体" w:cs="宋体"/>
          <w:i w:val="0"/>
          <w:iCs w:val="0"/>
          <w:color w:val="auto"/>
          <w:kern w:val="0"/>
          <w:sz w:val="24"/>
          <w:szCs w:val="24"/>
          <w:highlight w:val="none"/>
          <w:u w:val="none"/>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1"/>
        <w:rPr>
          <w:rFonts w:hint="eastAsia" w:ascii="宋体" w:hAnsi="宋体" w:eastAsia="宋体" w:cs="宋体"/>
          <w:color w:val="auto"/>
          <w:kern w:val="0"/>
          <w:sz w:val="24"/>
          <w:szCs w:val="24"/>
          <w:highlight w:val="none"/>
        </w:rPr>
      </w:pP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1"/>
        <w:rPr>
          <w:rFonts w:hint="eastAsia" w:ascii="宋体" w:hAnsi="宋体" w:eastAsia="宋体" w:cs="宋体"/>
          <w:b/>
          <w:bCs/>
          <w:color w:val="auto"/>
          <w:sz w:val="24"/>
          <w:szCs w:val="24"/>
          <w:highlight w:val="none"/>
          <w:lang w:eastAsia="zh-CN"/>
        </w:rPr>
      </w:pPr>
      <w:r>
        <w:rPr>
          <w:rFonts w:hint="eastAsia" w:ascii="宋体" w:hAnsi="宋体" w:eastAsia="宋体" w:cs="宋体"/>
          <w:color w:val="auto"/>
          <w:kern w:val="0"/>
          <w:sz w:val="24"/>
          <w:szCs w:val="24"/>
          <w:highlight w:val="none"/>
        </w:rPr>
        <w:t>★</w:t>
      </w:r>
      <w:r>
        <w:rPr>
          <w:rFonts w:hint="eastAsia" w:ascii="宋体" w:hAnsi="宋体" w:eastAsia="宋体" w:cs="宋体"/>
          <w:b/>
          <w:bCs/>
          <w:color w:val="auto"/>
          <w:sz w:val="24"/>
          <w:szCs w:val="24"/>
          <w:highlight w:val="none"/>
          <w:lang w:val="en-US" w:eastAsia="zh-CN"/>
        </w:rPr>
        <w:t>四</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商务</w:t>
      </w:r>
      <w:r>
        <w:rPr>
          <w:rFonts w:hint="eastAsia" w:ascii="宋体" w:hAnsi="宋体" w:eastAsia="宋体" w:cs="宋体"/>
          <w:b/>
          <w:bCs/>
          <w:color w:val="auto"/>
          <w:sz w:val="24"/>
          <w:szCs w:val="24"/>
          <w:highlight w:val="none"/>
        </w:rPr>
        <w:t>要求</w:t>
      </w:r>
      <w:bookmarkEnd w:id="1"/>
      <w:r>
        <w:rPr>
          <w:rFonts w:hint="eastAsia" w:ascii="宋体" w:hAnsi="宋体" w:eastAsia="宋体" w:cs="宋体"/>
          <w:b/>
          <w:bCs/>
          <w:color w:val="auto"/>
          <w:sz w:val="24"/>
          <w:szCs w:val="24"/>
          <w:highlight w:val="none"/>
          <w:lang w:eastAsia="zh-CN"/>
        </w:rPr>
        <w:t>（未标注包号的各包均适用）</w:t>
      </w:r>
    </w:p>
    <w:p>
      <w:pPr>
        <w:pStyle w:val="8"/>
        <w:keepNext w:val="0"/>
        <w:keepLines w:val="0"/>
        <w:pageBreakBefore w:val="0"/>
        <w:kinsoku/>
        <w:wordWrap/>
        <w:overflowPunct/>
        <w:topLinePunct w:val="0"/>
        <w:autoSpaceDE/>
        <w:autoSpaceDN/>
        <w:bidi w:val="0"/>
        <w:adjustRightInd/>
        <w:spacing w:line="360" w:lineRule="auto"/>
        <w:ind w:firstLine="240" w:firstLineChars="100"/>
        <w:outlineLvl w:val="1"/>
        <w:rPr>
          <w:rFonts w:hint="eastAsia" w:ascii="宋体" w:hAnsi="宋体" w:eastAsia="宋体" w:cs="宋体"/>
          <w:bCs w:val="0"/>
          <w:color w:val="auto"/>
          <w:kern w:val="2"/>
          <w:sz w:val="24"/>
          <w:szCs w:val="24"/>
          <w:highlight w:val="none"/>
          <w:lang w:val="en-US" w:eastAsia="zh-CN" w:bidi="ar-SA"/>
        </w:rPr>
      </w:pPr>
      <w:r>
        <w:rPr>
          <w:rFonts w:hint="eastAsia" w:ascii="宋体" w:hAnsi="宋体" w:eastAsia="宋体" w:cs="宋体"/>
          <w:bCs w:val="0"/>
          <w:color w:val="auto"/>
          <w:kern w:val="2"/>
          <w:sz w:val="24"/>
          <w:szCs w:val="24"/>
          <w:highlight w:val="none"/>
          <w:lang w:val="en-US" w:eastAsia="zh-CN" w:bidi="ar-SA"/>
        </w:rPr>
        <w:t xml:space="preserve">1.项目交付时间： 采购包1：签订合同后15日内完成安装及验收工作；采购包2：签定合同后30日内完成安装验收工作。                                                    </w:t>
      </w:r>
    </w:p>
    <w:p>
      <w:pPr>
        <w:pStyle w:val="12"/>
        <w:keepNext w:val="0"/>
        <w:keepLines w:val="0"/>
        <w:pageBreakBefore w:val="0"/>
        <w:kinsoku/>
        <w:wordWrap/>
        <w:overflowPunct/>
        <w:topLinePunct w:val="0"/>
        <w:autoSpaceDE/>
        <w:autoSpaceDN/>
        <w:bidi w:val="0"/>
        <w:adjustRightInd/>
        <w:spacing w:line="360" w:lineRule="auto"/>
        <w:ind w:firstLine="240" w:firstLineChars="100"/>
        <w:rPr>
          <w:rFonts w:hint="eastAsia" w:ascii="宋体" w:hAnsi="宋体" w:eastAsia="宋体" w:cs="宋体"/>
          <w:bCs w:val="0"/>
          <w:color w:val="auto"/>
          <w:kern w:val="2"/>
          <w:sz w:val="24"/>
          <w:szCs w:val="24"/>
          <w:highlight w:val="none"/>
          <w:lang w:val="en-US" w:eastAsia="zh-CN" w:bidi="ar-SA"/>
        </w:rPr>
      </w:pPr>
      <w:r>
        <w:rPr>
          <w:rFonts w:hint="eastAsia" w:ascii="宋体" w:hAnsi="宋体" w:eastAsia="宋体" w:cs="宋体"/>
          <w:bCs w:val="0"/>
          <w:color w:val="auto"/>
          <w:kern w:val="2"/>
          <w:sz w:val="24"/>
          <w:szCs w:val="24"/>
          <w:highlight w:val="none"/>
          <w:lang w:val="en-US" w:eastAsia="zh-CN" w:bidi="ar-SA"/>
        </w:rPr>
        <w:t xml:space="preserve">2.项目实施地点：采购人指定地点                                                        </w:t>
      </w:r>
    </w:p>
    <w:p>
      <w:pPr>
        <w:pStyle w:val="12"/>
        <w:keepNext w:val="0"/>
        <w:keepLines w:val="0"/>
        <w:pageBreakBefore w:val="0"/>
        <w:kinsoku/>
        <w:wordWrap/>
        <w:overflowPunct/>
        <w:topLinePunct w:val="0"/>
        <w:autoSpaceDE/>
        <w:autoSpaceDN/>
        <w:bidi w:val="0"/>
        <w:adjustRightInd/>
        <w:spacing w:line="360" w:lineRule="auto"/>
        <w:ind w:firstLine="240" w:firstLineChars="100"/>
        <w:rPr>
          <w:rFonts w:hint="eastAsia" w:ascii="宋体" w:hAnsi="宋体" w:eastAsia="宋体" w:cs="宋体"/>
          <w:bCs w:val="0"/>
          <w:color w:val="auto"/>
          <w:kern w:val="2"/>
          <w:sz w:val="24"/>
          <w:szCs w:val="24"/>
          <w:highlight w:val="none"/>
          <w:lang w:val="en-US" w:eastAsia="zh-CN" w:bidi="ar-SA"/>
        </w:rPr>
      </w:pPr>
      <w:r>
        <w:rPr>
          <w:rFonts w:hint="eastAsia" w:ascii="宋体" w:hAnsi="宋体" w:eastAsia="宋体" w:cs="宋体"/>
          <w:bCs w:val="0"/>
          <w:color w:val="auto"/>
          <w:kern w:val="2"/>
          <w:sz w:val="24"/>
          <w:szCs w:val="24"/>
          <w:highlight w:val="none"/>
          <w:lang w:val="en-US" w:eastAsia="zh-CN" w:bidi="ar-SA"/>
        </w:rPr>
        <w:t xml:space="preserve">3.付款条件（进度和方式）： 将货物安装调试完成、验收合格后，30个工作日内采购人支付合同总价100%的价款。                      </w:t>
      </w:r>
    </w:p>
    <w:p>
      <w:pPr>
        <w:tabs>
          <w:tab w:val="left" w:pos="2145"/>
        </w:tabs>
        <w:spacing w:line="360" w:lineRule="auto"/>
        <w:ind w:firstLine="240" w:firstLineChars="100"/>
        <w:rPr>
          <w:rFonts w:hint="eastAsia" w:ascii="宋体" w:hAnsi="宋体" w:eastAsia="宋体" w:cs="宋体"/>
          <w:bCs w:val="0"/>
          <w:color w:val="auto"/>
          <w:kern w:val="2"/>
          <w:sz w:val="24"/>
          <w:szCs w:val="24"/>
          <w:highlight w:val="none"/>
          <w:lang w:val="en-US" w:eastAsia="zh-CN" w:bidi="ar-SA"/>
        </w:rPr>
      </w:pPr>
      <w:r>
        <w:rPr>
          <w:rFonts w:hint="eastAsia" w:ascii="宋体" w:hAnsi="宋体" w:eastAsia="宋体" w:cs="宋体"/>
          <w:bCs w:val="0"/>
          <w:color w:val="auto"/>
          <w:kern w:val="2"/>
          <w:sz w:val="24"/>
          <w:szCs w:val="24"/>
          <w:highlight w:val="none"/>
          <w:lang w:val="en-US" w:eastAsia="zh-CN" w:bidi="ar-SA"/>
        </w:rPr>
        <w:t>4.质量要求</w:t>
      </w:r>
      <w:r>
        <w:rPr>
          <w:rFonts w:hint="eastAsia" w:ascii="宋体" w:hAnsi="宋体" w:eastAsia="宋体" w:cs="宋体"/>
          <w:bCs w:val="0"/>
          <w:color w:val="auto"/>
          <w:kern w:val="2"/>
          <w:sz w:val="24"/>
          <w:szCs w:val="24"/>
          <w:highlight w:val="none"/>
          <w:lang w:val="en-US" w:eastAsia="zh-CN" w:bidi="ar-SA"/>
        </w:rPr>
        <w:tab/>
      </w:r>
    </w:p>
    <w:p>
      <w:pPr>
        <w:pStyle w:val="13"/>
        <w:spacing w:line="360" w:lineRule="auto"/>
        <w:ind w:left="0" w:leftChars="0" w:firstLine="218" w:firstLineChars="91"/>
        <w:rPr>
          <w:rFonts w:hint="eastAsia" w:ascii="宋体" w:hAnsi="宋体" w:eastAsia="宋体" w:cs="宋体"/>
          <w:bCs w:val="0"/>
          <w:color w:val="auto"/>
          <w:kern w:val="2"/>
          <w:sz w:val="24"/>
          <w:szCs w:val="24"/>
          <w:highlight w:val="none"/>
          <w:lang w:val="en-US" w:eastAsia="zh-CN" w:bidi="ar-SA"/>
        </w:rPr>
      </w:pPr>
      <w:r>
        <w:rPr>
          <w:rFonts w:hint="eastAsia" w:ascii="宋体" w:hAnsi="宋体" w:cs="宋体"/>
          <w:bCs w:val="0"/>
          <w:color w:val="auto"/>
          <w:kern w:val="2"/>
          <w:sz w:val="24"/>
          <w:szCs w:val="24"/>
          <w:highlight w:val="none"/>
          <w:lang w:val="en-US" w:eastAsia="zh-CN" w:bidi="ar-SA"/>
        </w:rPr>
        <w:t>4.</w:t>
      </w:r>
      <w:r>
        <w:rPr>
          <w:rFonts w:hint="eastAsia" w:ascii="宋体" w:hAnsi="宋体" w:eastAsia="宋体" w:cs="宋体"/>
          <w:bCs w:val="0"/>
          <w:color w:val="auto"/>
          <w:kern w:val="2"/>
          <w:sz w:val="24"/>
          <w:szCs w:val="24"/>
          <w:highlight w:val="none"/>
          <w:lang w:val="en-US" w:eastAsia="zh-CN" w:bidi="ar-SA"/>
        </w:rPr>
        <w:t>1.供应商须提供全新的货物（含零部件、配件等），表面无划伤、无碰撞痕迹，且权属清楚，不得侵害他人的知识产权。</w:t>
      </w:r>
    </w:p>
    <w:p>
      <w:pPr>
        <w:pStyle w:val="13"/>
        <w:spacing w:line="360" w:lineRule="auto"/>
        <w:ind w:left="0" w:leftChars="0" w:firstLine="218" w:firstLineChars="91"/>
        <w:rPr>
          <w:rFonts w:hint="eastAsia" w:ascii="宋体" w:hAnsi="宋体" w:eastAsia="宋体" w:cs="宋体"/>
          <w:bCs w:val="0"/>
          <w:color w:val="auto"/>
          <w:kern w:val="2"/>
          <w:sz w:val="24"/>
          <w:szCs w:val="24"/>
          <w:highlight w:val="none"/>
          <w:lang w:val="en-US" w:eastAsia="zh-CN" w:bidi="ar-SA"/>
        </w:rPr>
      </w:pPr>
      <w:r>
        <w:rPr>
          <w:rFonts w:hint="eastAsia" w:ascii="宋体" w:hAnsi="宋体" w:cs="宋体"/>
          <w:bCs w:val="0"/>
          <w:color w:val="auto"/>
          <w:kern w:val="2"/>
          <w:sz w:val="24"/>
          <w:szCs w:val="24"/>
          <w:highlight w:val="none"/>
          <w:lang w:val="en-US" w:eastAsia="zh-CN" w:bidi="ar-SA"/>
        </w:rPr>
        <w:t>4.</w:t>
      </w:r>
      <w:r>
        <w:rPr>
          <w:rFonts w:hint="eastAsia" w:ascii="宋体" w:hAnsi="宋体" w:eastAsia="宋体" w:cs="宋体"/>
          <w:bCs w:val="0"/>
          <w:color w:val="auto"/>
          <w:kern w:val="2"/>
          <w:sz w:val="24"/>
          <w:szCs w:val="24"/>
          <w:highlight w:val="none"/>
          <w:lang w:val="en-US" w:eastAsia="zh-CN" w:bidi="ar-SA"/>
        </w:rPr>
        <w:t>2.货物必须符合或优于国家（行业）标准，以及本项目招标文件的质量要求和技术指标与出厂标准。</w:t>
      </w:r>
    </w:p>
    <w:p>
      <w:pPr>
        <w:pStyle w:val="13"/>
        <w:spacing w:line="360" w:lineRule="auto"/>
        <w:ind w:left="0" w:leftChars="0" w:firstLine="218" w:firstLineChars="91"/>
        <w:rPr>
          <w:rFonts w:hint="eastAsia" w:ascii="宋体" w:hAnsi="宋体" w:eastAsia="宋体" w:cs="宋体"/>
          <w:bCs w:val="0"/>
          <w:color w:val="auto"/>
          <w:kern w:val="2"/>
          <w:sz w:val="24"/>
          <w:szCs w:val="24"/>
          <w:highlight w:val="none"/>
          <w:lang w:val="en-US" w:eastAsia="zh-CN" w:bidi="ar-SA"/>
        </w:rPr>
      </w:pPr>
      <w:r>
        <w:rPr>
          <w:rFonts w:hint="eastAsia" w:ascii="宋体" w:hAnsi="宋体" w:cs="宋体"/>
          <w:bCs w:val="0"/>
          <w:color w:val="auto"/>
          <w:kern w:val="2"/>
          <w:sz w:val="24"/>
          <w:szCs w:val="24"/>
          <w:highlight w:val="none"/>
          <w:lang w:val="en-US" w:eastAsia="zh-CN" w:bidi="ar-SA"/>
        </w:rPr>
        <w:t>4.</w:t>
      </w:r>
      <w:r>
        <w:rPr>
          <w:rFonts w:hint="eastAsia" w:ascii="宋体" w:hAnsi="宋体" w:eastAsia="宋体" w:cs="宋体"/>
          <w:bCs w:val="0"/>
          <w:color w:val="auto"/>
          <w:kern w:val="2"/>
          <w:sz w:val="24"/>
          <w:szCs w:val="24"/>
          <w:highlight w:val="none"/>
          <w:lang w:val="en-US" w:eastAsia="zh-CN" w:bidi="ar-SA"/>
        </w:rPr>
        <w:t>3.每台硬件货物上均应有产品质量检验合格标志。</w:t>
      </w:r>
    </w:p>
    <w:p>
      <w:pPr>
        <w:pStyle w:val="13"/>
        <w:spacing w:line="360" w:lineRule="auto"/>
        <w:ind w:left="0" w:leftChars="0" w:firstLine="218" w:firstLineChars="91"/>
        <w:rPr>
          <w:rFonts w:hint="eastAsia" w:ascii="宋体" w:hAnsi="宋体" w:eastAsia="宋体" w:cs="宋体"/>
          <w:bCs w:val="0"/>
          <w:color w:val="auto"/>
          <w:kern w:val="2"/>
          <w:sz w:val="24"/>
          <w:szCs w:val="24"/>
          <w:highlight w:val="none"/>
          <w:lang w:val="en-US" w:eastAsia="zh-CN" w:bidi="ar-SA"/>
        </w:rPr>
      </w:pPr>
      <w:r>
        <w:rPr>
          <w:rFonts w:hint="eastAsia" w:ascii="宋体" w:hAnsi="宋体" w:cs="宋体"/>
          <w:bCs w:val="0"/>
          <w:color w:val="auto"/>
          <w:kern w:val="2"/>
          <w:sz w:val="24"/>
          <w:szCs w:val="24"/>
          <w:highlight w:val="none"/>
          <w:lang w:val="en-US" w:eastAsia="zh-CN" w:bidi="ar-SA"/>
        </w:rPr>
        <w:t>4.</w:t>
      </w:r>
      <w:r>
        <w:rPr>
          <w:rFonts w:hint="eastAsia" w:ascii="宋体" w:hAnsi="宋体" w:eastAsia="宋体" w:cs="宋体"/>
          <w:bCs w:val="0"/>
          <w:color w:val="auto"/>
          <w:kern w:val="2"/>
          <w:sz w:val="24"/>
          <w:szCs w:val="24"/>
          <w:highlight w:val="none"/>
          <w:lang w:val="en-US" w:eastAsia="zh-CN" w:bidi="ar-SA"/>
        </w:rPr>
        <w:t>4.货物出现质量问题时，供应商应负责三包（包修、包换、包退），费用由供应商负担，采购人有权到供应商生产场地检查货物质量或生产进度。</w:t>
      </w:r>
    </w:p>
    <w:p>
      <w:pPr>
        <w:pStyle w:val="12"/>
        <w:keepNext w:val="0"/>
        <w:keepLines w:val="0"/>
        <w:pageBreakBefore w:val="0"/>
        <w:kinsoku/>
        <w:wordWrap/>
        <w:overflowPunct/>
        <w:topLinePunct w:val="0"/>
        <w:autoSpaceDE/>
        <w:autoSpaceDN/>
        <w:bidi w:val="0"/>
        <w:adjustRightInd/>
        <w:spacing w:line="360" w:lineRule="auto"/>
        <w:ind w:firstLine="240" w:firstLineChars="100"/>
        <w:rPr>
          <w:rFonts w:hint="eastAsia" w:ascii="宋体" w:hAnsi="宋体" w:eastAsia="宋体" w:cs="宋体"/>
          <w:bCs w:val="0"/>
          <w:color w:val="auto"/>
          <w:kern w:val="2"/>
          <w:sz w:val="24"/>
          <w:szCs w:val="24"/>
          <w:highlight w:val="none"/>
          <w:lang w:val="en-US" w:eastAsia="zh-CN" w:bidi="ar-SA"/>
        </w:rPr>
      </w:pPr>
      <w:r>
        <w:rPr>
          <w:rFonts w:hint="eastAsia" w:ascii="宋体" w:hAnsi="宋体" w:eastAsia="宋体" w:cs="宋体"/>
          <w:bCs w:val="0"/>
          <w:color w:val="auto"/>
          <w:kern w:val="2"/>
          <w:sz w:val="24"/>
          <w:szCs w:val="24"/>
          <w:highlight w:val="none"/>
          <w:lang w:val="en-US" w:eastAsia="zh-CN" w:bidi="ar-SA"/>
        </w:rPr>
        <w:t>5.售后服务要求：</w:t>
      </w:r>
    </w:p>
    <w:p>
      <w:pPr>
        <w:pStyle w:val="12"/>
        <w:keepNext w:val="0"/>
        <w:keepLines w:val="0"/>
        <w:pageBreakBefore w:val="0"/>
        <w:kinsoku/>
        <w:wordWrap/>
        <w:overflowPunct/>
        <w:topLinePunct w:val="0"/>
        <w:autoSpaceDE/>
        <w:autoSpaceDN/>
        <w:bidi w:val="0"/>
        <w:adjustRightInd/>
        <w:spacing w:line="360" w:lineRule="auto"/>
        <w:ind w:firstLine="240" w:firstLineChars="100"/>
        <w:rPr>
          <w:rFonts w:hint="eastAsia" w:ascii="宋体" w:hAnsi="宋体" w:eastAsia="宋体" w:cs="宋体"/>
          <w:bCs w:val="0"/>
          <w:color w:val="auto"/>
          <w:kern w:val="2"/>
          <w:sz w:val="24"/>
          <w:szCs w:val="24"/>
          <w:highlight w:val="none"/>
          <w:lang w:val="en-US" w:eastAsia="zh-CN" w:bidi="ar-SA"/>
        </w:rPr>
      </w:pPr>
      <w:r>
        <w:rPr>
          <w:rFonts w:hint="eastAsia" w:ascii="宋体" w:hAnsi="宋体" w:eastAsia="宋体" w:cs="宋体"/>
          <w:bCs w:val="0"/>
          <w:color w:val="auto"/>
          <w:kern w:val="2"/>
          <w:sz w:val="24"/>
          <w:szCs w:val="24"/>
          <w:highlight w:val="none"/>
          <w:lang w:val="en-US" w:eastAsia="zh-CN" w:bidi="ar-SA"/>
        </w:rPr>
        <w:t>5.1质保期： 3年。质保期从货物供货、安装、调试正常且经采购人确认验收合格之日起算。</w:t>
      </w:r>
    </w:p>
    <w:p>
      <w:pPr>
        <w:pStyle w:val="12"/>
        <w:keepNext w:val="0"/>
        <w:keepLines w:val="0"/>
        <w:pageBreakBefore w:val="0"/>
        <w:kinsoku/>
        <w:wordWrap/>
        <w:overflowPunct/>
        <w:topLinePunct w:val="0"/>
        <w:autoSpaceDE/>
        <w:autoSpaceDN/>
        <w:bidi w:val="0"/>
        <w:adjustRightInd/>
        <w:spacing w:line="360" w:lineRule="auto"/>
        <w:ind w:firstLine="240" w:firstLineChars="100"/>
        <w:rPr>
          <w:rFonts w:hint="eastAsia" w:ascii="宋体" w:hAnsi="宋体" w:eastAsia="宋体" w:cs="宋体"/>
          <w:bCs w:val="0"/>
          <w:color w:val="auto"/>
          <w:kern w:val="2"/>
          <w:sz w:val="24"/>
          <w:szCs w:val="24"/>
          <w:highlight w:val="none"/>
          <w:lang w:val="en-US" w:eastAsia="zh-CN" w:bidi="ar-SA"/>
        </w:rPr>
      </w:pPr>
      <w:r>
        <w:rPr>
          <w:rFonts w:hint="eastAsia" w:ascii="宋体" w:hAnsi="宋体" w:eastAsia="宋体" w:cs="宋体"/>
          <w:bCs w:val="0"/>
          <w:color w:val="auto"/>
          <w:kern w:val="2"/>
          <w:sz w:val="24"/>
          <w:szCs w:val="24"/>
          <w:highlight w:val="none"/>
          <w:lang w:val="en-US" w:eastAsia="zh-CN" w:bidi="ar-SA"/>
        </w:rPr>
        <w:t xml:space="preserve">5.2售后服务标准及效率要求： </w:t>
      </w:r>
    </w:p>
    <w:p>
      <w:pPr>
        <w:pStyle w:val="12"/>
        <w:keepNext w:val="0"/>
        <w:keepLines w:val="0"/>
        <w:pageBreakBefore w:val="0"/>
        <w:kinsoku/>
        <w:wordWrap/>
        <w:overflowPunct/>
        <w:topLinePunct w:val="0"/>
        <w:autoSpaceDE/>
        <w:autoSpaceDN/>
        <w:bidi w:val="0"/>
        <w:adjustRightInd/>
        <w:spacing w:line="360" w:lineRule="auto"/>
        <w:ind w:firstLine="240" w:firstLineChars="100"/>
        <w:rPr>
          <w:rFonts w:hint="eastAsia" w:ascii="宋体" w:hAnsi="宋体" w:eastAsia="宋体" w:cs="宋体"/>
          <w:bCs w:val="0"/>
          <w:color w:val="auto"/>
          <w:kern w:val="2"/>
          <w:sz w:val="24"/>
          <w:szCs w:val="24"/>
          <w:highlight w:val="none"/>
          <w:lang w:val="en-US" w:eastAsia="zh-CN" w:bidi="ar-SA"/>
        </w:rPr>
      </w:pPr>
      <w:r>
        <w:rPr>
          <w:rFonts w:hint="eastAsia" w:ascii="宋体" w:hAnsi="宋体" w:eastAsia="宋体" w:cs="宋体"/>
          <w:bCs w:val="0"/>
          <w:color w:val="auto"/>
          <w:kern w:val="2"/>
          <w:sz w:val="24"/>
          <w:szCs w:val="24"/>
          <w:highlight w:val="none"/>
          <w:lang w:val="en-US" w:eastAsia="zh-CN" w:bidi="ar-SA"/>
        </w:rPr>
        <w:t>5.2.1提供7*24小时故障报修，并在1小时内作出电话响应，如遇电话支持无法解决的问题，于24小时内派技术人员赶赴现场进行故障排查，并在3日内排除故障，如在3日内无法排除故障，供应商为采购人提供同类型货物，以保障采购人的正常使用；如因货物性能故障连续维修两次仍不能正常使用的，供应商应在一个月内更换相同品牌型号的全新货物给采购人，并重新计算质保期；备件送达期限：在设备的使用寿命期内，投标人应保证不超过7天。</w:t>
      </w:r>
    </w:p>
    <w:p>
      <w:pPr>
        <w:pStyle w:val="12"/>
        <w:keepNext w:val="0"/>
        <w:keepLines w:val="0"/>
        <w:pageBreakBefore w:val="0"/>
        <w:kinsoku/>
        <w:wordWrap/>
        <w:overflowPunct/>
        <w:topLinePunct w:val="0"/>
        <w:autoSpaceDE/>
        <w:autoSpaceDN/>
        <w:bidi w:val="0"/>
        <w:adjustRightInd/>
        <w:spacing w:line="360" w:lineRule="auto"/>
        <w:ind w:firstLine="240" w:firstLineChars="100"/>
        <w:rPr>
          <w:rFonts w:hint="eastAsia" w:ascii="宋体" w:hAnsi="宋体" w:eastAsia="宋体" w:cs="宋体"/>
          <w:bCs w:val="0"/>
          <w:color w:val="auto"/>
          <w:kern w:val="2"/>
          <w:sz w:val="24"/>
          <w:szCs w:val="24"/>
          <w:highlight w:val="none"/>
          <w:lang w:val="en-US" w:eastAsia="zh-CN" w:bidi="ar-SA"/>
        </w:rPr>
      </w:pPr>
      <w:r>
        <w:rPr>
          <w:rFonts w:hint="eastAsia" w:ascii="宋体" w:hAnsi="宋体" w:eastAsia="宋体" w:cs="宋体"/>
          <w:bCs w:val="0"/>
          <w:color w:val="auto"/>
          <w:kern w:val="2"/>
          <w:sz w:val="24"/>
          <w:szCs w:val="24"/>
          <w:highlight w:val="none"/>
          <w:lang w:val="en-US" w:eastAsia="zh-CN" w:bidi="ar-SA"/>
        </w:rPr>
        <w:t>5.2.2质保期外供应商继续提供服务，差旅费（包括机票、住宿、交通费等）和人工服务费单算，如需更换零配件、购买附件，按成本价收取费用。</w:t>
      </w:r>
    </w:p>
    <w:p>
      <w:pPr>
        <w:pStyle w:val="12"/>
        <w:keepNext w:val="0"/>
        <w:keepLines w:val="0"/>
        <w:pageBreakBefore w:val="0"/>
        <w:kinsoku/>
        <w:wordWrap/>
        <w:overflowPunct/>
        <w:topLinePunct w:val="0"/>
        <w:autoSpaceDE/>
        <w:autoSpaceDN/>
        <w:bidi w:val="0"/>
        <w:adjustRightInd/>
        <w:spacing w:line="360" w:lineRule="auto"/>
        <w:ind w:firstLine="240" w:firstLineChars="100"/>
        <w:rPr>
          <w:rFonts w:hint="eastAsia" w:ascii="宋体" w:hAnsi="宋体" w:eastAsia="宋体" w:cs="宋体"/>
          <w:bCs w:val="0"/>
          <w:color w:val="auto"/>
          <w:kern w:val="2"/>
          <w:sz w:val="24"/>
          <w:szCs w:val="24"/>
          <w:highlight w:val="none"/>
          <w:lang w:val="en-US" w:eastAsia="zh-CN" w:bidi="ar-SA"/>
        </w:rPr>
      </w:pPr>
      <w:r>
        <w:rPr>
          <w:rFonts w:hint="eastAsia" w:ascii="宋体" w:hAnsi="宋体" w:eastAsia="宋体" w:cs="宋体"/>
          <w:bCs w:val="0"/>
          <w:color w:val="auto"/>
          <w:kern w:val="2"/>
          <w:sz w:val="24"/>
          <w:szCs w:val="24"/>
          <w:highlight w:val="none"/>
          <w:lang w:val="en-US" w:eastAsia="zh-CN" w:bidi="ar-SA"/>
        </w:rPr>
        <w:t>5.2.3供应商负责上门安装调试，现场操作培训，培训包括货物的基本原理、操作及货物维护保养知识。培训要求：现场操作培训，培训包括货物的基本原理、操作及货物维护保养知识。</w:t>
      </w:r>
    </w:p>
    <w:p>
      <w:pPr>
        <w:pStyle w:val="12"/>
        <w:keepNext w:val="0"/>
        <w:keepLines w:val="0"/>
        <w:pageBreakBefore w:val="0"/>
        <w:kinsoku/>
        <w:wordWrap/>
        <w:overflowPunct/>
        <w:topLinePunct w:val="0"/>
        <w:autoSpaceDE/>
        <w:autoSpaceDN/>
        <w:bidi w:val="0"/>
        <w:adjustRightInd/>
        <w:spacing w:line="360" w:lineRule="auto"/>
        <w:ind w:firstLine="240" w:firstLineChars="100"/>
        <w:rPr>
          <w:rFonts w:hint="eastAsia" w:ascii="宋体" w:hAnsi="宋体" w:eastAsia="宋体" w:cs="宋体"/>
          <w:bCs w:val="0"/>
          <w:color w:val="auto"/>
          <w:kern w:val="2"/>
          <w:sz w:val="24"/>
          <w:szCs w:val="24"/>
          <w:highlight w:val="none"/>
          <w:lang w:val="en-US" w:eastAsia="zh-CN" w:bidi="ar-SA"/>
        </w:rPr>
      </w:pPr>
      <w:r>
        <w:rPr>
          <w:rFonts w:hint="eastAsia" w:ascii="宋体" w:hAnsi="宋体" w:eastAsia="宋体" w:cs="宋体"/>
          <w:bCs w:val="0"/>
          <w:color w:val="auto"/>
          <w:kern w:val="2"/>
          <w:sz w:val="24"/>
          <w:szCs w:val="24"/>
          <w:highlight w:val="none"/>
          <w:lang w:val="en-US" w:eastAsia="zh-CN" w:bidi="ar-SA"/>
        </w:rPr>
        <w:t>6.1.采购人违约责任</w:t>
      </w:r>
    </w:p>
    <w:p>
      <w:pPr>
        <w:pStyle w:val="12"/>
        <w:keepNext w:val="0"/>
        <w:keepLines w:val="0"/>
        <w:pageBreakBefore w:val="0"/>
        <w:kinsoku/>
        <w:wordWrap/>
        <w:overflowPunct/>
        <w:topLinePunct w:val="0"/>
        <w:autoSpaceDE/>
        <w:autoSpaceDN/>
        <w:bidi w:val="0"/>
        <w:adjustRightInd/>
        <w:spacing w:line="360" w:lineRule="auto"/>
        <w:ind w:firstLine="240" w:firstLineChars="100"/>
        <w:rPr>
          <w:rFonts w:hint="eastAsia" w:ascii="宋体" w:hAnsi="宋体" w:eastAsia="宋体" w:cs="宋体"/>
          <w:bCs w:val="0"/>
          <w:color w:val="auto"/>
          <w:kern w:val="2"/>
          <w:sz w:val="24"/>
          <w:szCs w:val="24"/>
          <w:highlight w:val="none"/>
          <w:lang w:val="en-US" w:eastAsia="zh-CN" w:bidi="ar-SA"/>
        </w:rPr>
      </w:pPr>
      <w:r>
        <w:rPr>
          <w:rFonts w:hint="eastAsia" w:ascii="宋体" w:hAnsi="宋体" w:eastAsia="宋体" w:cs="宋体"/>
          <w:bCs w:val="0"/>
          <w:color w:val="auto"/>
          <w:kern w:val="2"/>
          <w:sz w:val="24"/>
          <w:szCs w:val="24"/>
          <w:highlight w:val="none"/>
          <w:lang w:val="en-US" w:eastAsia="zh-CN" w:bidi="ar-SA"/>
        </w:rPr>
        <w:t>6.1.1采购人无正当理由拒收货物的，采购人应偿付最高不超过10000元的违约金。</w:t>
      </w:r>
    </w:p>
    <w:p>
      <w:pPr>
        <w:pStyle w:val="12"/>
        <w:keepNext w:val="0"/>
        <w:keepLines w:val="0"/>
        <w:pageBreakBefore w:val="0"/>
        <w:kinsoku/>
        <w:wordWrap/>
        <w:overflowPunct/>
        <w:topLinePunct w:val="0"/>
        <w:autoSpaceDE/>
        <w:autoSpaceDN/>
        <w:bidi w:val="0"/>
        <w:adjustRightInd/>
        <w:spacing w:line="360" w:lineRule="auto"/>
        <w:ind w:firstLine="240" w:firstLineChars="100"/>
        <w:rPr>
          <w:rFonts w:hint="eastAsia" w:ascii="宋体" w:hAnsi="宋体" w:eastAsia="宋体" w:cs="宋体"/>
          <w:bCs w:val="0"/>
          <w:color w:val="auto"/>
          <w:kern w:val="2"/>
          <w:sz w:val="24"/>
          <w:szCs w:val="24"/>
          <w:highlight w:val="none"/>
          <w:lang w:val="en-US" w:eastAsia="zh-CN" w:bidi="ar-SA"/>
        </w:rPr>
      </w:pPr>
      <w:r>
        <w:rPr>
          <w:rFonts w:hint="eastAsia" w:ascii="宋体" w:hAnsi="宋体" w:eastAsia="宋体" w:cs="宋体"/>
          <w:bCs w:val="0"/>
          <w:color w:val="auto"/>
          <w:kern w:val="2"/>
          <w:sz w:val="24"/>
          <w:szCs w:val="24"/>
          <w:highlight w:val="none"/>
          <w:lang w:val="en-US" w:eastAsia="zh-CN" w:bidi="ar-SA"/>
        </w:rPr>
        <w:t>6.1.2采购人应按合同约定向中标供应商支付货款，逾期支付的按逾期时间同期银行活期存款利息向中标供应商支付违约金，采购人在逾期支付后所承担的违约金最高不超过10000元；因中标供应商开具发票不符合采购人要求、中标供应商支付信息发生变更未及时通知采购人造成的逾期支付，责任由中标供应商自行承担。</w:t>
      </w:r>
    </w:p>
    <w:p>
      <w:pPr>
        <w:pStyle w:val="12"/>
        <w:keepNext w:val="0"/>
        <w:keepLines w:val="0"/>
        <w:pageBreakBefore w:val="0"/>
        <w:kinsoku/>
        <w:wordWrap/>
        <w:overflowPunct/>
        <w:topLinePunct w:val="0"/>
        <w:autoSpaceDE/>
        <w:autoSpaceDN/>
        <w:bidi w:val="0"/>
        <w:adjustRightInd/>
        <w:spacing w:line="360" w:lineRule="auto"/>
        <w:ind w:firstLine="0" w:firstLineChars="0"/>
        <w:rPr>
          <w:rFonts w:hint="eastAsia" w:ascii="宋体" w:hAnsi="宋体" w:eastAsia="宋体" w:cs="宋体"/>
          <w:bCs w:val="0"/>
          <w:color w:val="auto"/>
          <w:kern w:val="2"/>
          <w:sz w:val="24"/>
          <w:szCs w:val="24"/>
          <w:highlight w:val="none"/>
          <w:lang w:val="en-US" w:eastAsia="zh-CN" w:bidi="ar-SA"/>
        </w:rPr>
      </w:pPr>
      <w:r>
        <w:rPr>
          <w:rFonts w:hint="eastAsia" w:ascii="宋体" w:hAnsi="宋体" w:eastAsia="宋体" w:cs="宋体"/>
          <w:bCs w:val="0"/>
          <w:color w:val="auto"/>
          <w:kern w:val="2"/>
          <w:sz w:val="24"/>
          <w:szCs w:val="24"/>
          <w:highlight w:val="none"/>
          <w:lang w:val="en-US" w:eastAsia="zh-CN" w:bidi="ar-SA"/>
        </w:rPr>
        <w:t>若采购人已签署付款指令，但因非采购人流程等非人为原因和政府行为造成的逾期支付，不视为采购人逾期付款，采购人不承担违约责任。</w:t>
      </w:r>
    </w:p>
    <w:p>
      <w:pPr>
        <w:pStyle w:val="12"/>
        <w:keepNext w:val="0"/>
        <w:keepLines w:val="0"/>
        <w:pageBreakBefore w:val="0"/>
        <w:kinsoku/>
        <w:wordWrap/>
        <w:overflowPunct/>
        <w:topLinePunct w:val="0"/>
        <w:autoSpaceDE/>
        <w:autoSpaceDN/>
        <w:bidi w:val="0"/>
        <w:adjustRightInd/>
        <w:spacing w:line="360" w:lineRule="auto"/>
        <w:ind w:firstLine="240" w:firstLineChars="100"/>
        <w:rPr>
          <w:rFonts w:hint="eastAsia" w:ascii="宋体" w:hAnsi="宋体" w:eastAsia="宋体" w:cs="宋体"/>
          <w:bCs w:val="0"/>
          <w:color w:val="auto"/>
          <w:kern w:val="2"/>
          <w:sz w:val="24"/>
          <w:szCs w:val="24"/>
          <w:highlight w:val="none"/>
          <w:lang w:val="en-US" w:eastAsia="zh-CN" w:bidi="ar-SA"/>
        </w:rPr>
      </w:pPr>
      <w:r>
        <w:rPr>
          <w:rFonts w:hint="eastAsia" w:ascii="宋体" w:hAnsi="宋体" w:eastAsia="宋体" w:cs="宋体"/>
          <w:bCs w:val="0"/>
          <w:color w:val="auto"/>
          <w:kern w:val="2"/>
          <w:sz w:val="24"/>
          <w:szCs w:val="24"/>
          <w:highlight w:val="none"/>
          <w:lang w:val="en-US" w:eastAsia="zh-CN" w:bidi="ar-SA"/>
        </w:rPr>
        <w:t>6.2.中标供应商违约责任</w:t>
      </w:r>
    </w:p>
    <w:p>
      <w:pPr>
        <w:pStyle w:val="12"/>
        <w:keepNext w:val="0"/>
        <w:keepLines w:val="0"/>
        <w:pageBreakBefore w:val="0"/>
        <w:kinsoku/>
        <w:wordWrap/>
        <w:overflowPunct/>
        <w:topLinePunct w:val="0"/>
        <w:autoSpaceDE/>
        <w:autoSpaceDN/>
        <w:bidi w:val="0"/>
        <w:adjustRightInd/>
        <w:spacing w:line="360" w:lineRule="auto"/>
        <w:ind w:firstLine="240" w:firstLineChars="100"/>
        <w:rPr>
          <w:rFonts w:hint="eastAsia" w:ascii="宋体" w:hAnsi="宋体" w:eastAsia="宋体" w:cs="宋体"/>
          <w:bCs w:val="0"/>
          <w:color w:val="auto"/>
          <w:kern w:val="2"/>
          <w:sz w:val="24"/>
          <w:szCs w:val="24"/>
          <w:highlight w:val="none"/>
          <w:lang w:val="en-US" w:eastAsia="zh-CN" w:bidi="ar-SA"/>
        </w:rPr>
      </w:pPr>
      <w:r>
        <w:rPr>
          <w:rFonts w:hint="eastAsia" w:ascii="宋体" w:hAnsi="宋体" w:eastAsia="宋体" w:cs="宋体"/>
          <w:bCs w:val="0"/>
          <w:color w:val="auto"/>
          <w:kern w:val="2"/>
          <w:sz w:val="24"/>
          <w:szCs w:val="24"/>
          <w:highlight w:val="none"/>
          <w:lang w:val="en-US" w:eastAsia="zh-CN" w:bidi="ar-SA"/>
        </w:rPr>
        <w:t>6.1.1.中标供应商交付的货物质量不符合合同规定的，中标供应商应向采购人支付合同总价的百分之一的违约金，并须在合同规定的交货时间内更换合格的货物给采购人，否则，视作中标供应商不能交付货物而违约，按本条本款下述第“6.1.2”项规定由中标供应商偿付违约赔偿金给采购人。</w:t>
      </w:r>
    </w:p>
    <w:p>
      <w:pPr>
        <w:pStyle w:val="12"/>
        <w:keepNext w:val="0"/>
        <w:keepLines w:val="0"/>
        <w:pageBreakBefore w:val="0"/>
        <w:kinsoku/>
        <w:wordWrap/>
        <w:overflowPunct/>
        <w:topLinePunct w:val="0"/>
        <w:autoSpaceDE/>
        <w:autoSpaceDN/>
        <w:bidi w:val="0"/>
        <w:adjustRightInd/>
        <w:spacing w:line="360" w:lineRule="auto"/>
        <w:ind w:firstLine="240" w:firstLineChars="100"/>
        <w:rPr>
          <w:rFonts w:hint="eastAsia" w:ascii="宋体" w:hAnsi="宋体" w:eastAsia="宋体" w:cs="宋体"/>
          <w:bCs w:val="0"/>
          <w:color w:val="auto"/>
          <w:kern w:val="2"/>
          <w:sz w:val="24"/>
          <w:szCs w:val="24"/>
          <w:highlight w:val="none"/>
          <w:lang w:val="en-US" w:eastAsia="zh-CN" w:bidi="ar-SA"/>
        </w:rPr>
      </w:pPr>
      <w:r>
        <w:rPr>
          <w:rFonts w:hint="eastAsia" w:ascii="宋体" w:hAnsi="宋体" w:eastAsia="宋体" w:cs="宋体"/>
          <w:bCs w:val="0"/>
          <w:color w:val="auto"/>
          <w:kern w:val="2"/>
          <w:sz w:val="24"/>
          <w:szCs w:val="24"/>
          <w:highlight w:val="none"/>
          <w:lang w:val="en-US" w:eastAsia="zh-CN" w:bidi="ar-SA"/>
        </w:rPr>
        <w:t>6.1.2中标供应商不能交付货物或逾期交付货物而违约的，除应及时交足货物外，应向采购人偿付逾期交货部分货款总额的百分之一/天的违约金；逾期交货超过七天，采购人有权终止合同，中标供应商则应按合同总价的百分之十的款额向采购人偿付赔偿金，并须全额退还采购人已经付给中标供应商的货款及其利息。</w:t>
      </w:r>
    </w:p>
    <w:p>
      <w:pPr>
        <w:pStyle w:val="12"/>
        <w:keepNext w:val="0"/>
        <w:keepLines w:val="0"/>
        <w:pageBreakBefore w:val="0"/>
        <w:kinsoku/>
        <w:wordWrap/>
        <w:overflowPunct/>
        <w:topLinePunct w:val="0"/>
        <w:autoSpaceDE/>
        <w:autoSpaceDN/>
        <w:bidi w:val="0"/>
        <w:adjustRightInd/>
        <w:spacing w:line="360" w:lineRule="auto"/>
        <w:ind w:firstLine="240" w:firstLineChars="100"/>
        <w:rPr>
          <w:rFonts w:hint="eastAsia" w:ascii="宋体" w:hAnsi="宋体" w:eastAsia="宋体" w:cs="宋体"/>
          <w:bCs w:val="0"/>
          <w:color w:val="auto"/>
          <w:kern w:val="2"/>
          <w:sz w:val="24"/>
          <w:szCs w:val="24"/>
          <w:highlight w:val="none"/>
          <w:lang w:val="en-US" w:eastAsia="zh-CN" w:bidi="ar-SA"/>
        </w:rPr>
      </w:pPr>
      <w:r>
        <w:rPr>
          <w:rFonts w:hint="eastAsia" w:ascii="宋体" w:hAnsi="宋体" w:eastAsia="宋体" w:cs="宋体"/>
          <w:bCs w:val="0"/>
          <w:color w:val="auto"/>
          <w:kern w:val="2"/>
          <w:sz w:val="24"/>
          <w:szCs w:val="24"/>
          <w:highlight w:val="none"/>
          <w:lang w:val="en-US" w:eastAsia="zh-CN" w:bidi="ar-SA"/>
        </w:rPr>
        <w:t>6.1.3中标供应商货物经采购人送交具有法定资格条件的质量技术监督机构检测后，如检测结果认定货物质量不符合合同规定标准的，则视为中标供应商没有按时和按质交货而违约，中标供应商须在七天内无条件更换合格的货物，如逾期不能更换合格的货物，采购人有权终止合同，中标供应商应另付合同总价的百分之十的赔偿金给采购人。</w:t>
      </w:r>
    </w:p>
    <w:p>
      <w:pPr>
        <w:pStyle w:val="12"/>
        <w:keepNext w:val="0"/>
        <w:keepLines w:val="0"/>
        <w:pageBreakBefore w:val="0"/>
        <w:kinsoku/>
        <w:wordWrap/>
        <w:overflowPunct/>
        <w:topLinePunct w:val="0"/>
        <w:autoSpaceDE/>
        <w:autoSpaceDN/>
        <w:bidi w:val="0"/>
        <w:adjustRightInd/>
        <w:spacing w:line="360" w:lineRule="auto"/>
        <w:ind w:firstLine="240" w:firstLineChars="100"/>
        <w:rPr>
          <w:rFonts w:hint="eastAsia" w:ascii="宋体" w:hAnsi="宋体" w:eastAsia="宋体" w:cs="宋体"/>
          <w:bCs w:val="0"/>
          <w:color w:val="auto"/>
          <w:kern w:val="2"/>
          <w:sz w:val="24"/>
          <w:szCs w:val="24"/>
          <w:highlight w:val="none"/>
          <w:lang w:val="en-US" w:eastAsia="zh-CN" w:bidi="ar-SA"/>
        </w:rPr>
      </w:pPr>
      <w:r>
        <w:rPr>
          <w:rFonts w:hint="eastAsia" w:ascii="宋体" w:hAnsi="宋体" w:eastAsia="宋体" w:cs="宋体"/>
          <w:bCs w:val="0"/>
          <w:color w:val="auto"/>
          <w:kern w:val="2"/>
          <w:sz w:val="24"/>
          <w:szCs w:val="24"/>
          <w:highlight w:val="none"/>
          <w:lang w:val="en-US" w:eastAsia="zh-CN" w:bidi="ar-SA"/>
        </w:rPr>
        <w:t>6.1.4中标供应商保证合同货物的权利无瑕疵，包括货物所有权及知识产权等权利无瑕疵。如任何第三方经法院（或仲裁机构）裁决有权对上述货物主张权利或国家机关依法对货物进行没收查处的，中标供应商除应向采购人返还已收款项外，还应另按合同总价的百分之十向采购人支付违约金。</w:t>
      </w:r>
    </w:p>
    <w:p>
      <w:pPr>
        <w:pStyle w:val="12"/>
        <w:keepNext w:val="0"/>
        <w:keepLines w:val="0"/>
        <w:pageBreakBefore w:val="0"/>
        <w:kinsoku/>
        <w:wordWrap/>
        <w:overflowPunct/>
        <w:topLinePunct w:val="0"/>
        <w:autoSpaceDE/>
        <w:autoSpaceDN/>
        <w:bidi w:val="0"/>
        <w:adjustRightInd/>
        <w:spacing w:line="360" w:lineRule="auto"/>
        <w:ind w:firstLine="240" w:firstLineChars="100"/>
        <w:rPr>
          <w:rFonts w:hint="eastAsia" w:ascii="宋体" w:hAnsi="宋体" w:eastAsia="宋体" w:cs="宋体"/>
          <w:bCs w:val="0"/>
          <w:color w:val="auto"/>
          <w:kern w:val="2"/>
          <w:sz w:val="24"/>
          <w:szCs w:val="24"/>
          <w:highlight w:val="none"/>
          <w:lang w:val="en-US" w:eastAsia="zh-CN" w:bidi="ar-SA"/>
        </w:rPr>
      </w:pPr>
      <w:r>
        <w:rPr>
          <w:rFonts w:hint="eastAsia" w:ascii="宋体" w:hAnsi="宋体" w:eastAsia="宋体" w:cs="宋体"/>
          <w:bCs w:val="0"/>
          <w:color w:val="auto"/>
          <w:kern w:val="2"/>
          <w:sz w:val="24"/>
          <w:szCs w:val="24"/>
          <w:highlight w:val="none"/>
          <w:lang w:val="en-US" w:eastAsia="zh-CN" w:bidi="ar-SA"/>
        </w:rPr>
        <w:t>6.1.5中标供应商不履行或迟延履行售后维保义务的，每发生一次，应向采购人支付合同总价款百分之一的违约金，且采购人有权委托第三方维保，由此发生的维保费用由中标供应商承担。</w:t>
      </w:r>
    </w:p>
    <w:p>
      <w:pPr>
        <w:pStyle w:val="12"/>
        <w:keepNext w:val="0"/>
        <w:keepLines w:val="0"/>
        <w:pageBreakBefore w:val="0"/>
        <w:kinsoku/>
        <w:wordWrap/>
        <w:overflowPunct/>
        <w:topLinePunct w:val="0"/>
        <w:autoSpaceDE/>
        <w:autoSpaceDN/>
        <w:bidi w:val="0"/>
        <w:adjustRightInd/>
        <w:spacing w:line="360" w:lineRule="auto"/>
        <w:ind w:firstLine="0" w:firstLineChars="0"/>
        <w:rPr>
          <w:rFonts w:hint="eastAsia" w:ascii="宋体" w:hAnsi="宋体" w:eastAsia="宋体" w:cs="宋体"/>
          <w:bCs w:val="0"/>
          <w:color w:val="auto"/>
          <w:kern w:val="2"/>
          <w:sz w:val="24"/>
          <w:szCs w:val="24"/>
          <w:highlight w:val="none"/>
          <w:lang w:val="en-US" w:eastAsia="zh-CN" w:bidi="ar-SA"/>
        </w:rPr>
      </w:pPr>
      <w:r>
        <w:rPr>
          <w:rFonts w:hint="eastAsia" w:ascii="宋体" w:hAnsi="宋体" w:eastAsia="宋体" w:cs="宋体"/>
          <w:bCs w:val="0"/>
          <w:color w:val="auto"/>
          <w:kern w:val="2"/>
          <w:sz w:val="24"/>
          <w:szCs w:val="24"/>
          <w:highlight w:val="none"/>
          <w:lang w:val="en-US" w:eastAsia="zh-CN" w:bidi="ar-SA"/>
        </w:rPr>
        <w:t>6.1.6中标供应商派到采购人的人员在采购人场所或运输途中发生人身、财产损害或意外事故以及中标供应商工作人员在安装过程中侵犯他人人身财产等情况时,相关的责任及费用最终全部由中标供应商承担,采购人不承担任何责任及费用。</w:t>
      </w:r>
    </w:p>
    <w:p>
      <w:pPr>
        <w:pStyle w:val="12"/>
        <w:keepNext w:val="0"/>
        <w:keepLines w:val="0"/>
        <w:pageBreakBefore w:val="0"/>
        <w:kinsoku/>
        <w:wordWrap/>
        <w:overflowPunct/>
        <w:topLinePunct w:val="0"/>
        <w:autoSpaceDE/>
        <w:autoSpaceDN/>
        <w:bidi w:val="0"/>
        <w:adjustRightInd/>
        <w:spacing w:line="360" w:lineRule="auto"/>
        <w:ind w:firstLine="240" w:firstLineChars="100"/>
        <w:rPr>
          <w:rFonts w:hint="eastAsia" w:ascii="宋体" w:hAnsi="宋体" w:eastAsia="宋体" w:cs="宋体"/>
          <w:bCs w:val="0"/>
          <w:color w:val="auto"/>
          <w:kern w:val="2"/>
          <w:sz w:val="24"/>
          <w:szCs w:val="24"/>
          <w:highlight w:val="none"/>
          <w:lang w:val="en-US" w:eastAsia="zh-CN" w:bidi="ar-SA"/>
        </w:rPr>
      </w:pPr>
      <w:r>
        <w:rPr>
          <w:rFonts w:hint="eastAsia" w:ascii="宋体" w:hAnsi="宋体" w:eastAsia="宋体" w:cs="宋体"/>
          <w:bCs w:val="0"/>
          <w:color w:val="auto"/>
          <w:kern w:val="2"/>
          <w:sz w:val="24"/>
          <w:szCs w:val="24"/>
          <w:highlight w:val="none"/>
          <w:lang w:val="en-US" w:eastAsia="zh-CN" w:bidi="ar-SA"/>
        </w:rPr>
        <w:t>6.1.7前述费用发生后，若中标供应商未按约定及时向采购人支付，采购人有权在退还中标供应商履约保证金时予以扣除。</w:t>
      </w:r>
    </w:p>
    <w:p>
      <w:pPr>
        <w:pStyle w:val="12"/>
        <w:keepNext w:val="0"/>
        <w:keepLines w:val="0"/>
        <w:pageBreakBefore w:val="0"/>
        <w:kinsoku/>
        <w:wordWrap/>
        <w:overflowPunct/>
        <w:topLinePunct w:val="0"/>
        <w:autoSpaceDE/>
        <w:autoSpaceDN/>
        <w:bidi w:val="0"/>
        <w:adjustRightInd/>
        <w:spacing w:line="360" w:lineRule="auto"/>
        <w:ind w:firstLine="240" w:firstLineChars="100"/>
        <w:rPr>
          <w:rFonts w:hint="eastAsia" w:ascii="宋体" w:hAnsi="宋体" w:eastAsia="宋体" w:cs="宋体"/>
          <w:bCs w:val="0"/>
          <w:color w:val="auto"/>
          <w:kern w:val="2"/>
          <w:sz w:val="24"/>
          <w:szCs w:val="24"/>
          <w:highlight w:val="none"/>
          <w:lang w:val="en-US" w:eastAsia="zh-CN" w:bidi="ar-SA"/>
        </w:rPr>
      </w:pPr>
      <w:r>
        <w:rPr>
          <w:rFonts w:hint="eastAsia" w:ascii="宋体" w:hAnsi="宋体" w:eastAsia="宋体" w:cs="宋体"/>
          <w:bCs w:val="0"/>
          <w:color w:val="auto"/>
          <w:kern w:val="2"/>
          <w:sz w:val="24"/>
          <w:szCs w:val="24"/>
          <w:highlight w:val="none"/>
          <w:lang w:val="en-US" w:eastAsia="zh-CN" w:bidi="ar-SA"/>
        </w:rPr>
        <w:t>6.1.8未经采购人书面同意,中标供应商不得将合同转让、委托其他机构或个人履行,否则采购人有权单方解除合同,并要求中标供应商退还已支付的全部合同价款,同时还有权要求中标供应商支付采购人合同总价款百分之十的违约金,而且中标供应商仍需对本合同设备的质量问题以及全部合同义务和法律责任与受托人或受让人承担连带责任。</w:t>
      </w:r>
    </w:p>
    <w:p>
      <w:pPr>
        <w:pStyle w:val="12"/>
        <w:keepNext w:val="0"/>
        <w:keepLines w:val="0"/>
        <w:pageBreakBefore w:val="0"/>
        <w:kinsoku/>
        <w:wordWrap/>
        <w:overflowPunct/>
        <w:topLinePunct w:val="0"/>
        <w:autoSpaceDE/>
        <w:autoSpaceDN/>
        <w:bidi w:val="0"/>
        <w:adjustRightInd/>
        <w:spacing w:line="360" w:lineRule="auto"/>
        <w:ind w:firstLine="0" w:firstLineChars="0"/>
        <w:rPr>
          <w:rFonts w:hint="eastAsia" w:ascii="宋体" w:hAnsi="宋体" w:eastAsia="宋体" w:cs="宋体"/>
          <w:bCs w:val="0"/>
          <w:color w:val="auto"/>
          <w:kern w:val="2"/>
          <w:sz w:val="24"/>
          <w:szCs w:val="24"/>
          <w:highlight w:val="none"/>
          <w:lang w:val="en-US" w:eastAsia="zh-CN" w:bidi="ar-SA"/>
        </w:rPr>
      </w:pPr>
      <w:r>
        <w:rPr>
          <w:rFonts w:hint="eastAsia" w:ascii="宋体" w:hAnsi="宋体" w:eastAsia="宋体" w:cs="宋体"/>
          <w:bCs w:val="0"/>
          <w:color w:val="auto"/>
          <w:kern w:val="2"/>
          <w:sz w:val="24"/>
          <w:szCs w:val="24"/>
          <w:highlight w:val="none"/>
          <w:lang w:val="en-US" w:eastAsia="zh-CN" w:bidi="ar-SA"/>
        </w:rPr>
        <w:t>6.1.9本合同项下约定的违约金如果不足以弥补对方的各种损失(包括但不限于直接损失,间接损失,守约方维权而支出的律师费、诉讼费、鉴定费以及取证发生的费用),则违约方还应再赔偿对方的损失。</w:t>
      </w:r>
    </w:p>
    <w:p>
      <w:pPr>
        <w:pStyle w:val="12"/>
        <w:keepNext w:val="0"/>
        <w:keepLines w:val="0"/>
        <w:pageBreakBefore w:val="0"/>
        <w:kinsoku/>
        <w:wordWrap/>
        <w:overflowPunct/>
        <w:topLinePunct w:val="0"/>
        <w:autoSpaceDE/>
        <w:autoSpaceDN/>
        <w:bidi w:val="0"/>
        <w:adjustRightInd/>
        <w:spacing w:line="360" w:lineRule="auto"/>
        <w:ind w:firstLine="0" w:firstLineChars="0"/>
        <w:rPr>
          <w:rFonts w:hint="eastAsia" w:ascii="宋体" w:hAnsi="宋体" w:eastAsia="宋体" w:cs="宋体"/>
          <w:bCs w:val="0"/>
          <w:color w:val="auto"/>
          <w:kern w:val="2"/>
          <w:sz w:val="24"/>
          <w:szCs w:val="24"/>
          <w:highlight w:val="none"/>
          <w:lang w:val="en-US" w:eastAsia="zh-CN" w:bidi="ar-SA"/>
        </w:rPr>
      </w:pPr>
      <w:r>
        <w:rPr>
          <w:rFonts w:hint="eastAsia" w:ascii="宋体" w:hAnsi="宋体" w:eastAsia="宋体" w:cs="宋体"/>
          <w:bCs w:val="0"/>
          <w:color w:val="auto"/>
          <w:kern w:val="2"/>
          <w:sz w:val="24"/>
          <w:szCs w:val="24"/>
          <w:highlight w:val="none"/>
          <w:lang w:val="en-US" w:eastAsia="zh-CN" w:bidi="ar-SA"/>
        </w:rPr>
        <w:t>6.2争议解决办法</w:t>
      </w:r>
    </w:p>
    <w:p>
      <w:pPr>
        <w:pStyle w:val="12"/>
        <w:keepNext w:val="0"/>
        <w:keepLines w:val="0"/>
        <w:pageBreakBefore w:val="0"/>
        <w:kinsoku/>
        <w:wordWrap/>
        <w:overflowPunct/>
        <w:topLinePunct w:val="0"/>
        <w:autoSpaceDE/>
        <w:autoSpaceDN/>
        <w:bidi w:val="0"/>
        <w:adjustRightInd/>
        <w:spacing w:line="360" w:lineRule="auto"/>
        <w:ind w:firstLine="0" w:firstLineChars="0"/>
        <w:rPr>
          <w:rFonts w:hint="eastAsia" w:ascii="宋体" w:hAnsi="宋体" w:eastAsia="宋体" w:cs="宋体"/>
          <w:bCs w:val="0"/>
          <w:color w:val="auto"/>
          <w:kern w:val="2"/>
          <w:sz w:val="24"/>
          <w:szCs w:val="24"/>
          <w:highlight w:val="none"/>
          <w:lang w:val="en-US" w:eastAsia="zh-CN" w:bidi="ar-SA"/>
        </w:rPr>
      </w:pPr>
      <w:r>
        <w:rPr>
          <w:rFonts w:hint="eastAsia" w:ascii="宋体" w:hAnsi="宋体" w:eastAsia="宋体" w:cs="宋体"/>
          <w:bCs w:val="0"/>
          <w:color w:val="auto"/>
          <w:kern w:val="2"/>
          <w:sz w:val="24"/>
          <w:szCs w:val="24"/>
          <w:highlight w:val="none"/>
          <w:lang w:val="en-US" w:eastAsia="zh-CN" w:bidi="ar-SA"/>
        </w:rPr>
        <w:t>6.2.1.因货物的质量问题发生争议，由质量技术监督部门或其指定的质量鉴定机构进行质量鉴定。货物符合标准的，鉴定费由采购人承担；货物不符合质量标准的，鉴定费由中标供应商承担。</w:t>
      </w:r>
    </w:p>
    <w:p>
      <w:pPr>
        <w:pStyle w:val="12"/>
        <w:keepNext w:val="0"/>
        <w:keepLines w:val="0"/>
        <w:pageBreakBefore w:val="0"/>
        <w:kinsoku/>
        <w:wordWrap/>
        <w:overflowPunct/>
        <w:topLinePunct w:val="0"/>
        <w:autoSpaceDE/>
        <w:autoSpaceDN/>
        <w:bidi w:val="0"/>
        <w:adjustRightInd/>
        <w:spacing w:line="360" w:lineRule="auto"/>
        <w:ind w:firstLine="0" w:firstLineChars="0"/>
        <w:rPr>
          <w:rFonts w:hint="eastAsia" w:ascii="宋体" w:hAnsi="宋体" w:eastAsia="宋体" w:cs="宋体"/>
          <w:bCs w:val="0"/>
          <w:color w:val="auto"/>
          <w:kern w:val="2"/>
          <w:sz w:val="24"/>
          <w:szCs w:val="24"/>
          <w:highlight w:val="none"/>
          <w:lang w:val="en-US" w:eastAsia="zh-CN" w:bidi="ar-SA"/>
        </w:rPr>
      </w:pPr>
      <w:r>
        <w:rPr>
          <w:rFonts w:hint="eastAsia" w:ascii="宋体" w:hAnsi="宋体" w:eastAsia="宋体" w:cs="宋体"/>
          <w:bCs w:val="0"/>
          <w:color w:val="auto"/>
          <w:kern w:val="2"/>
          <w:sz w:val="24"/>
          <w:szCs w:val="24"/>
          <w:highlight w:val="none"/>
          <w:lang w:val="en-US" w:eastAsia="zh-CN" w:bidi="ar-SA"/>
        </w:rPr>
        <w:t>6.2.2.合同履行期间,若双方发生争议，可协商或由有关部门调解解决，协商或调解不成的，由当事人依法向采购人住所地人民法院提起诉讼以维护其合法权益。</w:t>
      </w:r>
    </w:p>
    <w:p>
      <w:pPr>
        <w:pStyle w:val="13"/>
        <w:spacing w:line="360" w:lineRule="auto"/>
        <w:ind w:firstLine="480"/>
        <w:rPr>
          <w:rFonts w:hint="default" w:ascii="宋体" w:hAnsi="宋体" w:eastAsia="宋体"/>
          <w:color w:val="auto"/>
          <w:highlight w:val="none"/>
          <w:lang w:val="en-US" w:eastAsia="zh-CN"/>
        </w:rPr>
      </w:pPr>
      <w:r>
        <w:rPr>
          <w:rFonts w:hint="eastAsia" w:ascii="宋体" w:hAnsi="宋体"/>
          <w:color w:val="auto"/>
          <w:highlight w:val="none"/>
          <w:lang w:val="en-US" w:eastAsia="zh-CN"/>
        </w:rPr>
        <w:t>7.交货与验收</w:t>
      </w:r>
    </w:p>
    <w:p>
      <w:pPr>
        <w:pStyle w:val="13"/>
        <w:spacing w:line="360" w:lineRule="auto"/>
        <w:ind w:firstLine="480"/>
        <w:rPr>
          <w:rFonts w:ascii="宋体" w:hAnsi="宋体"/>
          <w:color w:val="auto"/>
          <w:highlight w:val="none"/>
        </w:rPr>
      </w:pPr>
      <w:r>
        <w:rPr>
          <w:rFonts w:hint="eastAsia" w:ascii="宋体" w:hAnsi="宋体"/>
          <w:color w:val="auto"/>
          <w:highlight w:val="none"/>
          <w:lang w:val="en-US" w:eastAsia="zh-CN"/>
        </w:rPr>
        <w:t>7.1</w:t>
      </w:r>
      <w:r>
        <w:rPr>
          <w:rFonts w:hint="eastAsia" w:ascii="宋体" w:hAnsi="宋体"/>
          <w:color w:val="auto"/>
          <w:highlight w:val="none"/>
        </w:rPr>
        <w:t>.验收按照</w:t>
      </w:r>
      <w:r>
        <w:rPr>
          <w:color w:val="auto"/>
          <w:highlight w:val="none"/>
        </w:rPr>
        <w:t>《财政部关于进一步加强政府采购需求和履约验收管理的 指导意见》（财库〔2016）205号）</w:t>
      </w:r>
      <w:r>
        <w:rPr>
          <w:rFonts w:hint="eastAsia" w:ascii="宋体" w:hAnsi="宋体"/>
          <w:color w:val="auto"/>
          <w:highlight w:val="none"/>
        </w:rPr>
        <w:t>执行</w:t>
      </w:r>
      <w:r>
        <w:rPr>
          <w:rFonts w:ascii="宋体" w:hAnsi="宋体"/>
          <w:color w:val="auto"/>
          <w:highlight w:val="none"/>
        </w:rPr>
        <w:t>，</w:t>
      </w:r>
      <w:r>
        <w:rPr>
          <w:rFonts w:hint="eastAsia" w:ascii="宋体" w:hAnsi="宋体"/>
          <w:color w:val="auto"/>
          <w:highlight w:val="none"/>
        </w:rPr>
        <w:t>由甲方组织，乙方配合进行：</w:t>
      </w:r>
    </w:p>
    <w:p>
      <w:pPr>
        <w:pStyle w:val="13"/>
        <w:spacing w:line="360" w:lineRule="auto"/>
        <w:ind w:firstLine="480"/>
        <w:rPr>
          <w:rFonts w:ascii="宋体" w:hAnsi="宋体"/>
          <w:color w:val="auto"/>
          <w:highlight w:val="none"/>
        </w:rPr>
      </w:pPr>
      <w:r>
        <w:rPr>
          <w:rFonts w:ascii="宋体" w:hAnsi="宋体"/>
          <w:color w:val="auto"/>
          <w:highlight w:val="none"/>
        </w:rPr>
        <w:t xml:space="preserve">(1) </w:t>
      </w:r>
      <w:r>
        <w:rPr>
          <w:rFonts w:hint="eastAsia" w:ascii="宋体" w:hAnsi="宋体"/>
          <w:color w:val="auto"/>
          <w:highlight w:val="none"/>
        </w:rPr>
        <w:t>货物在乙方通知安装调试完毕后</w:t>
      </w:r>
      <w:r>
        <w:rPr>
          <w:rFonts w:hint="eastAsia" w:ascii="宋体" w:hAnsi="宋体"/>
          <w:color w:val="auto"/>
          <w:highlight w:val="none"/>
          <w:lang w:val="en-US" w:eastAsia="zh-CN"/>
        </w:rPr>
        <w:t>15</w:t>
      </w:r>
      <w:r>
        <w:rPr>
          <w:rFonts w:hint="eastAsia" w:ascii="宋体" w:hAnsi="宋体"/>
          <w:color w:val="auto"/>
          <w:highlight w:val="none"/>
        </w:rPr>
        <w:t>日内初步验收。初步验收合格后，进入</w:t>
      </w:r>
      <w:r>
        <w:rPr>
          <w:rFonts w:hint="eastAsia" w:ascii="宋体" w:hAnsi="宋体"/>
          <w:color w:val="auto"/>
          <w:highlight w:val="none"/>
          <w:lang w:val="en-US" w:eastAsia="zh-CN"/>
        </w:rPr>
        <w:t>30</w:t>
      </w:r>
      <w:r>
        <w:rPr>
          <w:rFonts w:hint="eastAsia" w:ascii="宋体" w:hAnsi="宋体"/>
          <w:color w:val="auto"/>
          <w:highlight w:val="none"/>
        </w:rPr>
        <w:t>天试用期；试用期间发生一般性质量问题，修复后试用期相应顺延；试用期结束后</w:t>
      </w:r>
      <w:r>
        <w:rPr>
          <w:rFonts w:hint="eastAsia" w:ascii="宋体" w:hAnsi="宋体"/>
          <w:color w:val="auto"/>
          <w:highlight w:val="none"/>
          <w:lang w:val="en-US" w:eastAsia="zh-CN"/>
        </w:rPr>
        <w:t>30</w:t>
      </w:r>
      <w:r>
        <w:rPr>
          <w:rFonts w:hint="eastAsia" w:ascii="宋体" w:hAnsi="宋体"/>
          <w:color w:val="auto"/>
          <w:highlight w:val="none"/>
        </w:rPr>
        <w:t>日内完成最终验收，如质量验收合格，双方签署《质量验收合格证明书》。</w:t>
      </w:r>
    </w:p>
    <w:p>
      <w:pPr>
        <w:pStyle w:val="13"/>
        <w:spacing w:line="360" w:lineRule="auto"/>
        <w:ind w:firstLine="480"/>
        <w:rPr>
          <w:rFonts w:ascii="宋体" w:hAnsi="宋体"/>
          <w:color w:val="auto"/>
          <w:highlight w:val="none"/>
        </w:rPr>
      </w:pPr>
      <w:r>
        <w:rPr>
          <w:rFonts w:ascii="宋体" w:hAnsi="宋体"/>
          <w:color w:val="auto"/>
          <w:highlight w:val="none"/>
        </w:rPr>
        <w:t xml:space="preserve">(2) </w:t>
      </w:r>
      <w:r>
        <w:rPr>
          <w:rFonts w:hint="eastAsia" w:ascii="宋体" w:hAnsi="宋体"/>
          <w:color w:val="auto"/>
          <w:highlight w:val="none"/>
        </w:rPr>
        <w:t>验收标准：按国家有关规定以及甲方</w:t>
      </w:r>
      <w:r>
        <w:rPr>
          <w:rFonts w:hint="eastAsia" w:ascii="宋体" w:hAnsi="宋体"/>
          <w:bCs/>
          <w:color w:val="auto"/>
          <w:highlight w:val="none"/>
        </w:rPr>
        <w:t>招标</w:t>
      </w:r>
      <w:r>
        <w:rPr>
          <w:rFonts w:ascii="宋体" w:hAnsi="宋体"/>
          <w:bCs/>
          <w:color w:val="auto"/>
          <w:highlight w:val="none"/>
        </w:rPr>
        <w:t>文件</w:t>
      </w:r>
      <w:r>
        <w:rPr>
          <w:rFonts w:hint="eastAsia" w:ascii="宋体" w:hAnsi="宋体"/>
          <w:color w:val="auto"/>
          <w:highlight w:val="none"/>
        </w:rPr>
        <w:t>的质量要求和技术指标、乙方的投标文件及承诺与本合同约定标准进行验收；甲乙双方如对质量要求和技术指标的约定标准有相互抵触或异议的事项，由甲方在</w:t>
      </w:r>
      <w:r>
        <w:rPr>
          <w:rFonts w:hint="eastAsia" w:ascii="宋体" w:hAnsi="宋体"/>
          <w:bCs/>
          <w:color w:val="auto"/>
          <w:highlight w:val="none"/>
        </w:rPr>
        <w:t>招标</w:t>
      </w:r>
      <w:r>
        <w:rPr>
          <w:rFonts w:ascii="宋体" w:hAnsi="宋体"/>
          <w:bCs/>
          <w:color w:val="auto"/>
          <w:highlight w:val="none"/>
        </w:rPr>
        <w:t>文件</w:t>
      </w:r>
      <w:r>
        <w:rPr>
          <w:rFonts w:hint="eastAsia" w:ascii="宋体" w:hAnsi="宋体"/>
          <w:color w:val="auto"/>
          <w:highlight w:val="none"/>
        </w:rPr>
        <w:t>和投标文件中按质量要求和技术指标比较优胜的原则确定该项的约定标准进行验收。</w:t>
      </w:r>
    </w:p>
    <w:p>
      <w:pPr>
        <w:pStyle w:val="13"/>
        <w:spacing w:line="360" w:lineRule="auto"/>
        <w:ind w:firstLine="480"/>
        <w:rPr>
          <w:rFonts w:ascii="宋体" w:hAnsi="宋体"/>
          <w:color w:val="auto"/>
          <w:highlight w:val="none"/>
        </w:rPr>
      </w:pPr>
      <w:r>
        <w:rPr>
          <w:rFonts w:ascii="宋体" w:hAnsi="宋体"/>
          <w:color w:val="auto"/>
          <w:highlight w:val="none"/>
        </w:rPr>
        <w:t>(</w:t>
      </w:r>
      <w:r>
        <w:rPr>
          <w:rFonts w:hint="eastAsia" w:ascii="宋体" w:hAnsi="宋体"/>
          <w:color w:val="auto"/>
          <w:highlight w:val="none"/>
        </w:rPr>
        <w:t>4</w:t>
      </w:r>
      <w:r>
        <w:rPr>
          <w:rFonts w:ascii="宋体" w:hAnsi="宋体"/>
          <w:color w:val="auto"/>
          <w:highlight w:val="none"/>
        </w:rPr>
        <w:t xml:space="preserve">) </w:t>
      </w:r>
      <w:r>
        <w:rPr>
          <w:rFonts w:hint="eastAsia" w:ascii="宋体" w:hAnsi="宋体"/>
          <w:color w:val="auto"/>
          <w:highlight w:val="none"/>
        </w:rPr>
        <w:t>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13"/>
        <w:spacing w:line="360" w:lineRule="auto"/>
        <w:ind w:firstLine="480"/>
        <w:rPr>
          <w:rFonts w:ascii="宋体" w:hAnsi="宋体"/>
          <w:color w:val="auto"/>
          <w:highlight w:val="none"/>
        </w:rPr>
      </w:pPr>
      <w:r>
        <w:rPr>
          <w:rFonts w:hint="eastAsia" w:ascii="宋体" w:hAnsi="宋体"/>
          <w:color w:val="auto"/>
          <w:highlight w:val="none"/>
        </w:rPr>
        <w:t>(5)如质量验收合格，双方签署质量验收报告。</w:t>
      </w:r>
    </w:p>
    <w:p>
      <w:pPr>
        <w:pStyle w:val="13"/>
        <w:spacing w:line="360" w:lineRule="auto"/>
        <w:ind w:firstLine="480"/>
        <w:rPr>
          <w:rFonts w:ascii="宋体" w:hAnsi="宋体"/>
          <w:color w:val="auto"/>
          <w:highlight w:val="none"/>
        </w:rPr>
      </w:pPr>
      <w:r>
        <w:rPr>
          <w:rFonts w:hint="eastAsia" w:ascii="宋体" w:hAnsi="宋体"/>
          <w:color w:val="auto"/>
          <w:highlight w:val="none"/>
          <w:lang w:val="en-US" w:eastAsia="zh-CN"/>
        </w:rPr>
        <w:t>7.2</w:t>
      </w:r>
      <w:r>
        <w:rPr>
          <w:rFonts w:hint="eastAsia" w:ascii="宋体" w:hAnsi="宋体"/>
          <w:color w:val="auto"/>
          <w:highlight w:val="none"/>
        </w:rPr>
        <w:t>. 货物安装调试完毕后</w:t>
      </w:r>
      <w:r>
        <w:rPr>
          <w:rFonts w:hint="eastAsia" w:ascii="宋体" w:hAnsi="宋体"/>
          <w:color w:val="auto"/>
          <w:highlight w:val="none"/>
          <w:lang w:val="en-US" w:eastAsia="zh-CN"/>
        </w:rPr>
        <w:t>30</w:t>
      </w:r>
      <w:r>
        <w:rPr>
          <w:rFonts w:hint="eastAsia" w:ascii="宋体" w:hAnsi="宋体"/>
          <w:color w:val="auto"/>
          <w:highlight w:val="none"/>
        </w:rPr>
        <w:t>日内，乙方须提交书面验收申请，甲方收到乙方验收申请后无故不进行验收工作并已使用货物的，视同验收合格。</w:t>
      </w:r>
    </w:p>
    <w:p>
      <w:pPr>
        <w:pStyle w:val="13"/>
        <w:spacing w:line="360" w:lineRule="auto"/>
        <w:ind w:firstLine="480"/>
        <w:rPr>
          <w:rFonts w:ascii="宋体" w:hAnsi="宋体"/>
          <w:color w:val="auto"/>
          <w:highlight w:val="none"/>
        </w:rPr>
      </w:pPr>
      <w:r>
        <w:rPr>
          <w:rFonts w:hint="eastAsia" w:ascii="宋体" w:hAnsi="宋体"/>
          <w:color w:val="auto"/>
          <w:highlight w:val="none"/>
          <w:lang w:val="en-US" w:eastAsia="zh-CN"/>
        </w:rPr>
        <w:t>7.3</w:t>
      </w:r>
      <w:r>
        <w:rPr>
          <w:rFonts w:hint="eastAsia" w:ascii="宋体" w:hAnsi="宋体"/>
          <w:color w:val="auto"/>
          <w:highlight w:val="none"/>
        </w:rPr>
        <w:t>.乙方应将所提供货物的装箱清单、配件、随机工具、用户使用手册、原厂保修卡等资料交付给甲方；乙方不能完整交付货物及本款规定的单证和工具的，必须负责补齐，否则视为未按合同约定交货。</w:t>
      </w:r>
    </w:p>
    <w:p>
      <w:pPr>
        <w:pStyle w:val="13"/>
        <w:spacing w:line="360" w:lineRule="auto"/>
        <w:ind w:firstLine="480"/>
        <w:rPr>
          <w:rFonts w:hint="eastAsia" w:ascii="宋体" w:hAnsi="宋体" w:eastAsia="宋体" w:cs="宋体"/>
          <w:color w:val="auto"/>
          <w:highlight w:val="none"/>
        </w:rPr>
      </w:pPr>
      <w:r>
        <w:rPr>
          <w:rFonts w:hint="eastAsia" w:ascii="宋体" w:hAnsi="宋体"/>
          <w:color w:val="auto"/>
          <w:highlight w:val="none"/>
          <w:lang w:val="en-US" w:eastAsia="zh-CN"/>
        </w:rPr>
        <w:t>7.4</w:t>
      </w:r>
      <w:r>
        <w:rPr>
          <w:rFonts w:hint="eastAsia" w:ascii="宋体" w:hAnsi="宋体"/>
          <w:color w:val="auto"/>
          <w:highlight w:val="none"/>
        </w:rPr>
        <w:t>.如货物经乙方</w:t>
      </w:r>
      <w:r>
        <w:rPr>
          <w:rFonts w:hint="eastAsia" w:ascii="宋体" w:hAnsi="宋体"/>
          <w:color w:val="auto"/>
          <w:highlight w:val="none"/>
          <w:lang w:val="en-US" w:eastAsia="zh-CN"/>
        </w:rPr>
        <w:t>2</w:t>
      </w:r>
      <w:r>
        <w:rPr>
          <w:rFonts w:hint="eastAsia" w:ascii="宋体" w:hAnsi="宋体"/>
          <w:color w:val="auto"/>
          <w:highlight w:val="none"/>
        </w:rPr>
        <w:t>次维修或更换仍不能达到合同约定的质量标准，甲方有权</w:t>
      </w:r>
      <w:r>
        <w:rPr>
          <w:rFonts w:hint="eastAsia" w:ascii="宋体" w:hAnsi="宋体" w:eastAsia="宋体" w:cs="宋体"/>
          <w:color w:val="auto"/>
          <w:highlight w:val="none"/>
        </w:rPr>
        <w:t>退货，并视作乙方不能交付货物且须支付违约赔偿金给甲方，甲方还可依法追究乙方的违约责任。</w:t>
      </w:r>
    </w:p>
    <w:p>
      <w:pPr>
        <w:pStyle w:val="13"/>
        <w:spacing w:line="360" w:lineRule="auto"/>
        <w:ind w:firstLine="480"/>
        <w:rPr>
          <w:rFonts w:hint="eastAsia" w:ascii="宋体" w:hAnsi="宋体" w:eastAsia="宋体" w:cs="宋体"/>
          <w:b/>
          <w:bCs/>
          <w:color w:val="auto"/>
          <w:sz w:val="28"/>
          <w:szCs w:val="28"/>
          <w:highlight w:val="none"/>
          <w:lang w:val="en-US" w:eastAsia="zh-CN"/>
        </w:rPr>
      </w:pPr>
      <w:r>
        <w:rPr>
          <w:rFonts w:hint="eastAsia" w:ascii="宋体" w:hAnsi="宋体" w:eastAsia="宋体" w:cs="宋体"/>
          <w:color w:val="auto"/>
          <w:highlight w:val="none"/>
          <w:lang w:val="en-US" w:eastAsia="zh-CN"/>
        </w:rPr>
        <w:t>7.5.其他未尽事宜应严格按照《财政部关于进一步加强政府采购需求和履约验收管理的 指导意见》（财库〔2016）205号）的要求进行的要求进行。</w:t>
      </w:r>
    </w:p>
    <w:p>
      <w:pPr>
        <w:pStyle w:val="7"/>
        <w:spacing w:line="360" w:lineRule="auto"/>
        <w:ind w:firstLine="492" w:firstLineChars="175"/>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8"/>
          <w:szCs w:val="28"/>
          <w:highlight w:val="none"/>
          <w:lang w:val="en-US" w:eastAsia="zh-CN"/>
        </w:rPr>
        <w:t>五</w:t>
      </w:r>
      <w:r>
        <w:rPr>
          <w:rFonts w:hint="eastAsia" w:ascii="宋体" w:hAnsi="宋体" w:eastAsia="宋体" w:cs="宋体"/>
          <w:b/>
          <w:bCs/>
          <w:color w:val="auto"/>
          <w:sz w:val="28"/>
          <w:szCs w:val="28"/>
          <w:highlight w:val="none"/>
        </w:rPr>
        <w:t>、</w:t>
      </w:r>
      <w:r>
        <w:rPr>
          <w:rFonts w:hint="eastAsia" w:ascii="宋体" w:hAnsi="宋体" w:eastAsia="宋体" w:cs="宋体"/>
          <w:b/>
          <w:bCs/>
          <w:color w:val="auto"/>
          <w:sz w:val="28"/>
          <w:szCs w:val="28"/>
          <w:highlight w:val="none"/>
          <w:lang w:val="en-US" w:eastAsia="zh-CN"/>
        </w:rPr>
        <w:t>其他</w:t>
      </w:r>
      <w:r>
        <w:rPr>
          <w:rFonts w:hint="eastAsia" w:ascii="宋体" w:hAnsi="宋体" w:eastAsia="宋体" w:cs="宋体"/>
          <w:b/>
          <w:bCs/>
          <w:color w:val="auto"/>
          <w:sz w:val="28"/>
          <w:szCs w:val="28"/>
          <w:highlight w:val="none"/>
        </w:rPr>
        <w:t>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采购包1：</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1、业绩： 投标人自2019年1月1日（含）以来承担过类似项目的，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2、投标人提供具备“DNS”功能相关的软件著作权证书、“IPv6及IPv4协议转换”功能相关的软件著作权证书、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3、投标人所投产品获得IPV6 Ready 认证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4</w:t>
      </w:r>
      <w:r>
        <w:rPr>
          <w:rFonts w:hint="eastAsia" w:ascii="宋体" w:hAnsi="宋体" w:eastAsia="宋体" w:cs="宋体"/>
          <w:i w:val="0"/>
          <w:iCs w:val="0"/>
          <w:color w:val="auto"/>
          <w:kern w:val="0"/>
          <w:sz w:val="24"/>
          <w:szCs w:val="24"/>
          <w:highlight w:val="none"/>
          <w:u w:val="none"/>
          <w:lang w:val="en-US" w:eastAsia="zh-CN" w:bidi="ar"/>
        </w:rPr>
        <w:t>、技术实施方案：①项目实施计划安排、②人员组织与安排、③故障响应及处置方式、④巡检计划、⑤节假日保障计划。</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宋体" w:hAnsi="宋体" w:cs="宋体"/>
          <w:i w:val="0"/>
          <w:iCs w:val="0"/>
          <w:color w:val="auto"/>
          <w:kern w:val="0"/>
          <w:sz w:val="24"/>
          <w:szCs w:val="24"/>
          <w:highlight w:val="none"/>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采购包2：</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1、业绩： 投标人自2019年1月1日（含）以来承担过类似项目的，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2</w:t>
      </w:r>
      <w:r>
        <w:rPr>
          <w:rFonts w:hint="eastAsia" w:ascii="宋体" w:hAnsi="宋体" w:eastAsia="宋体" w:cs="宋体"/>
          <w:i w:val="0"/>
          <w:iCs w:val="0"/>
          <w:color w:val="auto"/>
          <w:kern w:val="0"/>
          <w:sz w:val="24"/>
          <w:szCs w:val="24"/>
          <w:highlight w:val="none"/>
          <w:u w:val="none"/>
          <w:lang w:val="en-US" w:eastAsia="zh-CN" w:bidi="ar"/>
        </w:rPr>
        <w:t>、技术实施方案、售后服务进行评审，方案内容包括：①日常售后服务内容、②售后服务管理制度、③售后服务人员保障措施、④应急响应机制、⑤售后培训方案。</w:t>
      </w:r>
    </w:p>
    <w:p>
      <w:pPr>
        <w:pStyle w:val="7"/>
        <w:spacing w:line="360" w:lineRule="auto"/>
        <w:ind w:firstLine="367" w:firstLineChars="175"/>
        <w:rPr>
          <w:rFonts w:hint="default" w:ascii="宋体" w:hAnsi="宋体" w:eastAsia="宋体" w:cs="宋体"/>
          <w:color w:val="auto"/>
          <w:sz w:val="21"/>
          <w:szCs w:val="21"/>
          <w:highlight w:val="none"/>
          <w:lang w:val="en-US" w:eastAsia="zh-CN"/>
        </w:rPr>
      </w:pPr>
    </w:p>
    <w:p>
      <w:pPr>
        <w:pStyle w:val="7"/>
        <w:spacing w:line="360" w:lineRule="auto"/>
        <w:ind w:firstLine="422" w:firstLineChars="175"/>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注意：1、以上</w:t>
      </w:r>
      <w:r>
        <w:rPr>
          <w:rFonts w:hint="eastAsia" w:ascii="宋体" w:hAnsi="宋体" w:eastAsia="宋体" w:cs="宋体"/>
          <w:b/>
          <w:bCs/>
          <w:color w:val="auto"/>
          <w:sz w:val="24"/>
          <w:highlight w:val="none"/>
          <w:lang w:eastAsia="zh-CN"/>
        </w:rPr>
        <w:t>采购清单、</w:t>
      </w:r>
      <w:r>
        <w:rPr>
          <w:rFonts w:hint="eastAsia" w:ascii="宋体" w:hAnsi="宋体" w:eastAsia="宋体" w:cs="宋体"/>
          <w:b/>
          <w:bCs/>
          <w:color w:val="auto"/>
          <w:sz w:val="24"/>
          <w:highlight w:val="none"/>
          <w:lang w:val="en-US" w:eastAsia="zh-CN"/>
        </w:rPr>
        <w:t>技术要求和商务要求中</w:t>
      </w:r>
      <w:r>
        <w:rPr>
          <w:rFonts w:hint="eastAsia" w:ascii="宋体" w:hAnsi="宋体" w:eastAsia="宋体" w:cs="宋体"/>
          <w:b/>
          <w:bCs/>
          <w:color w:val="auto"/>
          <w:sz w:val="24"/>
          <w:highlight w:val="none"/>
        </w:rPr>
        <w:t>打“★”号的为本次招标项目的实质性要求，不允许有负偏离。</w:t>
      </w:r>
    </w:p>
    <w:p>
      <w:pPr>
        <w:pStyle w:val="7"/>
        <w:spacing w:line="360" w:lineRule="auto"/>
        <w:ind w:left="361" w:leftChars="172" w:firstLine="766" w:firstLineChars="318"/>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2、以上</w:t>
      </w:r>
      <w:r>
        <w:rPr>
          <w:rFonts w:hint="eastAsia" w:ascii="宋体" w:hAnsi="宋体" w:eastAsia="宋体" w:cs="宋体"/>
          <w:b/>
          <w:bCs/>
          <w:color w:val="auto"/>
          <w:sz w:val="24"/>
          <w:highlight w:val="none"/>
          <w:lang w:val="en-US" w:eastAsia="zh-CN"/>
        </w:rPr>
        <w:t>技术要求中</w:t>
      </w:r>
      <w:r>
        <w:rPr>
          <w:rFonts w:hint="eastAsia" w:ascii="宋体" w:hAnsi="宋体" w:eastAsia="宋体" w:cs="宋体"/>
          <w:b/>
          <w:bCs/>
          <w:color w:val="auto"/>
          <w:sz w:val="24"/>
          <w:highlight w:val="none"/>
        </w:rPr>
        <w:t>打“</w:t>
      </w: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rPr>
        <w:t>”号的为本次招标项目的重要性条款，应尽量满足。</w:t>
      </w:r>
    </w:p>
    <w:p>
      <w:pPr>
        <w:pStyle w:val="7"/>
        <w:spacing w:line="360" w:lineRule="auto"/>
        <w:ind w:firstLine="422" w:firstLineChars="175"/>
        <w:rPr>
          <w:rFonts w:hint="eastAsia" w:ascii="宋体" w:hAnsi="宋体" w:eastAsia="宋体" w:cs="宋体"/>
          <w:b/>
          <w:bCs/>
          <w:color w:val="auto"/>
          <w:sz w:val="24"/>
          <w:highlight w:val="none"/>
        </w:rPr>
      </w:pPr>
    </w:p>
    <w:p>
      <w:pPr>
        <w:pStyle w:val="7"/>
        <w:spacing w:line="360" w:lineRule="auto"/>
        <w:ind w:left="361" w:leftChars="172" w:firstLine="766" w:firstLineChars="318"/>
        <w:rPr>
          <w:rFonts w:hint="eastAsia" w:ascii="宋体" w:hAnsi="宋体" w:eastAsia="宋体" w:cs="宋体"/>
          <w:b/>
          <w:bCs/>
          <w:color w:val="auto"/>
          <w:sz w:val="24"/>
          <w:highlight w:val="none"/>
        </w:rPr>
      </w:pP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C8CFDA"/>
    <w:multiLevelType w:val="singleLevel"/>
    <w:tmpl w:val="92C8CFDA"/>
    <w:lvl w:ilvl="0" w:tentative="0">
      <w:start w:val="1"/>
      <w:numFmt w:val="decimal"/>
      <w:lvlText w:val="%1."/>
      <w:lvlJc w:val="left"/>
      <w:pPr>
        <w:ind w:left="425" w:hanging="425"/>
      </w:pPr>
      <w:rPr>
        <w:rFonts w:hint="default"/>
      </w:rPr>
    </w:lvl>
  </w:abstractNum>
  <w:abstractNum w:abstractNumId="1">
    <w:nsid w:val="959F0764"/>
    <w:multiLevelType w:val="singleLevel"/>
    <w:tmpl w:val="959F0764"/>
    <w:lvl w:ilvl="0" w:tentative="0">
      <w:start w:val="8"/>
      <w:numFmt w:val="chineseCounting"/>
      <w:suff w:val="nothing"/>
      <w:lvlText w:val="%1）"/>
      <w:lvlJc w:val="left"/>
      <w:rPr>
        <w:rFonts w:hint="eastAsia"/>
      </w:rPr>
    </w:lvl>
  </w:abstractNum>
  <w:abstractNum w:abstractNumId="2">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3">
    <w:nsid w:val="3F007B21"/>
    <w:multiLevelType w:val="singleLevel"/>
    <w:tmpl w:val="3F007B21"/>
    <w:lvl w:ilvl="0" w:tentative="0">
      <w:start w:val="3"/>
      <w:numFmt w:val="chineseCounting"/>
      <w:suff w:val="nothing"/>
      <w:lvlText w:val="%1）"/>
      <w:lvlJc w:val="left"/>
      <w:rPr>
        <w:rFonts w:hint="eastAsia"/>
      </w:rPr>
    </w:lvl>
  </w:abstractNum>
  <w:abstractNum w:abstractNumId="4">
    <w:nsid w:val="6DAA25DC"/>
    <w:multiLevelType w:val="singleLevel"/>
    <w:tmpl w:val="6DAA25DC"/>
    <w:lvl w:ilvl="0" w:tentative="0">
      <w:start w:val="1"/>
      <w:numFmt w:val="decimal"/>
      <w:lvlText w:val="%1."/>
      <w:lvlJc w:val="left"/>
      <w:pPr>
        <w:ind w:left="425" w:hanging="425"/>
      </w:pPr>
      <w:rPr>
        <w:rFonts w:hint="default"/>
      </w:rPr>
    </w:lvl>
  </w:abstractNum>
  <w:abstractNum w:abstractNumId="5">
    <w:nsid w:val="71ECEDF6"/>
    <w:multiLevelType w:val="singleLevel"/>
    <w:tmpl w:val="71ECEDF6"/>
    <w:lvl w:ilvl="0" w:tentative="0">
      <w:start w:val="1"/>
      <w:numFmt w:val="decimal"/>
      <w:lvlText w:val="%1."/>
      <w:lvlJc w:val="left"/>
      <w:pPr>
        <w:ind w:left="425" w:hanging="425"/>
      </w:pPr>
      <w:rPr>
        <w:rFont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3ZTk4MjQ0NWU4NGZmN2YxZjRiMTAzZDJkYmNlNDUifQ=="/>
  </w:docVars>
  <w:rsids>
    <w:rsidRoot w:val="02C112A2"/>
    <w:rsid w:val="02C11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qFormat/>
    <w:uiPriority w:val="0"/>
    <w:pPr>
      <w:keepNext/>
      <w:keepLines/>
      <w:widowControl w:val="0"/>
      <w:spacing w:before="340" w:after="330" w:line="578" w:lineRule="auto"/>
      <w:outlineLvl w:val="0"/>
    </w:pPr>
    <w:rPr>
      <w:b/>
      <w:bCs/>
      <w:kern w:val="44"/>
      <w:sz w:val="44"/>
      <w:szCs w:val="44"/>
    </w:rPr>
  </w:style>
  <w:style w:type="character" w:default="1" w:styleId="11">
    <w:name w:val="Default Paragraph Font"/>
    <w:semiHidden/>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标题 5（有编号）（绿盟科技）"/>
    <w:basedOn w:val="3"/>
    <w:next w:val="5"/>
    <w:qFormat/>
    <w:uiPriority w:val="0"/>
    <w:pPr>
      <w:keepNext/>
      <w:keepLines/>
      <w:numPr>
        <w:ilvl w:val="4"/>
        <w:numId w:val="1"/>
      </w:numPr>
      <w:tabs>
        <w:tab w:val="left" w:pos="0"/>
      </w:tabs>
      <w:spacing w:before="280" w:after="156" w:line="377" w:lineRule="auto"/>
      <w:outlineLvl w:val="4"/>
    </w:pPr>
    <w:rPr>
      <w:rFonts w:ascii="Arial" w:hAnsi="Arial" w:eastAsia="黑体"/>
      <w:b/>
      <w:kern w:val="0"/>
      <w:szCs w:val="28"/>
    </w:rPr>
  </w:style>
  <w:style w:type="paragraph" w:customStyle="1" w:styleId="3">
    <w:name w:val="正文1"/>
    <w:next w:val="4"/>
    <w:qFormat/>
    <w:uiPriority w:val="0"/>
    <w:pPr>
      <w:widowControl w:val="0"/>
      <w:suppressAutoHyphens w:val="0"/>
      <w:bidi w:val="0"/>
      <w:spacing w:beforeLines="0" w:afterLines="0"/>
      <w:jc w:val="both"/>
    </w:pPr>
    <w:rPr>
      <w:rFonts w:ascii="Calibri" w:hAnsi="Calibri" w:eastAsia="宋体" w:cs="黑体"/>
      <w:color w:val="auto"/>
      <w:kern w:val="2"/>
      <w:sz w:val="21"/>
      <w:szCs w:val="22"/>
      <w:lang w:val="en-US" w:eastAsia="zh-CN" w:bidi="ar-SA"/>
    </w:rPr>
  </w:style>
  <w:style w:type="paragraph" w:customStyle="1" w:styleId="4">
    <w:name w:val="正文文本1"/>
    <w:basedOn w:val="3"/>
    <w:next w:val="3"/>
    <w:qFormat/>
    <w:uiPriority w:val="0"/>
    <w:pPr>
      <w:spacing w:beforeLines="0" w:afterLines="50"/>
    </w:pPr>
  </w:style>
  <w:style w:type="paragraph" w:customStyle="1" w:styleId="5">
    <w:name w:val="正文（绿盟科技）"/>
    <w:qFormat/>
    <w:uiPriority w:val="0"/>
    <w:pPr>
      <w:spacing w:line="300" w:lineRule="auto"/>
    </w:pPr>
    <w:rPr>
      <w:rFonts w:ascii="Arial" w:hAnsi="Arial" w:eastAsia="宋体" w:cs="黑体"/>
      <w:sz w:val="21"/>
      <w:szCs w:val="21"/>
      <w:lang w:val="en-US" w:eastAsia="zh-CN" w:bidi="ar-SA"/>
    </w:rPr>
  </w:style>
  <w:style w:type="paragraph" w:styleId="7">
    <w:name w:val="Normal Indent"/>
    <w:basedOn w:val="1"/>
    <w:qFormat/>
    <w:uiPriority w:val="0"/>
    <w:pPr>
      <w:ind w:firstLine="200" w:firstLineChars="200"/>
    </w:pPr>
  </w:style>
  <w:style w:type="paragraph" w:styleId="8">
    <w:name w:val="Body Text"/>
    <w:basedOn w:val="1"/>
    <w:next w:val="1"/>
    <w:qFormat/>
    <w:uiPriority w:val="99"/>
    <w:pPr>
      <w:snapToGrid w:val="0"/>
      <w:spacing w:line="440" w:lineRule="exact"/>
    </w:pPr>
    <w:rPr>
      <w:rFonts w:ascii="Times New Roman" w:eastAsia="Times New Roman"/>
      <w:sz w:val="20"/>
    </w:rPr>
  </w:style>
  <w:style w:type="paragraph" w:styleId="9">
    <w:name w:val="Body Text Indent 2"/>
    <w:basedOn w:val="1"/>
    <w:qFormat/>
    <w:uiPriority w:val="0"/>
    <w:pPr>
      <w:spacing w:after="120" w:line="480" w:lineRule="auto"/>
      <w:ind w:left="420" w:leftChars="200"/>
    </w:pPr>
    <w:rPr>
      <w:rFonts w:ascii="Times New Roman" w:hAnsi="Times New Roman"/>
    </w:rPr>
  </w:style>
  <w:style w:type="paragraph" w:customStyle="1" w:styleId="12">
    <w:name w:val="表格字体"/>
    <w:basedOn w:val="1"/>
    <w:qFormat/>
    <w:uiPriority w:val="0"/>
    <w:pPr>
      <w:widowControl/>
      <w:spacing w:line="400" w:lineRule="exact"/>
      <w:ind w:firstLine="723" w:firstLineChars="200"/>
    </w:pPr>
    <w:rPr>
      <w:rFonts w:hint="eastAsia" w:ascii="Times New Roman" w:hAnsi="Times New Roman" w:eastAsia="仿宋" w:cs="宋体"/>
      <w:bCs/>
      <w:color w:val="000000"/>
      <w:kern w:val="0"/>
      <w:sz w:val="24"/>
      <w:szCs w:val="18"/>
    </w:rPr>
  </w:style>
  <w:style w:type="paragraph" w:customStyle="1" w:styleId="13">
    <w:name w:val="样式 首行缩进:  2 字符"/>
    <w:basedOn w:val="1"/>
    <w:uiPriority w:val="0"/>
    <w:pPr>
      <w:spacing w:line="400" w:lineRule="exact"/>
      <w:ind w:firstLine="200" w:firstLineChars="200"/>
    </w:pPr>
    <w:rPr>
      <w:rFonts w:cs="宋体"/>
      <w:sz w:val="24"/>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2022-12-05T08:52:00Z</dcterms:created>
  <dc:creator>    </dc:creator>
  <cp:lastModifiedBy>    </cp:lastModifiedBy>
  <dcterms:modified xsi:type="dcterms:W3CDTF">2022-12-05T08:52:58Z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80914BDCAE874356A841983F3983B8C8</vt:lpwstr>
  </property>
</Properties>
</file>