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10"/>
        <w:gridCol w:w="815"/>
        <w:gridCol w:w="422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评分因素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及权重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以本次最低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有效报价为基准价，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报价得分=（评标基准价÷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报价）×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%×100；保留小数点后两位。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10" w:firstLineChars="100"/>
              <w:textAlignment w:val="auto"/>
              <w:rPr>
                <w:rFonts w:hint="eastAsia"/>
                <w:lang w:val="zh-TW" w:eastAsia="zh-TW"/>
              </w:rPr>
            </w:pPr>
            <w:r>
              <w:rPr>
                <w:rFonts w:hint="eastAsia"/>
                <w:lang w:val="zh-TW" w:eastAsia="zh-TW"/>
              </w:rPr>
              <w:t>小微企业等价格扣除及失信供应商报价加成按照本</w:t>
            </w:r>
            <w:r>
              <w:rPr>
                <w:rFonts w:hint="eastAsia"/>
                <w:lang w:val="zh-TW" w:eastAsia="zh-CN"/>
              </w:rPr>
              <w:t>招标</w:t>
            </w:r>
            <w:r>
              <w:rPr>
                <w:rFonts w:hint="eastAsia"/>
                <w:lang w:val="zh-TW" w:eastAsia="zh-TW"/>
              </w:rPr>
              <w:t>文件供应商须知前附表规定执行。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4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2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zh-TW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  <w:lang w:val="en-US" w:eastAsia="zh-CN"/>
              </w:rPr>
              <w:t>服务方案34%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</w:rPr>
              <w:t>分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1.根据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针对本项目情况制定的技术方案进行综合评审，包含但不限于：①项目技术要求，②外业调查方案，③档案资料检查完善方案，④数据建库方案，⑤数据汇交方案，⑥技术难题解决方案，⑦培训方案。内容完整，针对性强且符合本项目要求的得14分，每缺失一项方案内容扣2分，每有任意一项内容存在缺陷或不足的扣1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2.根据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针对本项目情况制定的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管理措施方案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进行综合评审，包含但不限于①项目管理制度，②保密措施，③工期进度保障措施，④质量保障措施，⑤安全文明施工措施。内容完整，针对性强且符合本项目要求的得10分，每缺失一项制度或措施内容扣2分，每有任意一项内容存在缺陷或不足的扣1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3.根据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提供的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售后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服务方案进行综合评审，包含但不限于：①后续服务体系，②后续跟踪服务，③相关成果内容咨询措施，④售后服务响应时间，⑤后续服务人员配置。内容完整，针对性强且符合本项目要求的得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分，每缺失一项方案内容扣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分，每有任意一项内容存在缺陷或不足的扣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分，扣完为止。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tabs>
                <w:tab w:val="left" w:pos="3495"/>
              </w:tabs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zh-TW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  <w:lang w:val="en-US" w:eastAsia="zh-CN"/>
              </w:rPr>
              <w:t>服务人员配置36%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color w:val="000000"/>
                <w:spacing w:val="-6"/>
                <w:sz w:val="24"/>
                <w:szCs w:val="24"/>
              </w:rPr>
              <w:t>分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79922692"/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1.项目负责人：具有测绘类专业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或林业专业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高级职称的得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具有注册测绘师证书加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2分，具有涉密测绘成果管理人员证书或证明加2分，本项最高得6分。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2.技术负责人：具有测绘类专业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或林业专业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职称得2分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具有注册测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绘师证书加2分，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具有涉密测绘成果管理人员证书或证明加1分，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本项最高得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3.外业负责人：具有测绘类专业中级及以上职称得2分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具有涉密测绘成果管理人员证书或证明加1分，本项最高得3分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4.质检负责人：具有测绘类专业中级及以上职称得2分，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具有测绘地理信息质量管理及检查员培训证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的加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具有涉密测绘成果管理人员证书或证明加1分，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本项最高得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5.数据建库负责人：具有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地理信息系统中级及以上职称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得2分，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具有注册测绘师资格证书的加2分，具有测绘地理信息质量管理及检查员培训证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的加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具有测绘成果档案和保密管理培训证加2分，本项最高得8分。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除上述人员外的其他技术人员：①取得测绘类或林业专业初级职称及以上或取得地籍测量员证书每1个得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0.5分；本小项最高得5分；②取得涉密人员证书1个得1分，本小项最高得4分；本项最高得9分。</w:t>
            </w:r>
            <w:bookmarkEnd w:id="0"/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10" w:firstLineChars="100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注：①以上 1、2、3、4、5人员不得重复计分。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10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②以上所有人员须提供相关证书复印件及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zh-TW" w:eastAsia="zh-CN"/>
              </w:rPr>
              <w:t>本单位自有人员证明材料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并加盖公章，注册类证书需提供注册在本单位的相关网页截图，否则不得分。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zh-TW" w:eastAsia="zh-CN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企业实力9%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60" w:lineRule="auto"/>
              <w:ind w:firstLine="28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分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投标人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拟投入本项目的测绘仪器设备：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1.GPS接收机10台及以上得3分，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不足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10台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得1分；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2.全站仪5台及以上得3分，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不足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5台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得1分；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3.调绘平板10台及以上得3分，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不足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10台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0"/>
                <w:lang w:val="en-US" w:eastAsia="zh-CN" w:bidi="ar-SA"/>
              </w:rPr>
              <w:t>得1分。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注：1.以投标人的设备一览表结合佐证材料要求评定。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2.佐证材料要求：提供设备的购买发票（发票须体现投标人单位全称）复印件加盖投标人鲜章，GPS接收机需提供有效期内检定或校准证书复印件加盖投标人鲜章。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4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2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zh-TW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履约能力6%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ind w:firstLine="28" w:firstLine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0"/>
                <w:lang w:val="en-US" w:eastAsia="zh-CN" w:bidi="ar-SA"/>
              </w:rPr>
              <w:t>投标人提供2019年1月1日以来（以合同签订时间为准）林权数据整合类似业绩，每提供一个得2分，最多得6分。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4"/>
                <w:szCs w:val="20"/>
                <w:lang w:val="en-US" w:eastAsia="zh-CN" w:bidi="ar-SA"/>
              </w:rPr>
              <w:t>备注：类似业绩是指：林权数据整合、第三次全国国土调查、不动产数据整合、土地年度变更调查、房地一体、农村土地承包经营权确权登记、矿山生态修复核查等。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210" w:firstLineChars="100"/>
              <w:textAlignment w:val="auto"/>
              <w:rPr>
                <w:rFonts w:hint="eastAsia"/>
                <w:b w:val="0"/>
                <w:bCs w:val="0"/>
                <w:color w:val="000000"/>
                <w:lang w:val="zh-TW" w:eastAsia="zh-TW"/>
              </w:rPr>
            </w:pP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注：</w:t>
            </w:r>
            <w:r>
              <w:rPr>
                <w:rFonts w:hint="eastAsia"/>
                <w:b w:val="0"/>
                <w:bCs w:val="0"/>
                <w:color w:val="000000"/>
                <w:lang w:val="zh-TW" w:eastAsia="zh-TW"/>
              </w:rPr>
              <w:t>提供合同复印件</w:t>
            </w:r>
            <w:r>
              <w:rPr>
                <w:rFonts w:hint="eastAsia"/>
                <w:b w:val="0"/>
                <w:bCs w:val="0"/>
                <w:color w:val="000000"/>
                <w:lang w:val="zh-TW" w:eastAsia="zh-CN"/>
              </w:rPr>
              <w:t>或验收合格资料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并</w:t>
            </w:r>
            <w:r>
              <w:rPr>
                <w:rFonts w:hint="eastAsia"/>
                <w:b w:val="0"/>
                <w:bCs w:val="0"/>
                <w:color w:val="000000"/>
                <w:lang w:val="zh-TW" w:eastAsia="zh-TW"/>
              </w:rPr>
              <w:t>加盖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投标单位鲜章</w:t>
            </w:r>
            <w:r>
              <w:rPr>
                <w:rFonts w:hint="eastAsia"/>
                <w:b w:val="0"/>
                <w:bCs w:val="0"/>
                <w:color w:val="000000"/>
                <w:lang w:val="zh-TW" w:eastAsia="zh-TW"/>
              </w:rPr>
              <w:t>。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4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2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1"/>
                <w:szCs w:val="24"/>
                <w:lang w:val="zh-TW" w:eastAsia="zh-CN" w:bidi="ar-SA"/>
              </w:rPr>
              <w:t>共同评审因素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jk0YjRmMTYzYzI2NmQxNWVmNWQ1MzhhMDYzMTIifQ=="/>
  </w:docVars>
  <w:rsids>
    <w:rsidRoot w:val="76D82CB5"/>
    <w:rsid w:val="0671705A"/>
    <w:rsid w:val="3BFD4D40"/>
    <w:rsid w:val="438D657A"/>
    <w:rsid w:val="69D16911"/>
    <w:rsid w:val="6E160D96"/>
    <w:rsid w:val="76D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1481</Words>
  <Characters>1527</Characters>
  <Lines>0</Lines>
  <Paragraphs>0</Paragraphs>
  <TotalTime>18</TotalTime>
  <ScaleCrop>false</ScaleCrop>
  <LinksUpToDate>false</LinksUpToDate>
  <CharactersWithSpaces>1528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2022-08-15T03:44:00Z</dcterms:created>
  <dc:creator>Lesliy Jing</dc:creator>
  <cp:lastModifiedBy>Lesliy Jing</cp:lastModifiedBy>
  <dcterms:modified xsi:type="dcterms:W3CDTF">2022-08-15T07:30:07Z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763CD76E4DFD4179B962CC2EBD1B2855</vt:lpwstr>
  </property>
</Properties>
</file>