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b/>
          <w:sz w:val="28"/>
        </w:rPr>
        <w:t>采购项目概况</w:t>
      </w:r>
    </w:p>
    <w:p>
      <w:pPr>
        <w:pStyle w:val="4"/>
        <w:rPr>
          <w:rFonts w:hint="eastAsia" w:ascii="仿宋" w:hAnsi="仿宋" w:eastAsia="仿宋" w:cs="仿宋"/>
          <w:sz w:val="28"/>
          <w:szCs w:val="28"/>
        </w:rPr>
      </w:pPr>
      <w:r>
        <w:rPr>
          <w:rFonts w:hint="eastAsia" w:ascii="仿宋" w:hAnsi="仿宋" w:eastAsia="仿宋" w:cs="仿宋"/>
          <w:sz w:val="28"/>
          <w:szCs w:val="28"/>
        </w:rPr>
        <w:t>本次采购金额为72万元，拟采购油菜种8个品种，数量：9.04吨，每个品种数量1.13吨。</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b/>
          <w:sz w:val="28"/>
        </w:rPr>
        <w:t>技术参数及要求</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采购包1：</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标的名称：油菜种</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1"/>
        <w:gridCol w:w="501"/>
        <w:gridCol w:w="5127"/>
        <w:gridCol w:w="20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91"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参数性质</w:t>
            </w:r>
          </w:p>
        </w:tc>
        <w:tc>
          <w:tcPr>
            <w:tcW w:w="501"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序号</w:t>
            </w:r>
          </w:p>
        </w:tc>
        <w:tc>
          <w:tcPr>
            <w:tcW w:w="512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技术参数与性能指标</w:t>
            </w:r>
          </w:p>
        </w:tc>
        <w:tc>
          <w:tcPr>
            <w:tcW w:w="2001"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91"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p>
        </w:tc>
        <w:tc>
          <w:tcPr>
            <w:tcW w:w="501"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rPr>
              <w:t>1</w:t>
            </w:r>
          </w:p>
        </w:tc>
        <w:tc>
          <w:tcPr>
            <w:tcW w:w="5127" w:type="dxa"/>
          </w:tcPr>
          <w:p>
            <w:pPr>
              <w:pStyle w:val="4"/>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hint="eastAsia" w:ascii="仿宋" w:hAnsi="仿宋" w:eastAsia="仿宋" w:cs="仿宋"/>
              </w:rPr>
            </w:pPr>
            <w:r>
              <w:rPr>
                <w:rFonts w:hint="eastAsia" w:ascii="仿宋" w:hAnsi="仿宋" w:eastAsia="仿宋" w:cs="仿宋"/>
                <w:sz w:val="28"/>
              </w:rPr>
              <w:t>1、所投油菜品种须获得国家农业农村部《非主要农作物品种登记证书》；适宜种植区域含四川省。</w:t>
            </w:r>
          </w:p>
          <w:p>
            <w:pPr>
              <w:pStyle w:val="4"/>
              <w:keepNext w:val="0"/>
              <w:keepLines w:val="0"/>
              <w:pageBreakBefore w:val="0"/>
              <w:kinsoku/>
              <w:wordWrap/>
              <w:overflowPunct/>
              <w:topLinePunct w:val="0"/>
              <w:autoSpaceDE/>
              <w:autoSpaceDN/>
              <w:bidi w:val="0"/>
              <w:adjustRightInd/>
              <w:snapToGrid/>
              <w:spacing w:after="120" w:line="560" w:lineRule="exact"/>
              <w:ind w:right="30" w:firstLine="280"/>
              <w:jc w:val="left"/>
              <w:textAlignment w:val="auto"/>
              <w:rPr>
                <w:rFonts w:hint="eastAsia" w:ascii="仿宋" w:hAnsi="仿宋" w:eastAsia="仿宋" w:cs="仿宋"/>
              </w:rPr>
            </w:pPr>
            <w:r>
              <w:rPr>
                <w:rFonts w:hint="eastAsia" w:ascii="仿宋" w:hAnsi="仿宋" w:eastAsia="仿宋" w:cs="仿宋"/>
                <w:sz w:val="28"/>
              </w:rPr>
              <w:t>2、所投油菜品种的质量应符合GB4407.2-2008国家标准：品种纯度≥95%，净度≥98%，发芽率≥85%，水份≤9%；</w:t>
            </w:r>
          </w:p>
          <w:p>
            <w:pPr>
              <w:pStyle w:val="4"/>
              <w:keepNext w:val="0"/>
              <w:keepLines w:val="0"/>
              <w:pageBreakBefore w:val="0"/>
              <w:kinsoku/>
              <w:wordWrap/>
              <w:overflowPunct/>
              <w:topLinePunct w:val="0"/>
              <w:autoSpaceDE/>
              <w:autoSpaceDN/>
              <w:bidi w:val="0"/>
              <w:adjustRightInd/>
              <w:snapToGrid/>
              <w:spacing w:after="120" w:line="560" w:lineRule="exact"/>
              <w:ind w:right="30" w:firstLine="280"/>
              <w:jc w:val="left"/>
              <w:textAlignment w:val="auto"/>
              <w:rPr>
                <w:rFonts w:hint="eastAsia" w:ascii="仿宋" w:hAnsi="仿宋" w:eastAsia="仿宋" w:cs="仿宋"/>
              </w:rPr>
            </w:pPr>
            <w:r>
              <w:rPr>
                <w:rFonts w:hint="eastAsia" w:ascii="仿宋" w:hAnsi="仿宋" w:eastAsia="仿宋" w:cs="仿宋"/>
                <w:sz w:val="28"/>
              </w:rPr>
              <w:t>3、“双低”品种（生产使用标准）；</w:t>
            </w:r>
          </w:p>
          <w:p>
            <w:pPr>
              <w:pStyle w:val="4"/>
              <w:keepNext w:val="0"/>
              <w:keepLines w:val="0"/>
              <w:pageBreakBefore w:val="0"/>
              <w:kinsoku/>
              <w:wordWrap/>
              <w:overflowPunct/>
              <w:topLinePunct w:val="0"/>
              <w:autoSpaceDE/>
              <w:autoSpaceDN/>
              <w:bidi w:val="0"/>
              <w:adjustRightInd/>
              <w:snapToGrid/>
              <w:spacing w:line="560" w:lineRule="exact"/>
              <w:ind w:firstLine="280"/>
              <w:jc w:val="both"/>
              <w:textAlignment w:val="auto"/>
              <w:rPr>
                <w:rFonts w:hint="eastAsia" w:ascii="仿宋" w:hAnsi="仿宋" w:eastAsia="仿宋" w:cs="仿宋"/>
              </w:rPr>
            </w:pPr>
            <w:r>
              <w:rPr>
                <w:rFonts w:hint="eastAsia" w:ascii="仿宋" w:hAnsi="仿宋" w:eastAsia="仿宋" w:cs="仿宋"/>
                <w:sz w:val="28"/>
              </w:rPr>
              <w:t>4、菌核病：中抗及以上；</w:t>
            </w:r>
          </w:p>
          <w:p>
            <w:pPr>
              <w:pStyle w:val="4"/>
              <w:keepNext w:val="0"/>
              <w:keepLines w:val="0"/>
              <w:pageBreakBefore w:val="0"/>
              <w:kinsoku/>
              <w:wordWrap/>
              <w:overflowPunct/>
              <w:topLinePunct w:val="0"/>
              <w:autoSpaceDE/>
              <w:autoSpaceDN/>
              <w:bidi w:val="0"/>
              <w:adjustRightInd/>
              <w:snapToGrid/>
              <w:spacing w:line="560" w:lineRule="exact"/>
              <w:ind w:firstLine="280"/>
              <w:jc w:val="both"/>
              <w:textAlignment w:val="auto"/>
              <w:rPr>
                <w:rFonts w:hint="eastAsia" w:ascii="仿宋" w:hAnsi="仿宋" w:eastAsia="仿宋" w:cs="仿宋"/>
              </w:rPr>
            </w:pPr>
            <w:r>
              <w:rPr>
                <w:rFonts w:hint="eastAsia" w:ascii="仿宋" w:hAnsi="仿宋" w:eastAsia="仿宋" w:cs="仿宋"/>
                <w:sz w:val="28"/>
              </w:rPr>
              <w:t>5、抗倒性强；</w:t>
            </w:r>
          </w:p>
          <w:p>
            <w:pPr>
              <w:pStyle w:val="4"/>
              <w:keepNext w:val="0"/>
              <w:keepLines w:val="0"/>
              <w:pageBreakBefore w:val="0"/>
              <w:kinsoku/>
              <w:wordWrap/>
              <w:overflowPunct/>
              <w:topLinePunct w:val="0"/>
              <w:autoSpaceDE/>
              <w:autoSpaceDN/>
              <w:bidi w:val="0"/>
              <w:adjustRightInd/>
              <w:snapToGrid/>
              <w:spacing w:line="560" w:lineRule="exact"/>
              <w:ind w:firstLine="280"/>
              <w:jc w:val="both"/>
              <w:textAlignment w:val="auto"/>
              <w:rPr>
                <w:rFonts w:hint="eastAsia" w:ascii="仿宋" w:hAnsi="仿宋" w:eastAsia="仿宋" w:cs="仿宋"/>
              </w:rPr>
            </w:pPr>
            <w:r>
              <w:rPr>
                <w:rFonts w:hint="eastAsia" w:ascii="仿宋" w:hAnsi="仿宋" w:eastAsia="仿宋" w:cs="仿宋"/>
                <w:sz w:val="28"/>
              </w:rPr>
              <w:t>6、含油率45%以上（含45%）；</w:t>
            </w:r>
          </w:p>
          <w:p>
            <w:pPr>
              <w:pStyle w:val="4"/>
              <w:keepNext w:val="0"/>
              <w:keepLines w:val="0"/>
              <w:pageBreakBefore w:val="0"/>
              <w:kinsoku/>
              <w:wordWrap/>
              <w:overflowPunct/>
              <w:topLinePunct w:val="0"/>
              <w:autoSpaceDE/>
              <w:autoSpaceDN/>
              <w:bidi w:val="0"/>
              <w:adjustRightInd/>
              <w:snapToGrid/>
              <w:spacing w:line="560" w:lineRule="exact"/>
              <w:ind w:firstLine="280"/>
              <w:jc w:val="both"/>
              <w:textAlignment w:val="auto"/>
              <w:rPr>
                <w:rFonts w:hint="eastAsia" w:ascii="仿宋" w:hAnsi="仿宋" w:eastAsia="仿宋" w:cs="仿宋"/>
              </w:rPr>
            </w:pPr>
            <w:r>
              <w:rPr>
                <w:rFonts w:hint="eastAsia" w:ascii="仿宋" w:hAnsi="仿宋" w:eastAsia="仿宋" w:cs="仿宋"/>
                <w:sz w:val="28"/>
              </w:rPr>
              <w:t>7、第一生长周期和第二生长周期亩产不低于180公斤，且比对照增产8%以上；</w:t>
            </w:r>
          </w:p>
          <w:p>
            <w:pPr>
              <w:pStyle w:val="4"/>
              <w:keepNext w:val="0"/>
              <w:keepLines w:val="0"/>
              <w:pageBreakBefore w:val="0"/>
              <w:kinsoku/>
              <w:wordWrap/>
              <w:overflowPunct/>
              <w:topLinePunct w:val="0"/>
              <w:autoSpaceDE/>
              <w:autoSpaceDN/>
              <w:bidi w:val="0"/>
              <w:adjustRightInd/>
              <w:snapToGrid/>
              <w:spacing w:line="560" w:lineRule="exact"/>
              <w:ind w:firstLine="280"/>
              <w:jc w:val="both"/>
              <w:textAlignment w:val="auto"/>
              <w:rPr>
                <w:rFonts w:hint="eastAsia" w:ascii="仿宋" w:hAnsi="仿宋" w:eastAsia="仿宋" w:cs="仿宋"/>
              </w:rPr>
            </w:pPr>
            <w:r>
              <w:rPr>
                <w:rFonts w:hint="eastAsia" w:ascii="仿宋" w:hAnsi="仿宋" w:eastAsia="仿宋" w:cs="仿宋"/>
                <w:sz w:val="28"/>
              </w:rPr>
              <w:t>8、全生育期不超过220天（含220天）；</w:t>
            </w:r>
          </w:p>
          <w:p>
            <w:pPr>
              <w:pStyle w:val="4"/>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rPr>
            </w:pPr>
            <w:r>
              <w:rPr>
                <w:rFonts w:hint="eastAsia" w:ascii="仿宋" w:hAnsi="仿宋" w:eastAsia="仿宋" w:cs="仿宋"/>
                <w:sz w:val="28"/>
              </w:rPr>
              <w:t>9、包装： 80克或100克小袋包装，10公斤或15公斤/件。</w:t>
            </w:r>
          </w:p>
        </w:tc>
        <w:tc>
          <w:tcPr>
            <w:tcW w:w="2001" w:type="dxa"/>
          </w:tcPr>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lang w:eastAsia="zh-CN"/>
              </w:rPr>
            </w:pP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lang w:eastAsia="zh-CN"/>
              </w:rPr>
            </w:pP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lang w:eastAsia="zh-CN"/>
              </w:rPr>
            </w:pP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lang w:eastAsia="zh-CN"/>
              </w:rPr>
            </w:pP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lang w:eastAsia="zh-CN"/>
              </w:rPr>
            </w:pP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lang w:eastAsia="zh-CN"/>
              </w:rPr>
            </w:pPr>
          </w:p>
          <w:p>
            <w:pPr>
              <w:pStyle w:val="4"/>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8"/>
                <w:lang w:eastAsia="zh-CN"/>
              </w:rPr>
            </w:pPr>
            <w:r>
              <w:rPr>
                <w:rFonts w:hint="eastAsia" w:ascii="仿宋" w:hAnsi="仿宋" w:eastAsia="仿宋" w:cs="仿宋"/>
                <w:sz w:val="28"/>
                <w:lang w:eastAsia="zh-CN"/>
              </w:rPr>
              <w:t>提供所投产品有效的检测报告复印件并加盖供应商公章</w:t>
            </w:r>
          </w:p>
        </w:tc>
      </w:tr>
    </w:tbl>
    <w:p>
      <w:pPr>
        <w:pStyle w:val="4"/>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rPr>
        <w:t>不同供应商最多允许提供四个相同品种，超过四个相同品种的投标供应商视为同一家供应商。</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sz w:val="28"/>
          <w:lang w:val="en-US" w:eastAsia="zh-CN"/>
        </w:rPr>
      </w:pPr>
      <w:r>
        <w:rPr>
          <w:rFonts w:hint="eastAsia" w:ascii="仿宋" w:hAnsi="仿宋" w:eastAsia="仿宋" w:cs="仿宋"/>
          <w:b/>
          <w:sz w:val="28"/>
          <w:lang w:val="en-US" w:eastAsia="zh-CN"/>
        </w:rPr>
        <w:t>商务要求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交货时间</w:t>
      </w:r>
      <w:r>
        <w:rPr>
          <w:rFonts w:hint="eastAsia" w:ascii="仿宋" w:hAnsi="仿宋" w:eastAsia="仿宋" w:cs="仿宋"/>
          <w:sz w:val="28"/>
          <w:szCs w:val="28"/>
          <w:lang w:val="en-US" w:eastAsia="zh-CN"/>
        </w:rPr>
        <w:t>:</w:t>
      </w:r>
      <w:r>
        <w:rPr>
          <w:rFonts w:hint="eastAsia" w:ascii="仿宋" w:hAnsi="仿宋" w:eastAsia="仿宋" w:cs="仿宋"/>
          <w:sz w:val="28"/>
          <w:szCs w:val="28"/>
        </w:rPr>
        <w:t>合同签订之日起3日内供货到位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交货地点和方式</w:t>
      </w:r>
      <w:r>
        <w:rPr>
          <w:rFonts w:hint="eastAsia" w:ascii="仿宋" w:hAnsi="仿宋" w:eastAsia="仿宋" w:cs="仿宋"/>
          <w:sz w:val="28"/>
          <w:szCs w:val="28"/>
          <w:lang w:eastAsia="zh-CN"/>
        </w:rPr>
        <w:t>：</w:t>
      </w:r>
      <w:r>
        <w:rPr>
          <w:rFonts w:hint="eastAsia" w:ascii="仿宋" w:hAnsi="仿宋" w:eastAsia="仿宋" w:cs="仿宋"/>
          <w:sz w:val="28"/>
          <w:szCs w:val="28"/>
        </w:rPr>
        <w:t>运送至采购人指定的地点。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付款方式</w:t>
      </w:r>
      <w:r>
        <w:rPr>
          <w:rFonts w:hint="eastAsia" w:ascii="仿宋" w:hAnsi="仿宋" w:eastAsia="仿宋" w:cs="仿宋"/>
          <w:sz w:val="28"/>
          <w:szCs w:val="28"/>
          <w:lang w:eastAsia="zh-CN"/>
        </w:rPr>
        <w:t>：</w:t>
      </w:r>
      <w:r>
        <w:rPr>
          <w:rFonts w:hint="eastAsia" w:ascii="仿宋" w:hAnsi="仿宋" w:eastAsia="仿宋" w:cs="仿宋"/>
          <w:sz w:val="28"/>
          <w:szCs w:val="28"/>
        </w:rPr>
        <w:t>油菜种子经验收合格由成交供应商发放到乡镇村，成交供应商向采购人提供相应支付凭证（凭证包括领据、花名册、公示照片、税票等）后15日内支付合同金额的90%，在油菜一个生育周期后无品种质量问题15日内支合同金额的10%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验收标准和方法</w:t>
      </w:r>
      <w:r>
        <w:rPr>
          <w:rFonts w:hint="eastAsia" w:ascii="仿宋" w:hAnsi="仿宋" w:eastAsia="仿宋" w:cs="仿宋"/>
          <w:sz w:val="28"/>
          <w:szCs w:val="28"/>
          <w:lang w:eastAsia="zh-CN"/>
        </w:rPr>
        <w:t>：</w:t>
      </w:r>
      <w:r>
        <w:rPr>
          <w:rFonts w:hint="eastAsia" w:ascii="仿宋" w:hAnsi="仿宋" w:eastAsia="仿宋" w:cs="仿宋"/>
          <w:sz w:val="28"/>
          <w:szCs w:val="28"/>
        </w:rPr>
        <w:t>根据财政部关于进一步加强政府采购需求和履约验收管理的指导意见》（财库〔2016〕205号）、《政府采购需求管理办法》（财库〔2021〕22号）的要求及国家行业主管部门规定的标准、方法和内容组织验收。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包装方式及运输</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种子包装装应符合《种子法》规定的包装及标识标签管理办法；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供应商所投产品质量有效期</w:t>
      </w:r>
      <w:r>
        <w:rPr>
          <w:rFonts w:hint="eastAsia" w:ascii="仿宋" w:hAnsi="仿宋" w:eastAsia="仿宋" w:cs="仿宋"/>
          <w:sz w:val="28"/>
          <w:szCs w:val="28"/>
          <w:lang w:eastAsia="zh-CN"/>
        </w:rPr>
        <w:t>：</w:t>
      </w:r>
      <w:r>
        <w:rPr>
          <w:rFonts w:hint="eastAsia" w:ascii="仿宋" w:hAnsi="仿宋" w:eastAsia="仿宋" w:cs="仿宋"/>
          <w:sz w:val="28"/>
          <w:szCs w:val="28"/>
        </w:rPr>
        <w:t>≥12个月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售后服务要求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成交供应商交货时须提供成交品种的《产地检疫证》、《种子质量检验合格证》复印件（提供承诺函）；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提供售后服务承诺书（包含：售后技术服务人员、联系电话等）；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承诺成交后提供每个成交品种的种植技术资料1份，并免费提供栽培技术指导；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出现质量、生产等问题1个小时内响应，12个小时内到达现场，24小时内解决问题；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提供所投品种无知识产权纠纷的承诺函原件（格式自拟）。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bookmarkStart w:id="0" w:name="_GoBack"/>
      <w:bookmarkEnd w:id="0"/>
      <w:r>
        <w:rPr>
          <w:rFonts w:hint="eastAsia" w:ascii="仿宋" w:hAnsi="仿宋" w:eastAsia="仿宋" w:cs="仿宋"/>
          <w:sz w:val="28"/>
          <w:szCs w:val="28"/>
          <w:lang w:val="en-US" w:eastAsia="zh-CN"/>
        </w:rPr>
        <w:t>、</w:t>
      </w:r>
      <w:r>
        <w:rPr>
          <w:rFonts w:hint="eastAsia" w:ascii="仿宋" w:hAnsi="仿宋" w:eastAsia="仿宋" w:cs="仿宋"/>
          <w:sz w:val="28"/>
          <w:szCs w:val="28"/>
        </w:rPr>
        <w:t>违约责任及解决争议的方式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供应商必须遵循采购合同并执行合同中的各项规定，保证采购合同的正常履行；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如因供应商工作人员在履行职务过程中的疏忽、失职、过错等故意或者过失原因给采购人造成的损失或侵害，包括但不限于采购人本身的财产损失，由此而导致的采购人对任何第三方的法律责任等，供应商对此均应承担全部的赔偿责任；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供应商应当遵循采购人的相关项目需求及相关技术要求及实质性条款，实施完成采购合同应当完全满足相关项目需求及实质性条款，若供应商瑕疵履约采购合同，如：延期供货、产品质量等问题，由此给采购人造成的相关损失，采购人有权向供应商要求赔偿合同总价款10%的违约金，同时采购人有权要求供应商承担造成相关损失的所有赔偿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成交品种若出现质量问题按《中华人民共和国种子法》相关规定处理。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NGMyOTQ2ZWY4MmY0ZjUxZmQ4MDRiNGNmYzU2MTYifQ=="/>
  </w:docVars>
  <w:rsids>
    <w:rsidRoot w:val="00000000"/>
    <w:rsid w:val="02AD2BDE"/>
    <w:rsid w:val="69DF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1297</Words>
  <Characters>1359</Characters>
  <Lines>0</Lines>
  <Paragraphs>0</Paragraphs>
  <TotalTime>3</TotalTime>
  <ScaleCrop>false</ScaleCrop>
  <LinksUpToDate>false</LinksUpToDate>
  <CharactersWithSpaces>1371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2022-08-29T07:48:37Z</dcterms:created>
  <dc:creator>Administrator</dc:creator>
  <cp:lastModifiedBy>Administrator</cp:lastModifiedBy>
  <dcterms:modified xsi:type="dcterms:W3CDTF">2022-08-29T08:03:38Z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8FB61F278D21420592571BC41B9E417F</vt:lpwstr>
  </property>
</Properties>
</file>