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left="1485" w:hanging="1485"/>
        <w:jc w:val="center"/>
        <w:outlineLvl w:val="0"/>
        <w:rPr>
          <w:rFonts w:eastAsia="仿宋"/>
          <w:b/>
          <w:bCs/>
          <w:color w:val="000000"/>
          <w:kern w:val="44"/>
          <w:sz w:val="36"/>
          <w:szCs w:val="36"/>
        </w:rPr>
      </w:pPr>
      <w:bookmarkStart w:id="0" w:name="_Toc62549320"/>
      <w:bookmarkStart w:id="1" w:name="_Toc20234161"/>
      <w:bookmarkStart w:id="2" w:name="_Toc256000046"/>
      <w:bookmarkStart w:id="3" w:name="_Toc256000115"/>
      <w:bookmarkStart w:id="4" w:name="_Toc256000184"/>
      <w:bookmarkStart w:id="5" w:name="_Toc256000253"/>
      <w:bookmarkStart w:id="6" w:name="_Toc256000322"/>
      <w:r>
        <w:rPr>
          <w:rFonts w:eastAsia="仿宋"/>
          <w:b/>
          <w:bCs/>
          <w:color w:val="000000"/>
          <w:kern w:val="44"/>
          <w:sz w:val="36"/>
          <w:szCs w:val="36"/>
        </w:rPr>
        <w:t>第三章资格条件要求以及应当提供的资格证明材料</w:t>
      </w:r>
      <w:bookmarkEnd w:id="0"/>
      <w:bookmarkEnd w:id="1"/>
      <w:bookmarkEnd w:id="2"/>
      <w:bookmarkEnd w:id="3"/>
      <w:bookmarkEnd w:id="4"/>
      <w:bookmarkEnd w:id="5"/>
      <w:bookmarkEnd w:id="6"/>
    </w:p>
    <w:p>
      <w:pPr>
        <w:spacing w:line="500" w:lineRule="exact"/>
        <w:rPr>
          <w:rFonts w:ascii="Calibri" w:hAnsi="Calibri" w:eastAsia="仿宋"/>
          <w:b w:val="0"/>
          <w:sz w:val="24"/>
          <w:szCs w:val="28"/>
        </w:rPr>
      </w:pPr>
      <w:bookmarkStart w:id="7" w:name="【bobole_资格表格】"/>
      <w:r>
        <w:rPr>
          <w:rFonts w:ascii="Calibri" w:hAnsi="Calibri" w:eastAsia="仿宋"/>
          <w:b w:val="0"/>
          <w:sz w:val="24"/>
          <w:szCs w:val="28"/>
        </w:rPr>
        <w:t xml:space="preserve"> </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9"/>
        <w:gridCol w:w="5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ascii="Calibri" w:hAnsi="Calibri" w:eastAsia="仿宋"/>
                <w:b/>
                <w:sz w:val="24"/>
                <w:szCs w:val="28"/>
              </w:rPr>
            </w:pPr>
            <w:r>
              <w:rPr>
                <w:rFonts w:ascii="Calibri" w:hAnsi="Calibri" w:eastAsia="仿宋"/>
                <w:b/>
                <w:sz w:val="24"/>
                <w:szCs w:val="28"/>
              </w:rPr>
              <w:t>资格要求</w:t>
            </w:r>
          </w:p>
        </w:tc>
        <w:tc>
          <w:tcPr>
            <w:tcW w:w="300" w:type="pct"/>
            <w:shd w:val="clear" w:color="auto" w:fill="FFFFFF"/>
            <w:vAlign w:val="center"/>
          </w:tcPr>
          <w:p>
            <w:pPr>
              <w:spacing w:line="500" w:lineRule="exact"/>
              <w:jc w:val="center"/>
              <w:rPr>
                <w:rFonts w:ascii="Calibri" w:hAnsi="Calibri" w:eastAsia="仿宋"/>
                <w:b w:val="0"/>
                <w:sz w:val="24"/>
                <w:szCs w:val="28"/>
              </w:rPr>
            </w:pPr>
            <w:r>
              <w:rPr>
                <w:rFonts w:ascii="Calibri" w:hAnsi="Calibri" w:eastAsia="仿宋"/>
                <w:b/>
                <w:sz w:val="24"/>
                <w:szCs w:val="28"/>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具有独立承担民事责任的能力</w:t>
            </w:r>
          </w:p>
        </w:tc>
        <w:tc>
          <w:tcPr>
            <w:tcW w:w="6443" w:type="dxa"/>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1）供应商是法人的，提供《营业执照》（或《事业单位法人证书》，或其他能够证明其依法有效存在的书面材料），以及法定代表人的身份证明；供应商是其他组织的，提供能够证明其依法有效存在的书面材料，以及组织负责人的身份证明；供应商是自然人的，提供其身份证明。</w:t>
            </w:r>
          </w:p>
          <w:p>
            <w:pPr>
              <w:spacing w:line="500" w:lineRule="exact"/>
              <w:jc w:val="left"/>
              <w:rPr>
                <w:rFonts w:ascii="Calibri" w:hAnsi="Calibri" w:eastAsia="仿宋"/>
                <w:b w:val="0"/>
                <w:sz w:val="24"/>
                <w:szCs w:val="28"/>
              </w:rPr>
            </w:pPr>
            <w:r>
              <w:rPr>
                <w:rFonts w:ascii="Calibri" w:hAnsi="Calibri" w:eastAsia="仿宋"/>
                <w:b w:val="0"/>
                <w:sz w:val="24"/>
                <w:szCs w:val="28"/>
              </w:rPr>
              <w:t>（2）供应商派出参加政府采购活动的代表不是法定代表人或组织负责人的，应提供派出代表的《授权委托书》及其身份证复印件。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具有良好的商业信誉和健全的财务会计制度</w:t>
            </w:r>
          </w:p>
        </w:tc>
        <w:tc>
          <w:tcPr>
            <w:tcW w:w="6443" w:type="dxa"/>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（1）提供具有良好商业信誉的承诺函；</w:t>
            </w:r>
          </w:p>
          <w:p>
            <w:pPr>
              <w:spacing w:line="500" w:lineRule="exact"/>
              <w:jc w:val="left"/>
              <w:rPr>
                <w:rFonts w:ascii="Calibri" w:hAnsi="Calibri" w:eastAsia="仿宋"/>
                <w:b w:val="0"/>
                <w:sz w:val="24"/>
                <w:szCs w:val="28"/>
              </w:rPr>
            </w:pPr>
            <w:r>
              <w:rPr>
                <w:rFonts w:ascii="Calibri" w:hAnsi="Calibri" w:eastAsia="仿宋"/>
                <w:b w:val="0"/>
                <w:sz w:val="24"/>
                <w:szCs w:val="28"/>
              </w:rPr>
              <w:t>（2）提供2021年财务会计报表复印件（至少应包含：现金流量表、资产负债表、利润表）或提供经会计师事务所审计的2020年或2021年度财务会计报告复印件或银行出具的资信证明（本项目要求资信证明的出具时间应在投标截止时间前的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具有履行合同所必需的设备和专业技术能力</w:t>
            </w:r>
          </w:p>
        </w:tc>
        <w:tc>
          <w:tcPr>
            <w:tcW w:w="3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有依法缴纳税收和社会保障资金的良好记录</w:t>
            </w:r>
          </w:p>
        </w:tc>
        <w:tc>
          <w:tcPr>
            <w:tcW w:w="3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参加本次政府采购活动前三年内，在经营活动中没有重大违法记录</w:t>
            </w:r>
          </w:p>
        </w:tc>
        <w:tc>
          <w:tcPr>
            <w:tcW w:w="3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法律、行政法规规定的其他条件</w:t>
            </w:r>
          </w:p>
        </w:tc>
        <w:tc>
          <w:tcPr>
            <w:tcW w:w="3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属于专门面向中小企业采购的项目,供应商应为中小微企业、监狱企业、残疾人福利性单位</w:t>
            </w:r>
          </w:p>
        </w:tc>
        <w:tc>
          <w:tcPr>
            <w:tcW w:w="3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提供《中小微企业（监狱企业）声明函》或《残疾人福利性单位声明函》原件。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投标人须具有投标产品的生产许可证、肥料登记证或行政主管部门的备案证明。</w:t>
            </w:r>
          </w:p>
        </w:tc>
        <w:tc>
          <w:tcPr>
            <w:tcW w:w="300" w:type="pct"/>
            <w:shd w:val="clear" w:color="auto" w:fill="FFFFFF"/>
            <w:vAlign w:val="center"/>
          </w:tcPr>
          <w:p>
            <w:pPr>
              <w:spacing w:line="500" w:lineRule="exact"/>
              <w:jc w:val="left"/>
              <w:rPr>
                <w:rFonts w:ascii="Calibri" w:hAnsi="Calibri" w:eastAsia="仿宋"/>
                <w:b w:val="0"/>
                <w:sz w:val="24"/>
                <w:szCs w:val="28"/>
              </w:rPr>
            </w:pPr>
            <w:r>
              <w:rPr>
                <w:rFonts w:ascii="Calibri" w:hAnsi="Calibri" w:eastAsia="仿宋"/>
                <w:b w:val="0"/>
                <w:sz w:val="24"/>
                <w:szCs w:val="28"/>
              </w:rPr>
              <w:t>提供投标产品的生产许可证、肥料登记证或行政主管部门的备案证明复印件。</w:t>
            </w:r>
          </w:p>
        </w:tc>
      </w:tr>
      <w:bookmarkEnd w:id="7"/>
    </w:tbl>
    <w:p/>
    <w:p>
      <w:pPr>
        <w:spacing w:line="500" w:lineRule="exact"/>
        <w:ind w:firstLine="562" w:firstLineChars="200"/>
        <w:rPr>
          <w:rFonts w:eastAsia="仿宋"/>
          <w:b/>
          <w:bCs/>
          <w:sz w:val="28"/>
          <w:szCs w:val="28"/>
        </w:rPr>
      </w:pPr>
      <w:r>
        <w:rPr>
          <w:rFonts w:eastAsia="仿宋"/>
          <w:b/>
          <w:bCs/>
          <w:sz w:val="28"/>
          <w:szCs w:val="28"/>
        </w:rPr>
        <w:t>备注：</w:t>
      </w:r>
    </w:p>
    <w:p>
      <w:pPr>
        <w:tabs>
          <w:tab w:val="left" w:pos="2310"/>
        </w:tabs>
        <w:spacing w:line="500" w:lineRule="exact"/>
        <w:ind w:right="420" w:rightChars="200" w:firstLine="560" w:firstLineChars="200"/>
        <w:rPr>
          <w:rFonts w:hint="eastAsia" w:eastAsia="仿宋"/>
          <w:sz w:val="28"/>
          <w:szCs w:val="28"/>
          <w:lang w:eastAsia="zh-CN"/>
        </w:rPr>
      </w:pPr>
      <w:r>
        <w:rPr>
          <w:rFonts w:eastAsia="仿宋"/>
          <w:sz w:val="28"/>
          <w:szCs w:val="28"/>
        </w:rPr>
        <w:t>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bookmarkStart w:id="8" w:name="_Toc471310423"/>
      <w:bookmarkStart w:id="9" w:name="_Toc389231763"/>
      <w:bookmarkStart w:id="10" w:name="_Toc315963028"/>
      <w:bookmarkStart w:id="11" w:name="_Toc69896656"/>
      <w:bookmarkStart w:id="12" w:name="_Toc68613927"/>
      <w:bookmarkStart w:id="13" w:name="_Toc62549321"/>
      <w:bookmarkStart w:id="14" w:name="_Toc256000047"/>
      <w:r>
        <w:rPr>
          <w:rFonts w:hint="eastAsia" w:eastAsia="仿宋"/>
          <w:sz w:val="28"/>
          <w:szCs w:val="28"/>
          <w:lang w:eastAsia="zh-CN"/>
        </w:rPr>
        <w:t>。</w:t>
      </w:r>
      <w:bookmarkEnd w:id="8"/>
      <w:bookmarkEnd w:id="9"/>
      <w:bookmarkEnd w:id="10"/>
      <w:bookmarkStart w:id="15" w:name="_Toc256000121"/>
      <w:bookmarkStart w:id="16" w:name="_Toc256000190"/>
      <w:bookmarkStart w:id="17" w:name="_Toc256000259"/>
      <w:bookmarkStart w:id="18" w:name="_Toc256000328"/>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tabs>
          <w:tab w:val="left" w:pos="2310"/>
        </w:tabs>
        <w:spacing w:line="500" w:lineRule="exact"/>
        <w:ind w:right="420" w:rightChars="200" w:firstLine="560" w:firstLineChars="200"/>
        <w:rPr>
          <w:rFonts w:hint="eastAsia" w:eastAsia="仿宋"/>
          <w:sz w:val="28"/>
          <w:szCs w:val="28"/>
          <w:lang w:eastAsia="zh-CN"/>
        </w:rPr>
      </w:pPr>
    </w:p>
    <w:p>
      <w:pPr>
        <w:keepNext/>
        <w:keepLines/>
        <w:ind w:left="1485" w:hanging="1485"/>
        <w:jc w:val="center"/>
        <w:outlineLvl w:val="0"/>
        <w:rPr>
          <w:rFonts w:eastAsia="仿宋"/>
          <w:b/>
          <w:bCs/>
          <w:color w:val="000000"/>
          <w:kern w:val="44"/>
          <w:sz w:val="36"/>
          <w:szCs w:val="36"/>
        </w:rPr>
      </w:pPr>
      <w:r>
        <w:rPr>
          <w:rFonts w:hint="eastAsia" w:eastAsia="仿宋"/>
          <w:b/>
          <w:bCs/>
          <w:color w:val="000000"/>
          <w:kern w:val="44"/>
          <w:sz w:val="36"/>
          <w:szCs w:val="36"/>
          <w:lang w:val="en-US" w:eastAsia="zh-CN"/>
        </w:rPr>
        <w:t xml:space="preserve">第四章 </w:t>
      </w:r>
      <w:r>
        <w:rPr>
          <w:rFonts w:hint="eastAsia" w:eastAsia="仿宋"/>
          <w:b/>
          <w:bCs/>
          <w:color w:val="000000"/>
          <w:kern w:val="44"/>
          <w:sz w:val="36"/>
          <w:szCs w:val="36"/>
        </w:rPr>
        <w:t>采购需求及其技术、服务及其他要求</w:t>
      </w:r>
      <w:bookmarkEnd w:id="11"/>
      <w:bookmarkEnd w:id="12"/>
      <w:bookmarkEnd w:id="13"/>
      <w:bookmarkEnd w:id="14"/>
      <w:bookmarkEnd w:id="15"/>
      <w:bookmarkEnd w:id="16"/>
      <w:bookmarkEnd w:id="17"/>
      <w:bookmarkEnd w:id="18"/>
    </w:p>
    <w:p>
      <w:pPr>
        <w:ind w:firstLine="562" w:firstLineChars="200"/>
        <w:outlineLvl w:val="1"/>
        <w:rPr>
          <w:rFonts w:eastAsia="仿宋"/>
          <w:b/>
          <w:sz w:val="28"/>
          <w:szCs w:val="28"/>
        </w:rPr>
      </w:pPr>
      <w:bookmarkStart w:id="19" w:name="_Toc256000048"/>
      <w:bookmarkStart w:id="20" w:name="_Toc256000122"/>
      <w:bookmarkStart w:id="21" w:name="_Toc256000191"/>
      <w:bookmarkStart w:id="22" w:name="_Toc256000260"/>
      <w:bookmarkStart w:id="23" w:name="_Toc256000329"/>
      <w:r>
        <w:rPr>
          <w:rFonts w:eastAsia="仿宋"/>
          <w:b/>
          <w:sz w:val="28"/>
          <w:szCs w:val="28"/>
        </w:rPr>
        <w:t>一、采购需求</w:t>
      </w:r>
      <w:bookmarkEnd w:id="19"/>
      <w:bookmarkEnd w:id="20"/>
      <w:bookmarkEnd w:id="21"/>
      <w:bookmarkEnd w:id="22"/>
      <w:bookmarkEnd w:id="23"/>
    </w:p>
    <w:p>
      <w:pPr>
        <w:ind w:firstLine="562" w:firstLineChars="200"/>
        <w:outlineLvl w:val="2"/>
        <w:rPr>
          <w:rFonts w:eastAsia="仿宋"/>
          <w:b/>
          <w:sz w:val="28"/>
          <w:szCs w:val="28"/>
        </w:rPr>
      </w:pPr>
      <w:bookmarkStart w:id="24" w:name="【Bobole_其他信息_XMJJ】"/>
      <w:bookmarkEnd w:id="24"/>
      <w:bookmarkStart w:id="25" w:name="_Toc256000049"/>
      <w:bookmarkStart w:id="26" w:name="_Toc256000123"/>
      <w:bookmarkStart w:id="27" w:name="_Toc256000192"/>
      <w:bookmarkStart w:id="28" w:name="_Toc256000261"/>
      <w:bookmarkStart w:id="29" w:name="_Toc256000330"/>
      <w:r>
        <w:rPr>
          <w:rFonts w:eastAsia="仿宋"/>
          <w:b/>
          <w:sz w:val="28"/>
          <w:szCs w:val="28"/>
        </w:rPr>
        <w:t>（一）项目概述</w:t>
      </w:r>
      <w:bookmarkEnd w:id="25"/>
      <w:bookmarkEnd w:id="26"/>
      <w:bookmarkEnd w:id="27"/>
      <w:bookmarkEnd w:id="28"/>
      <w:bookmarkEnd w:id="29"/>
    </w:p>
    <w:p>
      <w:pPr>
        <w:pBdr>
          <w:top w:val="none" w:color="auto" w:sz="0" w:space="1"/>
          <w:left w:val="none" w:color="auto" w:sz="0" w:space="4"/>
          <w:bottom w:val="none" w:color="auto" w:sz="0" w:space="1"/>
          <w:right w:val="none" w:color="auto" w:sz="0" w:space="4"/>
        </w:pBdr>
        <w:spacing w:line="560" w:lineRule="exact"/>
        <w:ind w:firstLine="480" w:firstLineChars="200"/>
        <w:jc w:val="left"/>
        <w:rPr>
          <w:rFonts w:eastAsia="仿宋"/>
          <w:sz w:val="24"/>
          <w:szCs w:val="24"/>
        </w:rPr>
      </w:pPr>
      <w:r>
        <w:rPr>
          <w:rFonts w:eastAsia="仿宋"/>
          <w:sz w:val="24"/>
          <w:szCs w:val="24"/>
        </w:rPr>
        <w:t>本次采购为通江县农技站，采购内容：复合肥，数量：</w:t>
      </w:r>
      <w:r>
        <w:rPr>
          <w:rFonts w:hint="eastAsia" w:eastAsia="仿宋"/>
          <w:sz w:val="24"/>
          <w:szCs w:val="24"/>
          <w:lang w:val="en-US" w:eastAsia="zh-CN"/>
        </w:rPr>
        <w:t>300000公斤</w:t>
      </w:r>
      <w:r>
        <w:rPr>
          <w:rFonts w:eastAsia="仿宋"/>
          <w:sz w:val="24"/>
          <w:szCs w:val="24"/>
        </w:rPr>
        <w:t>，采购预算金额：</w:t>
      </w:r>
      <w:r>
        <w:rPr>
          <w:rFonts w:hint="eastAsia" w:eastAsia="仿宋"/>
          <w:sz w:val="24"/>
          <w:szCs w:val="24"/>
          <w:lang w:val="en-US" w:eastAsia="zh-CN"/>
        </w:rPr>
        <w:t>90</w:t>
      </w:r>
      <w:r>
        <w:rPr>
          <w:rFonts w:eastAsia="仿宋"/>
          <w:sz w:val="24"/>
          <w:szCs w:val="24"/>
        </w:rPr>
        <w:t>万元。</w:t>
      </w:r>
    </w:p>
    <w:p>
      <w:pPr>
        <w:pBdr>
          <w:top w:val="none" w:color="auto" w:sz="0" w:space="1"/>
          <w:left w:val="none" w:color="auto" w:sz="0" w:space="4"/>
          <w:bottom w:val="none" w:color="auto" w:sz="0" w:space="1"/>
          <w:right w:val="none" w:color="auto" w:sz="0" w:space="4"/>
        </w:pBdr>
        <w:spacing w:line="560" w:lineRule="exact"/>
        <w:ind w:firstLine="480" w:firstLineChars="200"/>
        <w:jc w:val="left"/>
        <w:rPr>
          <w:rFonts w:hint="eastAsia" w:eastAsia="仿宋"/>
          <w:sz w:val="24"/>
          <w:szCs w:val="24"/>
          <w:lang w:val="en-US" w:eastAsia="zh-CN"/>
        </w:rPr>
      </w:pPr>
      <w:r>
        <w:rPr>
          <w:rFonts w:hint="eastAsia" w:eastAsia="仿宋"/>
          <w:sz w:val="24"/>
          <w:szCs w:val="24"/>
          <w:lang w:val="en-US" w:eastAsia="zh-CN"/>
        </w:rPr>
        <w:t>采购预算包括：货物成本、包装、装卸费、运杂费（含多次转运）、检测、仓储费、税费、发放费、技术培训等直至项目验收所需的一切费用，超过采购预算的报价视为无效报价。</w:t>
      </w:r>
    </w:p>
    <w:p>
      <w:pPr>
        <w:ind w:firstLine="480" w:firstLineChars="200"/>
        <w:rPr>
          <w:rFonts w:eastAsia="仿宋"/>
          <w:sz w:val="24"/>
          <w:szCs w:val="24"/>
        </w:rPr>
      </w:pPr>
    </w:p>
    <w:p>
      <w:pPr>
        <w:ind w:firstLine="562" w:firstLineChars="200"/>
        <w:rPr>
          <w:rFonts w:eastAsia="仿宋"/>
          <w:b/>
          <w:sz w:val="28"/>
          <w:szCs w:val="28"/>
        </w:rPr>
      </w:pPr>
      <w:r>
        <w:rPr>
          <w:rFonts w:eastAsia="仿宋"/>
          <w:b/>
          <w:sz w:val="28"/>
          <w:szCs w:val="28"/>
        </w:rPr>
        <w:t>（二）采购内容及其数量</w:t>
      </w:r>
    </w:p>
    <w:p>
      <w:pPr>
        <w:autoSpaceDE w:val="0"/>
        <w:autoSpaceDN w:val="0"/>
        <w:ind w:firstLine="630" w:firstLineChars="300"/>
        <w:rPr>
          <w:rFonts w:eastAsia="仿宋"/>
          <w:bCs/>
          <w:lang w:val="zh-CN"/>
        </w:rPr>
      </w:pPr>
      <w:bookmarkStart w:id="30" w:name="【bobole_采购清单表格】"/>
      <w:r>
        <w:rPr>
          <w:rFonts w:eastAsia="仿宋"/>
          <w:bCs/>
          <w:lang w:val="zh-CN"/>
        </w:rPr>
        <w:t xml:space="preserve"> </w:t>
      </w:r>
      <w:r>
        <w:rPr>
          <w:rFonts w:eastAsia="仿宋"/>
          <w:b w:val="0"/>
          <w:bCs/>
          <w:sz w:val="24"/>
          <w:lang w:val="zh-CN"/>
        </w:rPr>
        <w:t xml:space="preserve"> </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841"/>
        <w:gridCol w:w="2218"/>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33" w:type="pct"/>
            <w:shd w:val="clear" w:color="auto" w:fill="FFFFFF"/>
            <w:vAlign w:val="center"/>
          </w:tcPr>
          <w:p>
            <w:pPr>
              <w:autoSpaceDE w:val="0"/>
              <w:autoSpaceDN w:val="0"/>
              <w:jc w:val="center"/>
              <w:rPr>
                <w:rFonts w:eastAsia="仿宋"/>
                <w:b/>
                <w:bCs/>
                <w:sz w:val="24"/>
                <w:lang w:val="zh-CN"/>
              </w:rPr>
            </w:pPr>
            <w:r>
              <w:rPr>
                <w:rFonts w:eastAsia="仿宋"/>
                <w:b/>
                <w:bCs/>
                <w:sz w:val="24"/>
                <w:lang w:val="zh-CN"/>
              </w:rPr>
              <w:t>序号</w:t>
            </w:r>
          </w:p>
        </w:tc>
        <w:tc>
          <w:tcPr>
            <w:tcW w:w="1666" w:type="pct"/>
            <w:shd w:val="clear" w:color="auto" w:fill="FFFFFF"/>
            <w:vAlign w:val="center"/>
          </w:tcPr>
          <w:p>
            <w:pPr>
              <w:autoSpaceDE w:val="0"/>
              <w:autoSpaceDN w:val="0"/>
              <w:jc w:val="center"/>
              <w:rPr>
                <w:rFonts w:eastAsia="仿宋"/>
                <w:b/>
                <w:bCs/>
                <w:sz w:val="24"/>
                <w:lang w:val="zh-CN"/>
              </w:rPr>
            </w:pPr>
            <w:r>
              <w:rPr>
                <w:rFonts w:eastAsia="仿宋"/>
                <w:b/>
                <w:bCs/>
                <w:sz w:val="24"/>
                <w:lang w:val="zh-CN"/>
              </w:rPr>
              <w:t>采购内容</w:t>
            </w:r>
          </w:p>
        </w:tc>
        <w:tc>
          <w:tcPr>
            <w:tcW w:w="1301" w:type="pct"/>
            <w:shd w:val="clear" w:color="auto" w:fill="FFFFFF"/>
            <w:vAlign w:val="center"/>
          </w:tcPr>
          <w:p>
            <w:pPr>
              <w:autoSpaceDE w:val="0"/>
              <w:autoSpaceDN w:val="0"/>
              <w:jc w:val="center"/>
              <w:rPr>
                <w:rFonts w:eastAsia="仿宋"/>
                <w:b/>
                <w:bCs/>
                <w:sz w:val="24"/>
                <w:lang w:val="zh-CN"/>
              </w:rPr>
            </w:pPr>
            <w:r>
              <w:rPr>
                <w:rFonts w:eastAsia="仿宋"/>
                <w:b/>
                <w:bCs/>
                <w:sz w:val="24"/>
                <w:lang w:val="zh-CN"/>
              </w:rPr>
              <w:t>数量</w:t>
            </w:r>
          </w:p>
        </w:tc>
        <w:tc>
          <w:tcPr>
            <w:tcW w:w="1198" w:type="pct"/>
            <w:shd w:val="clear" w:color="auto" w:fill="FFFFFF"/>
            <w:vAlign w:val="center"/>
          </w:tcPr>
          <w:p>
            <w:pPr>
              <w:autoSpaceDE w:val="0"/>
              <w:autoSpaceDN w:val="0"/>
              <w:jc w:val="center"/>
              <w:rPr>
                <w:rFonts w:eastAsia="仿宋"/>
                <w:b w:val="0"/>
                <w:bCs/>
                <w:sz w:val="24"/>
                <w:lang w:val="zh-CN"/>
              </w:rPr>
            </w:pPr>
            <w:r>
              <w:rPr>
                <w:rFonts w:eastAsia="仿宋"/>
                <w:b/>
                <w:bCs/>
                <w:sz w:val="24"/>
                <w:lang w:val="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33" w:type="pct"/>
            <w:shd w:val="clear" w:color="auto" w:fill="FFFFFF"/>
            <w:vAlign w:val="center"/>
          </w:tcPr>
          <w:p>
            <w:pPr>
              <w:autoSpaceDE w:val="0"/>
              <w:autoSpaceDN w:val="0"/>
              <w:jc w:val="center"/>
              <w:rPr>
                <w:rFonts w:eastAsia="仿宋"/>
                <w:b w:val="0"/>
                <w:bCs/>
                <w:sz w:val="24"/>
                <w:lang w:val="zh-CN"/>
              </w:rPr>
            </w:pPr>
            <w:r>
              <w:rPr>
                <w:rFonts w:eastAsia="仿宋"/>
                <w:b w:val="0"/>
                <w:bCs/>
                <w:sz w:val="24"/>
                <w:lang w:val="zh-CN"/>
              </w:rPr>
              <w:t>1</w:t>
            </w:r>
          </w:p>
        </w:tc>
        <w:tc>
          <w:tcPr>
            <w:tcW w:w="1666" w:type="pct"/>
            <w:shd w:val="clear" w:color="auto" w:fill="FFFFFF"/>
            <w:vAlign w:val="center"/>
          </w:tcPr>
          <w:p>
            <w:pPr>
              <w:autoSpaceDE w:val="0"/>
              <w:autoSpaceDN w:val="0"/>
              <w:jc w:val="center"/>
              <w:rPr>
                <w:rFonts w:eastAsia="仿宋"/>
                <w:b w:val="0"/>
                <w:bCs/>
                <w:sz w:val="24"/>
                <w:lang w:val="zh-CN"/>
              </w:rPr>
            </w:pPr>
            <w:r>
              <w:rPr>
                <w:rFonts w:eastAsia="仿宋"/>
                <w:b w:val="0"/>
                <w:bCs/>
                <w:sz w:val="24"/>
                <w:lang w:val="zh-CN"/>
              </w:rPr>
              <w:t>复合肥</w:t>
            </w:r>
          </w:p>
        </w:tc>
        <w:tc>
          <w:tcPr>
            <w:tcW w:w="1301" w:type="pct"/>
            <w:shd w:val="clear" w:color="auto" w:fill="FFFFFF"/>
            <w:vAlign w:val="center"/>
          </w:tcPr>
          <w:p>
            <w:pPr>
              <w:autoSpaceDE w:val="0"/>
              <w:autoSpaceDN w:val="0"/>
              <w:jc w:val="center"/>
              <w:rPr>
                <w:rFonts w:eastAsia="仿宋"/>
                <w:b w:val="0"/>
                <w:bCs/>
                <w:sz w:val="24"/>
                <w:lang w:val="zh-CN"/>
              </w:rPr>
            </w:pPr>
            <w:r>
              <w:rPr>
                <w:rFonts w:eastAsia="仿宋"/>
                <w:b w:val="0"/>
                <w:bCs/>
                <w:sz w:val="24"/>
                <w:lang w:val="zh-CN"/>
              </w:rPr>
              <w:t>300000公斤</w:t>
            </w:r>
          </w:p>
        </w:tc>
        <w:tc>
          <w:tcPr>
            <w:tcW w:w="1198" w:type="pct"/>
            <w:shd w:val="clear" w:color="auto" w:fill="FFFFFF"/>
            <w:vAlign w:val="center"/>
          </w:tcPr>
          <w:p>
            <w:pPr>
              <w:autoSpaceDE w:val="0"/>
              <w:autoSpaceDN w:val="0"/>
              <w:jc w:val="center"/>
              <w:rPr>
                <w:rFonts w:eastAsia="仿宋"/>
                <w:b w:val="0"/>
                <w:bCs/>
                <w:sz w:val="24"/>
                <w:lang w:val="zh-CN"/>
              </w:rPr>
            </w:pPr>
            <w:r>
              <w:rPr>
                <w:rFonts w:eastAsia="仿宋"/>
                <w:b w:val="0"/>
                <w:bCs/>
                <w:sz w:val="24"/>
                <w:lang w:val="zh-CN"/>
              </w:rPr>
              <w:t>是</w:t>
            </w:r>
          </w:p>
        </w:tc>
      </w:tr>
      <w:bookmarkEnd w:id="30"/>
    </w:tbl>
    <w:p/>
    <w:p>
      <w:pPr>
        <w:autoSpaceDE w:val="0"/>
        <w:autoSpaceDN w:val="0"/>
        <w:rPr>
          <w:rFonts w:eastAsia="仿宋"/>
          <w:b/>
          <w:bCs/>
          <w:lang w:val="zh-CN"/>
        </w:rPr>
      </w:pPr>
    </w:p>
    <w:p>
      <w:pPr>
        <w:ind w:firstLine="562" w:firstLineChars="200"/>
        <w:outlineLvl w:val="1"/>
        <w:rPr>
          <w:rFonts w:eastAsia="仿宋"/>
          <w:b/>
          <w:bCs w:val="0"/>
          <w:sz w:val="28"/>
          <w:szCs w:val="28"/>
        </w:rPr>
      </w:pPr>
      <w:r>
        <w:rPr>
          <w:rFonts w:hint="eastAsia" w:eastAsia="仿宋"/>
          <w:b/>
          <w:bCs w:val="0"/>
          <w:sz w:val="28"/>
          <w:szCs w:val="28"/>
        </w:rPr>
        <w:t xml:space="preserve"> </w:t>
      </w:r>
      <w:bookmarkStart w:id="31" w:name="_Toc256000331"/>
      <w:bookmarkStart w:id="32" w:name="_Toc256000050"/>
      <w:bookmarkStart w:id="33" w:name="_Toc256000124"/>
      <w:bookmarkStart w:id="34" w:name="_Toc256000193"/>
      <w:bookmarkStart w:id="35" w:name="_Toc256000262"/>
      <w:r>
        <w:rPr>
          <w:rFonts w:eastAsia="仿宋"/>
          <w:b/>
          <w:bCs w:val="0"/>
          <w:sz w:val="28"/>
          <w:szCs w:val="28"/>
        </w:rPr>
        <w:t>二、技术、服务要求</w:t>
      </w:r>
      <w:bookmarkEnd w:id="31"/>
      <w:bookmarkEnd w:id="32"/>
      <w:bookmarkEnd w:id="33"/>
      <w:bookmarkEnd w:id="34"/>
      <w:bookmarkEnd w:id="35"/>
    </w:p>
    <w:tbl>
      <w:tblPr>
        <w:tblStyle w:val="4"/>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990"/>
        <w:gridCol w:w="2851"/>
        <w:gridCol w:w="1375"/>
        <w:gridCol w:w="1263"/>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39" w:type="dxa"/>
            <w:vAlign w:val="center"/>
          </w:tcPr>
          <w:p>
            <w:pPr>
              <w:jc w:val="center"/>
              <w:rPr>
                <w:rFonts w:hint="eastAsia"/>
              </w:rPr>
            </w:pPr>
            <w:bookmarkStart w:id="36" w:name="【bobole_技术商务要求】"/>
            <w:r>
              <w:rPr>
                <w:rFonts w:hint="eastAsia"/>
              </w:rPr>
              <w:t>序号</w:t>
            </w:r>
          </w:p>
        </w:tc>
        <w:tc>
          <w:tcPr>
            <w:tcW w:w="990" w:type="dxa"/>
            <w:vAlign w:val="center"/>
          </w:tcPr>
          <w:p>
            <w:pPr>
              <w:jc w:val="center"/>
              <w:rPr>
                <w:rFonts w:hint="eastAsia"/>
              </w:rPr>
            </w:pPr>
            <w:r>
              <w:rPr>
                <w:rFonts w:hint="eastAsia"/>
              </w:rPr>
              <w:t>名称</w:t>
            </w:r>
          </w:p>
        </w:tc>
        <w:tc>
          <w:tcPr>
            <w:tcW w:w="2851" w:type="dxa"/>
            <w:vAlign w:val="center"/>
          </w:tcPr>
          <w:p>
            <w:pPr>
              <w:jc w:val="center"/>
              <w:rPr>
                <w:rFonts w:hint="eastAsia"/>
              </w:rPr>
            </w:pPr>
            <w:r>
              <w:rPr>
                <w:rFonts w:hint="eastAsia"/>
              </w:rPr>
              <w:t>技术参数</w:t>
            </w:r>
          </w:p>
        </w:tc>
        <w:tc>
          <w:tcPr>
            <w:tcW w:w="1375" w:type="dxa"/>
            <w:vAlign w:val="center"/>
          </w:tcPr>
          <w:p>
            <w:pPr>
              <w:jc w:val="center"/>
              <w:rPr>
                <w:rFonts w:hint="eastAsia"/>
              </w:rPr>
            </w:pPr>
            <w:r>
              <w:rPr>
                <w:rFonts w:hint="eastAsia"/>
              </w:rPr>
              <w:t>包装</w:t>
            </w:r>
          </w:p>
        </w:tc>
        <w:tc>
          <w:tcPr>
            <w:tcW w:w="1263" w:type="dxa"/>
            <w:vAlign w:val="center"/>
          </w:tcPr>
          <w:p>
            <w:pPr>
              <w:jc w:val="center"/>
              <w:rPr>
                <w:rFonts w:hint="eastAsia"/>
              </w:rPr>
            </w:pPr>
            <w:r>
              <w:rPr>
                <w:rFonts w:hint="eastAsia"/>
              </w:rPr>
              <w:t>数量</w:t>
            </w:r>
          </w:p>
        </w:tc>
        <w:tc>
          <w:tcPr>
            <w:tcW w:w="1739" w:type="dxa"/>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jc w:val="center"/>
        </w:trPr>
        <w:tc>
          <w:tcPr>
            <w:tcW w:w="639" w:type="dxa"/>
            <w:vAlign w:val="center"/>
          </w:tcPr>
          <w:p>
            <w:pPr>
              <w:jc w:val="center"/>
              <w:rPr>
                <w:rFonts w:hint="default"/>
              </w:rPr>
            </w:pPr>
            <w:r>
              <w:rPr>
                <w:rFonts w:hint="eastAsia"/>
              </w:rPr>
              <w:t>1</w:t>
            </w:r>
          </w:p>
        </w:tc>
        <w:tc>
          <w:tcPr>
            <w:tcW w:w="990" w:type="dxa"/>
            <w:vAlign w:val="center"/>
          </w:tcPr>
          <w:p>
            <w:pPr>
              <w:jc w:val="center"/>
              <w:rPr>
                <w:rFonts w:hint="eastAsia"/>
              </w:rPr>
            </w:pPr>
            <w:r>
              <w:rPr>
                <w:rFonts w:hint="eastAsia"/>
              </w:rPr>
              <w:t>复合肥</w:t>
            </w:r>
          </w:p>
        </w:tc>
        <w:tc>
          <w:tcPr>
            <w:tcW w:w="2851" w:type="dxa"/>
            <w:vAlign w:val="center"/>
          </w:tcPr>
          <w:p>
            <w:pPr>
              <w:ind w:firstLine="240" w:firstLineChars="100"/>
              <w:rPr>
                <w:rFonts w:hint="eastAsia"/>
              </w:rPr>
            </w:pPr>
            <w:r>
              <w:rPr>
                <w:rFonts w:hint="eastAsia"/>
                <w:sz w:val="24"/>
                <w:szCs w:val="24"/>
              </w:rPr>
              <w:t>1、</w:t>
            </w:r>
            <w:r>
              <w:rPr>
                <w:rFonts w:hint="eastAsia"/>
              </w:rPr>
              <w:t>总养分（N+P2O5+K2O）质量分数≥30%，N≥15%、P≥8%、K≥7%；低氯，氯离子的质量分数e/%（标识“含氯（低氯）”的产品≤15.0）。</w:t>
            </w:r>
          </w:p>
          <w:p>
            <w:pPr>
              <w:spacing w:after="120"/>
              <w:ind w:firstLine="210" w:firstLineChars="100"/>
              <w:rPr>
                <w:rFonts w:hint="eastAsia"/>
              </w:rPr>
            </w:pPr>
            <w:r>
              <w:rPr>
                <w:rFonts w:hint="eastAsia"/>
                <w:szCs w:val="24"/>
              </w:rPr>
              <w:t>2、质量标准应符合GB15063-2020国家《复混肥料（复合肥料）》</w:t>
            </w:r>
          </w:p>
        </w:tc>
        <w:tc>
          <w:tcPr>
            <w:tcW w:w="1375" w:type="dxa"/>
            <w:vAlign w:val="center"/>
          </w:tcPr>
          <w:p>
            <w:pPr>
              <w:spacing w:line="460" w:lineRule="exact"/>
              <w:ind w:firstLine="240" w:firstLineChars="100"/>
              <w:jc w:val="center"/>
              <w:rPr>
                <w:rFonts w:hint="eastAsia"/>
                <w:sz w:val="24"/>
                <w:szCs w:val="24"/>
              </w:rPr>
            </w:pPr>
            <w:r>
              <w:rPr>
                <w:rFonts w:hint="eastAsia"/>
                <w:sz w:val="24"/>
                <w:szCs w:val="24"/>
              </w:rPr>
              <w:t>25公斤/袋</w:t>
            </w:r>
          </w:p>
          <w:p>
            <w:pPr>
              <w:jc w:val="center"/>
              <w:rPr>
                <w:rFonts w:hint="eastAsia"/>
              </w:rPr>
            </w:pPr>
          </w:p>
        </w:tc>
        <w:tc>
          <w:tcPr>
            <w:tcW w:w="1263" w:type="dxa"/>
            <w:vAlign w:val="center"/>
          </w:tcPr>
          <w:p>
            <w:pPr>
              <w:jc w:val="center"/>
              <w:rPr>
                <w:rFonts w:hint="default"/>
              </w:rPr>
            </w:pPr>
            <w:r>
              <w:rPr>
                <w:rFonts w:hint="eastAsia"/>
              </w:rPr>
              <w:t>300000公斤</w:t>
            </w:r>
          </w:p>
        </w:tc>
        <w:tc>
          <w:tcPr>
            <w:tcW w:w="1739" w:type="dxa"/>
            <w:vAlign w:val="center"/>
          </w:tcPr>
          <w:p>
            <w:pPr>
              <w:rPr>
                <w:rFonts w:hint="eastAsia"/>
              </w:rPr>
            </w:pPr>
            <w:r>
              <w:rPr>
                <w:rFonts w:hint="eastAsia"/>
              </w:rPr>
              <w:t>提供投标产品</w:t>
            </w:r>
            <w:r>
              <w:rPr>
                <w:rFonts w:hint="default"/>
              </w:rPr>
              <w:t>20</w:t>
            </w:r>
            <w:r>
              <w:rPr>
                <w:rFonts w:hint="eastAsia"/>
              </w:rPr>
              <w:t>22</w:t>
            </w:r>
            <w:r>
              <w:rPr>
                <w:rFonts w:hint="default"/>
              </w:rPr>
              <w:t xml:space="preserve"> </w:t>
            </w:r>
            <w:r>
              <w:rPr>
                <w:rFonts w:hint="eastAsia"/>
              </w:rPr>
              <w:t>年</w:t>
            </w:r>
            <w:r>
              <w:rPr>
                <w:rFonts w:hint="default"/>
              </w:rPr>
              <w:t>1</w:t>
            </w:r>
            <w:r>
              <w:rPr>
                <w:rFonts w:hint="eastAsia"/>
              </w:rPr>
              <w:t>月以来由专业机构出具的产品检验检测报告复印件。</w:t>
            </w:r>
          </w:p>
          <w:p>
            <w:pPr>
              <w:rPr>
                <w:rFonts w:hint="eastAsia"/>
              </w:rPr>
            </w:pPr>
          </w:p>
        </w:tc>
      </w:tr>
    </w:tbl>
    <w:p>
      <w:pPr>
        <w:rPr>
          <w:rFonts w:ascii="Calibri" w:hAnsi="Calibri" w:eastAsia="宋体" w:cs="Times New Roman"/>
        </w:rPr>
      </w:pPr>
    </w:p>
    <w:p>
      <w:pPr>
        <w:spacing w:line="420" w:lineRule="exact"/>
        <w:rPr>
          <w:rFonts w:hint="eastAsia" w:ascii="宋体" w:hAnsi="宋体" w:eastAsia="宋体" w:cs="宋体"/>
          <w:b/>
          <w:bCs/>
          <w:sz w:val="28"/>
          <w:szCs w:val="28"/>
        </w:rPr>
      </w:pPr>
    </w:p>
    <w:p>
      <w:pPr>
        <w:spacing w:line="420" w:lineRule="exact"/>
        <w:rPr>
          <w:rFonts w:hint="eastAsia" w:ascii="宋体" w:hAnsi="宋体" w:eastAsia="宋体" w:cs="宋体"/>
          <w:b/>
          <w:bCs/>
          <w:sz w:val="28"/>
          <w:szCs w:val="28"/>
          <w:lang w:val="zh-CN"/>
        </w:rPr>
      </w:pPr>
      <w:r>
        <w:rPr>
          <w:rFonts w:hint="eastAsia" w:ascii="宋体" w:hAnsi="宋体" w:eastAsia="宋体" w:cs="宋体"/>
          <w:b/>
          <w:bCs/>
          <w:sz w:val="28"/>
          <w:szCs w:val="28"/>
        </w:rPr>
        <w:t xml:space="preserve"> </w:t>
      </w:r>
      <w:r>
        <w:rPr>
          <w:rFonts w:hint="eastAsia" w:ascii="宋体" w:hAnsi="宋体" w:eastAsia="宋体" w:cs="宋体"/>
          <w:b/>
          <w:bCs/>
          <w:sz w:val="28"/>
          <w:szCs w:val="28"/>
          <w:lang w:val="zh-CN"/>
        </w:rPr>
        <w:t>三、商务要求</w:t>
      </w:r>
    </w:p>
    <w:p>
      <w:pPr>
        <w:spacing w:line="420" w:lineRule="exact"/>
        <w:rPr>
          <w:rFonts w:hint="default" w:ascii="宋体" w:hAnsi="宋体" w:eastAsia="宋体" w:cs="宋体"/>
          <w:b/>
          <w:bCs/>
          <w:sz w:val="24"/>
          <w:szCs w:val="24"/>
        </w:rPr>
      </w:pPr>
      <w:r>
        <w:rPr>
          <w:rFonts w:hint="eastAsia" w:ascii="宋体" w:hAnsi="宋体" w:eastAsia="宋体" w:cs="宋体"/>
          <w:b/>
          <w:bCs/>
          <w:sz w:val="24"/>
          <w:szCs w:val="24"/>
        </w:rPr>
        <w:t xml:space="preserve"> 1、供货时间及地点</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1.1供货时间：签订合同后按采购人的要求30天内分批次完成所有供货；</w:t>
      </w:r>
    </w:p>
    <w:p>
      <w:pPr>
        <w:spacing w:line="420" w:lineRule="exact"/>
        <w:rPr>
          <w:rFonts w:hint="eastAsia" w:ascii="宋体" w:hAnsi="宋体" w:eastAsia="宋体" w:cs="宋体"/>
          <w:b/>
          <w:bCs/>
          <w:sz w:val="24"/>
          <w:szCs w:val="24"/>
        </w:rPr>
      </w:pPr>
      <w:r>
        <w:rPr>
          <w:rFonts w:hint="eastAsia" w:ascii="仿宋" w:hAnsi="仿宋" w:eastAsia="仿宋" w:cs="仿宋"/>
          <w:sz w:val="24"/>
        </w:rPr>
        <w:t xml:space="preserve">    </w:t>
      </w:r>
      <w:r>
        <w:rPr>
          <w:rFonts w:hint="eastAsia" w:ascii="宋体" w:hAnsi="宋体" w:eastAsia="宋体" w:cs="宋体"/>
          <w:sz w:val="24"/>
          <w:szCs w:val="24"/>
        </w:rPr>
        <w:t>1.2供货地点：采购人指定交货地点（项目实施乡镇/村）。</w:t>
      </w:r>
    </w:p>
    <w:p>
      <w:pPr>
        <w:spacing w:line="42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2、资金支付</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2.1预付款支付比例：合同签订后7个工作日内支付10%；</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剩余款项支付：供货结束后，按照实地验收合格总数，由成交供应商提供有效发票及其它报账所需的必备资料，按照报账程序支付合同金额的85%，余下的5%作为质量保证金，在一个作物生育周期后无任何质量问题时一次性付清。</w:t>
      </w:r>
    </w:p>
    <w:p>
      <w:pPr>
        <w:spacing w:line="420" w:lineRule="exact"/>
        <w:ind w:firstLine="482" w:firstLineChars="200"/>
        <w:rPr>
          <w:rFonts w:hint="eastAsia" w:ascii="仿宋" w:hAnsi="仿宋" w:eastAsia="仿宋" w:cs="仿宋"/>
          <w:b/>
          <w:bCs/>
          <w:sz w:val="24"/>
        </w:rPr>
      </w:pPr>
      <w:r>
        <w:rPr>
          <w:rFonts w:hint="eastAsia" w:ascii="宋体" w:hAnsi="宋体" w:eastAsia="宋体" w:cs="宋体"/>
          <w:b/>
          <w:bCs/>
          <w:sz w:val="24"/>
          <w:szCs w:val="24"/>
        </w:rPr>
        <w:t xml:space="preserve">3、质保期  </w:t>
      </w:r>
      <w:r>
        <w:rPr>
          <w:rFonts w:hint="eastAsia" w:ascii="仿宋" w:hAnsi="仿宋" w:eastAsia="仿宋" w:cs="仿宋"/>
          <w:b/>
          <w:bCs/>
          <w:sz w:val="24"/>
        </w:rPr>
        <w:t xml:space="preserve"> </w:t>
      </w:r>
    </w:p>
    <w:p>
      <w:pPr>
        <w:spacing w:line="420" w:lineRule="exact"/>
        <w:ind w:firstLine="720" w:firstLineChars="300"/>
        <w:rPr>
          <w:rFonts w:hint="eastAsia" w:ascii="仿宋" w:hAnsi="仿宋" w:eastAsia="仿宋" w:cs="仿宋"/>
          <w:sz w:val="24"/>
        </w:rPr>
      </w:pPr>
      <w:r>
        <w:rPr>
          <w:rFonts w:hint="eastAsia" w:ascii="宋体" w:hAnsi="宋体" w:eastAsia="宋体" w:cs="宋体"/>
          <w:sz w:val="24"/>
          <w:szCs w:val="24"/>
        </w:rPr>
        <w:t xml:space="preserve">质保期不低于作物的一个生育周期。 </w:t>
      </w:r>
      <w:r>
        <w:rPr>
          <w:rFonts w:hint="eastAsia" w:ascii="仿宋" w:hAnsi="仿宋" w:eastAsia="仿宋" w:cs="仿宋"/>
          <w:sz w:val="24"/>
        </w:rPr>
        <w:t xml:space="preserve"> </w:t>
      </w:r>
    </w:p>
    <w:p>
      <w:pPr>
        <w:spacing w:line="420" w:lineRule="exact"/>
        <w:ind w:right="366"/>
        <w:rPr>
          <w:rFonts w:hint="eastAsia" w:ascii="仿宋" w:hAnsi="仿宋" w:eastAsia="仿宋" w:cs="仿宋"/>
          <w:sz w:val="24"/>
        </w:rPr>
      </w:pPr>
      <w:r>
        <w:rPr>
          <w:rFonts w:hint="eastAsia" w:ascii="仿宋" w:hAnsi="仿宋" w:eastAsia="仿宋" w:cs="仿宋"/>
          <w:sz w:val="24"/>
        </w:rPr>
        <w:t xml:space="preserve">  </w:t>
      </w:r>
      <w:r>
        <w:rPr>
          <w:rFonts w:hint="eastAsia" w:ascii="宋体" w:hAnsi="宋体" w:eastAsia="宋体" w:cs="宋体"/>
          <w:b/>
          <w:bCs/>
          <w:sz w:val="24"/>
          <w:szCs w:val="24"/>
        </w:rPr>
        <w:t xml:space="preserve">  4、售后服务</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4.1成交供应商需指派专人到项目区协助分配相关物资及免费提供技术培训和现场指导；</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4.2成交供应商需提供售后服务方案；</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4.3投标供应商所提供的产品若出现质量问题，须在2日内更换合格的产品（提供承诺函，格式自拟）；</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4.4投标供应商提供的产品应符合谈判文件要求，产品必须具备质量检验合格证和适量使用说明书，以确保采购人能正确使用产品</w:t>
      </w:r>
      <w:r>
        <w:rPr>
          <w:rFonts w:hint="eastAsia" w:ascii="宋体" w:hAnsi="宋体" w:eastAsia="宋体" w:cs="宋体"/>
          <w:b/>
          <w:bCs/>
          <w:sz w:val="24"/>
          <w:szCs w:val="24"/>
        </w:rPr>
        <w:t>（提供承诺函，格式自拟）</w:t>
      </w:r>
      <w:r>
        <w:rPr>
          <w:rFonts w:hint="eastAsia" w:ascii="宋体" w:hAnsi="宋体" w:eastAsia="宋体" w:cs="宋体"/>
          <w:sz w:val="24"/>
          <w:szCs w:val="24"/>
        </w:rPr>
        <w:t>。</w:t>
      </w:r>
    </w:p>
    <w:p>
      <w:pPr>
        <w:spacing w:line="420" w:lineRule="exact"/>
        <w:ind w:right="366"/>
        <w:rPr>
          <w:rFonts w:hint="eastAsia" w:ascii="仿宋" w:hAnsi="仿宋" w:eastAsia="仿宋" w:cs="仿宋"/>
          <w:b/>
          <w:bCs/>
          <w:sz w:val="24"/>
        </w:rPr>
      </w:pPr>
      <w:r>
        <w:rPr>
          <w:rFonts w:hint="eastAsia" w:ascii="仿宋" w:hAnsi="仿宋" w:eastAsia="仿宋" w:cs="仿宋"/>
          <w:b/>
          <w:bCs/>
          <w:sz w:val="24"/>
        </w:rPr>
        <w:t xml:space="preserve">    </w:t>
      </w:r>
      <w:r>
        <w:rPr>
          <w:rFonts w:hint="eastAsia" w:ascii="宋体" w:hAnsi="宋体" w:eastAsia="宋体" w:cs="宋体"/>
          <w:b/>
          <w:bCs/>
          <w:sz w:val="24"/>
          <w:szCs w:val="24"/>
        </w:rPr>
        <w:t>5、验收标准和方法</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5.1成交供应商与采购人应严格按照《财政部关于进一步加强政府采购需求和履约验收管理的指导意见》（财库〔2016〕205 号）、《政府采购需求管理办法》（财库〔2021〕22号）执行，并参照四川省财政厅《四川省政府采购项目需求论证和履约验收管理办法》(川财采〔2015〕32 号)的要求进行验收。</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5.2验收由采购人组织验收小组，在成交供应商将货物运到目的地下车时按抽样标准采取随机抽样法，对产品的数量、规格、包装标识等进行实地验收。</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5.3成交供应商所供产品必须由农业执法单位或第三方检测机构现场抽样、送检，产品质量最终以送检样品检测结果报告为准，检测费用由成交供应商承担</w:t>
      </w:r>
      <w:r>
        <w:rPr>
          <w:rFonts w:hint="eastAsia" w:ascii="宋体" w:hAnsi="宋体" w:eastAsia="宋体" w:cs="宋体"/>
          <w:b/>
          <w:bCs/>
          <w:sz w:val="24"/>
          <w:szCs w:val="24"/>
        </w:rPr>
        <w:t>（提供承诺函，格式自拟）</w:t>
      </w:r>
      <w:r>
        <w:rPr>
          <w:rFonts w:hint="eastAsia" w:ascii="宋体" w:hAnsi="宋体" w:eastAsia="宋体" w:cs="宋体"/>
          <w:sz w:val="24"/>
          <w:szCs w:val="24"/>
        </w:rPr>
        <w:t>。　　</w:t>
      </w:r>
    </w:p>
    <w:p>
      <w:pPr>
        <w:spacing w:line="420" w:lineRule="exact"/>
        <w:ind w:firstLine="480" w:firstLineChars="200"/>
        <w:rPr>
          <w:rFonts w:hint="eastAsia" w:ascii="仿宋" w:hAnsi="仿宋" w:eastAsia="仿宋" w:cs="仿宋"/>
          <w:sz w:val="24"/>
        </w:rPr>
      </w:pPr>
      <w:r>
        <w:rPr>
          <w:rFonts w:hint="eastAsia" w:ascii="宋体" w:hAnsi="宋体" w:eastAsia="宋体" w:cs="宋体"/>
          <w:sz w:val="24"/>
          <w:szCs w:val="24"/>
        </w:rPr>
        <w:t>5.4验收结束后，双方签署验收报告及项目验收单。</w:t>
      </w:r>
    </w:p>
    <w:p>
      <w:pPr>
        <w:spacing w:line="420" w:lineRule="exact"/>
        <w:ind w:right="366"/>
        <w:rPr>
          <w:rFonts w:hint="eastAsia" w:ascii="宋体" w:hAnsi="宋体" w:eastAsia="宋体" w:cs="宋体"/>
          <w:b/>
          <w:bCs/>
          <w:sz w:val="24"/>
          <w:szCs w:val="24"/>
        </w:rPr>
      </w:pPr>
      <w:r>
        <w:rPr>
          <w:rFonts w:hint="eastAsia" w:ascii="宋体" w:hAnsi="宋体" w:eastAsia="宋体" w:cs="宋体"/>
          <w:b/>
          <w:bCs/>
          <w:sz w:val="24"/>
          <w:szCs w:val="24"/>
        </w:rPr>
        <w:t xml:space="preserve">    6、违约责任</w:t>
      </w:r>
    </w:p>
    <w:p>
      <w:pPr>
        <w:spacing w:line="420" w:lineRule="exact"/>
        <w:rPr>
          <w:rFonts w:hint="eastAsia" w:ascii="宋体" w:hAnsi="宋体" w:eastAsia="宋体" w:cs="宋体"/>
          <w:sz w:val="24"/>
          <w:szCs w:val="24"/>
        </w:rPr>
      </w:pPr>
      <w:r>
        <w:rPr>
          <w:rFonts w:hint="eastAsia" w:ascii="仿宋" w:hAnsi="仿宋" w:eastAsia="仿宋" w:cs="仿宋"/>
          <w:sz w:val="23"/>
          <w:szCs w:val="23"/>
        </w:rPr>
        <w:t xml:space="preserve"> </w:t>
      </w:r>
      <w:r>
        <w:rPr>
          <w:rFonts w:hint="eastAsia" w:ascii="宋体" w:hAnsi="宋体" w:eastAsia="宋体" w:cs="宋体"/>
          <w:sz w:val="24"/>
          <w:szCs w:val="24"/>
        </w:rPr>
        <w:t xml:space="preserve">   6.1确因政策原因，成交供应商延期交货须取得采购人书面同意。未取得同意，每延迟交货 1 天收取合同总额千分之一的违约金，若造成重大损失的按相关法律法规处理。</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6.2若验收过程中发现数量、质量、规格等与投标文件不符，视为成交供应商根本违约,成交供应商承担由此造成经济损失和法律责任。</w:t>
      </w:r>
    </w:p>
    <w:p>
      <w:pPr>
        <w:widowControl/>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7、其他要求</w:t>
      </w:r>
    </w:p>
    <w:p>
      <w:pPr>
        <w:widowControl/>
        <w:spacing w:line="360" w:lineRule="auto"/>
        <w:ind w:firstLine="480" w:firstLineChars="200"/>
        <w:rPr>
          <w:rFonts w:hint="eastAsia" w:ascii="Calibri" w:hAnsi="Calibri" w:eastAsia="宋体" w:cs="Times New Roman"/>
          <w:sz w:val="24"/>
          <w:szCs w:val="24"/>
        </w:rPr>
      </w:pPr>
      <w:r>
        <w:rPr>
          <w:rFonts w:hint="eastAsia" w:ascii="Calibri" w:hAnsi="Calibri" w:eastAsia="宋体" w:cs="Times New Roman"/>
          <w:sz w:val="24"/>
          <w:szCs w:val="24"/>
        </w:rPr>
        <w:t>投标供应商承诺所提供的投标产品的产品检验检测报告上的质量分数和总含量应不低于谈判文件技术参数部分要求的质量分数和总含量，否则视为不合格产品并取消其中标资格</w:t>
      </w:r>
      <w:r>
        <w:rPr>
          <w:rFonts w:hint="eastAsia" w:ascii="宋体" w:hAnsi="宋体" w:eastAsia="宋体" w:cs="宋体"/>
          <w:b/>
          <w:bCs/>
          <w:sz w:val="24"/>
          <w:szCs w:val="24"/>
        </w:rPr>
        <w:t>（提供承诺函，格式自拟）</w:t>
      </w:r>
      <w:r>
        <w:rPr>
          <w:rFonts w:hint="eastAsia" w:ascii="Calibri" w:hAnsi="Calibri" w:eastAsia="宋体" w:cs="Times New Roman"/>
          <w:sz w:val="24"/>
          <w:szCs w:val="24"/>
        </w:rPr>
        <w:t>。</w:t>
      </w:r>
    </w:p>
    <w:p>
      <w:pPr>
        <w:spacing w:after="120"/>
        <w:rPr>
          <w:rFonts w:hint="eastAsia" w:ascii="Calibri" w:hAnsi="Calibri" w:eastAsia="宋体" w:cs="Times New Roman"/>
        </w:rPr>
      </w:pPr>
    </w:p>
    <w:p>
      <w:pPr>
        <w:autoSpaceDE w:val="0"/>
        <w:autoSpaceDN w:val="0"/>
        <w:adjustRightInd w:val="0"/>
        <w:spacing w:line="420" w:lineRule="exact"/>
        <w:rPr>
          <w:rFonts w:hint="eastAsia" w:ascii="仿宋" w:hAnsi="仿宋" w:eastAsia="仿宋" w:cs="仿宋"/>
          <w:kern w:val="0"/>
          <w:sz w:val="24"/>
          <w:szCs w:val="24"/>
        </w:rPr>
      </w:pPr>
      <w:r>
        <w:rPr>
          <w:rFonts w:hint="eastAsia" w:ascii="仿宋" w:hAnsi="仿宋" w:eastAsia="仿宋" w:cs="仿宋"/>
          <w:kern w:val="0"/>
          <w:sz w:val="23"/>
          <w:szCs w:val="23"/>
        </w:rPr>
        <w:t xml:space="preserve">  </w:t>
      </w:r>
      <w:r>
        <w:rPr>
          <w:rFonts w:hint="eastAsia" w:ascii="仿宋" w:hAnsi="仿宋" w:eastAsia="仿宋" w:cs="仿宋"/>
          <w:b/>
          <w:bCs/>
          <w:kern w:val="0"/>
          <w:sz w:val="24"/>
          <w:szCs w:val="24"/>
        </w:rPr>
        <w:t xml:space="preserve">  </w:t>
      </w:r>
      <w:r>
        <w:rPr>
          <w:rFonts w:hint="eastAsia" w:ascii="仿宋" w:hAnsi="仿宋" w:eastAsia="仿宋" w:cs="仿宋"/>
          <w:b/>
          <w:bCs/>
          <w:kern w:val="0"/>
          <w:sz w:val="22"/>
        </w:rPr>
        <w:t xml:space="preserve"> </w:t>
      </w:r>
    </w:p>
    <w:bookmarkEnd w:id="36"/>
    <w:p>
      <w:pPr>
        <w:snapToGrid w:val="0"/>
        <w:ind w:firstLine="560" w:firstLineChars="200"/>
        <w:rPr>
          <w:rFonts w:eastAsia="仿宋"/>
          <w:sz w:val="28"/>
          <w:szCs w:val="28"/>
        </w:rPr>
      </w:pPr>
    </w:p>
    <w:p>
      <w:pPr>
        <w:snapToGrid w:val="0"/>
        <w:rPr>
          <w:rFonts w:eastAsia="仿宋"/>
          <w:b/>
          <w:bCs/>
          <w:sz w:val="28"/>
          <w:szCs w:val="28"/>
        </w:rPr>
      </w:pPr>
      <w:r>
        <w:rPr>
          <w:rFonts w:eastAsia="仿宋"/>
          <w:b/>
          <w:bCs/>
          <w:sz w:val="28"/>
          <w:szCs w:val="28"/>
        </w:rPr>
        <w:t>备注：</w:t>
      </w:r>
    </w:p>
    <w:p>
      <w:pPr>
        <w:tabs>
          <w:tab w:val="left" w:pos="1095"/>
        </w:tabs>
        <w:ind w:firstLine="537" w:firstLineChars="192"/>
        <w:rPr>
          <w:rFonts w:eastAsia="仿宋"/>
          <w:sz w:val="28"/>
          <w:szCs w:val="28"/>
        </w:rPr>
      </w:pPr>
      <w:r>
        <w:rPr>
          <w:rFonts w:eastAsia="仿宋"/>
          <w:sz w:val="28"/>
          <w:szCs w:val="28"/>
        </w:rPr>
        <w:t>1.供应商的响应文件存在负偏离，谈判小组认为供应商的负偏离不对本项目政府采购合同履行构成实质性影响的，应在书面审查环节对该供应商作审查通过的处理；前述情况下，谈判小组应在谈判过程中变动谈判文件（变动内容应当经采购人代表确认），并要求供应商结合变动情况重新提交响应文件。</w:t>
      </w:r>
    </w:p>
    <w:p>
      <w:pPr>
        <w:ind w:firstLine="560" w:firstLineChars="200"/>
        <w:rPr>
          <w:rFonts w:eastAsia="仿宋"/>
          <w:kern w:val="0"/>
          <w:sz w:val="28"/>
          <w:szCs w:val="28"/>
        </w:rPr>
      </w:pPr>
      <w:r>
        <w:rPr>
          <w:rFonts w:eastAsia="仿宋"/>
          <w:kern w:val="0"/>
          <w:sz w:val="28"/>
          <w:szCs w:val="28"/>
        </w:rPr>
        <w:t>2.</w:t>
      </w:r>
      <w:bookmarkStart w:id="37" w:name="_Hlk9516218"/>
      <w:r>
        <w:rPr>
          <w:rFonts w:eastAsia="仿宋"/>
          <w:kern w:val="0"/>
          <w:sz w:val="28"/>
          <w:szCs w:val="28"/>
        </w:rPr>
        <w:t>谈判文件未变动的，谈判小组不能要求供应商重新提交响应文件，供应商重新提交响应文件的也不予接收。</w:t>
      </w:r>
    </w:p>
    <w:bookmarkEnd w:id="37"/>
    <w:p>
      <w:pPr>
        <w:tabs>
          <w:tab w:val="left" w:pos="1095"/>
        </w:tabs>
        <w:ind w:firstLine="537" w:firstLineChars="192"/>
        <w:rPr>
          <w:rFonts w:ascii="仿宋" w:hAnsi="仿宋" w:eastAsia="仿宋"/>
          <w:sz w:val="32"/>
          <w:szCs w:val="32"/>
        </w:rPr>
      </w:pPr>
      <w:r>
        <w:rPr>
          <w:rFonts w:eastAsia="仿宋"/>
          <w:sz w:val="28"/>
          <w:szCs w:val="28"/>
        </w:rPr>
        <w:t>3.本章中，未明确标注为技术、服务要求或合同草案的条款为本项目必须执行的条款，供应商参与本项目的政府采购活动即视为供应商已接受此类条款。除谈判文件有明确要求外，供应商无须在响应文件中对此类条款作出书面应答。</w:t>
      </w:r>
    </w:p>
    <w:p>
      <w:bookmarkStart w:id="38" w:name="_GoBack"/>
      <w:bookmarkEnd w:id="3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OTZhMjcwODM3YzcyNTAyMWI1OTJiNDAzYWZkNGEifQ=="/>
  </w:docVars>
  <w:rsids>
    <w:rsidRoot w:val="5CCC152C"/>
    <w:rsid w:val="5CCC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2022-08-31T07:09:00Z</dcterms:created>
  <dc:creator>深潜水</dc:creator>
  <cp:lastModifiedBy>深潜水</cp:lastModifiedBy>
  <dcterms:modified xsi:type="dcterms:W3CDTF">2022-08-31T07:10:38Z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4A41A12E98564B63AEFC02745BA0A397</vt:lpwstr>
  </property>
</Properties>
</file>