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宋体" w:eastAsia="黑体"/>
          <w:sz w:val="36"/>
          <w:szCs w:val="36"/>
        </w:rPr>
      </w:pPr>
      <w:bookmarkStart w:id="0" w:name="_Toc1627"/>
      <w:r>
        <w:rPr>
          <w:rFonts w:hint="eastAsia" w:ascii="宋体" w:hAnsi="宋体" w:cs="宋体"/>
          <w:b/>
          <w:bCs/>
          <w:position w:val="-1"/>
          <w:sz w:val="40"/>
          <w:szCs w:val="40"/>
        </w:rPr>
        <w:t>第六章  采购需求</w:t>
      </w:r>
      <w:bookmarkEnd w:id="0"/>
    </w:p>
    <w:p>
      <w:pPr>
        <w:pStyle w:val="7"/>
        <w:snapToGrid w:val="0"/>
        <w:rPr>
          <w:rFonts w:hint="eastAsia" w:ascii="楷体" w:hAnsi="楷体" w:eastAsia="楷体"/>
          <w:color w:val="FF0000"/>
          <w:sz w:val="24"/>
        </w:rPr>
      </w:pPr>
    </w:p>
    <w:p>
      <w:pPr>
        <w:pStyle w:val="4"/>
        <w:adjustRightInd w:val="0"/>
        <w:snapToGrid w:val="0"/>
        <w:spacing w:after="0" w:line="360" w:lineRule="auto"/>
        <w:ind w:firstLine="422" w:firstLineChars="200"/>
        <w:rPr>
          <w:rFonts w:hint="eastAsia" w:hAnsi="宋体" w:cs="宋体"/>
          <w:b/>
          <w:bCs/>
          <w:color w:val="000000"/>
          <w:sz w:val="21"/>
          <w:szCs w:val="21"/>
        </w:rPr>
      </w:pPr>
      <w:r>
        <w:rPr>
          <w:rFonts w:hint="eastAsia" w:hAnsi="宋体" w:cs="宋体"/>
          <w:b/>
          <w:bCs/>
          <w:color w:val="000000"/>
          <w:sz w:val="21"/>
          <w:szCs w:val="21"/>
        </w:rPr>
        <w:t>一、项目名称</w:t>
      </w:r>
    </w:p>
    <w:p>
      <w:pPr>
        <w:pStyle w:val="4"/>
        <w:adjustRightInd w:val="0"/>
        <w:snapToGrid w:val="0"/>
        <w:spacing w:after="0" w:line="360" w:lineRule="auto"/>
        <w:ind w:firstLineChars="200"/>
        <w:rPr>
          <w:rFonts w:hAnsi="宋体" w:cs="仿宋_GB2312"/>
          <w:color w:val="000000"/>
          <w:sz w:val="21"/>
          <w:szCs w:val="21"/>
        </w:rPr>
      </w:pPr>
      <w:r>
        <w:rPr>
          <w:rFonts w:hint="eastAsia" w:hAnsi="宋体" w:cs="仿宋_GB2312"/>
          <w:color w:val="000000"/>
          <w:sz w:val="21"/>
          <w:szCs w:val="21"/>
        </w:rPr>
        <w:t>犍为县2022年度自然资源统一确权登记工作作业单位采购项目</w:t>
      </w:r>
    </w:p>
    <w:p>
      <w:pPr>
        <w:pStyle w:val="4"/>
        <w:adjustRightInd w:val="0"/>
        <w:snapToGrid w:val="0"/>
        <w:spacing w:after="0" w:line="360" w:lineRule="auto"/>
        <w:ind w:firstLine="422" w:firstLineChars="200"/>
        <w:rPr>
          <w:rFonts w:hint="eastAsia" w:hAnsi="宋体" w:cs="宋体"/>
          <w:b/>
          <w:bCs/>
          <w:color w:val="000000"/>
          <w:sz w:val="21"/>
          <w:szCs w:val="21"/>
        </w:rPr>
      </w:pPr>
      <w:r>
        <w:rPr>
          <w:rFonts w:hint="eastAsia" w:hAnsi="宋体" w:cs="宋体"/>
          <w:b/>
          <w:bCs/>
          <w:color w:val="000000"/>
          <w:sz w:val="21"/>
          <w:szCs w:val="21"/>
        </w:rPr>
        <w:t>二、项目要求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  <w:lang w:val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（一）项目工作内容；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</w:rPr>
      </w:pPr>
      <w:r>
        <w:rPr>
          <w:rFonts w:hint="eastAsia" w:ascii="宋体" w:hAnsi="宋体" w:cs="仿宋_GB2312"/>
          <w:color w:val="000000"/>
          <w:sz w:val="21"/>
          <w:szCs w:val="21"/>
        </w:rPr>
        <w:t>1.按照党中央、国务院关于生态文明建设的决策部署,落实《自然资源部 财政部 生态环境部 水利部 国家林业和草原局关于印发〈自然资源统一确权登记暂行办法〉的通知》(自然资发〔2019〕116号)和</w:t>
      </w: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省政府《关于印发四川省自然资源统一确权登记总体工作方案的通知》（川府发[2019]35号）</w:t>
      </w:r>
      <w:r>
        <w:rPr>
          <w:rFonts w:hint="eastAsia" w:ascii="宋体" w:hAnsi="宋体" w:cs="仿宋_GB2312"/>
          <w:color w:val="000000"/>
          <w:sz w:val="21"/>
          <w:szCs w:val="21"/>
        </w:rPr>
        <w:t>要求,开展我县重点区域内2022年度自然资源统一确权登记工作。主要涉及沐溪河、越溪河、百支溪、金鹅溪、石头溪、月咡坝水库、翻身水库、七二水库8个项目。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</w:rPr>
      </w:pPr>
      <w:r>
        <w:rPr>
          <w:rFonts w:hint="eastAsia" w:ascii="宋体" w:hAnsi="宋体" w:cs="仿宋_GB2312"/>
          <w:color w:val="000000"/>
          <w:sz w:val="21"/>
          <w:szCs w:val="21"/>
        </w:rPr>
        <w:t>2.采用2000国家大地坐标系，1985高程精准，用不低于1:5000调查比例尺，依据第三次全国国土调查、自然资源专项调查等成果，以及集体土地所有权、国有土地使用权等不动产登记成果，按相关要求划定登记单位界限，收集整理国土空间规划明确的用途、划定的生态保护红线等管制要求及其他特殊保护规定或政策性文件，开展地籍调查，通过确权登记，明确登记单元内各类自然资源的数量、质量、种类、分布等自然情况，所有权主体、所有权代表行使主体或者代理行使主体及权利内容等权属状况，并关联公共管制要求等信息，建立自然资源地籍调查数据库。根据审核反馈意见修改完善成果，协助完成登薄发证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仿宋_GB2312"/>
          <w:color w:val="000000"/>
          <w:sz w:val="21"/>
          <w:szCs w:val="21"/>
          <w:lang w:eastAsia="zh-CN"/>
        </w:rPr>
      </w:pPr>
      <w:r>
        <w:rPr>
          <w:rFonts w:hint="eastAsia" w:ascii="宋体" w:hAnsi="宋体" w:cs="仿宋_GB2312"/>
          <w:color w:val="000000"/>
          <w:sz w:val="21"/>
          <w:szCs w:val="21"/>
        </w:rPr>
        <w:t>（</w:t>
      </w: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二</w:t>
      </w:r>
      <w:r>
        <w:rPr>
          <w:rFonts w:hint="eastAsia" w:ascii="宋体" w:hAnsi="宋体" w:cs="仿宋_GB2312"/>
          <w:color w:val="000000"/>
          <w:sz w:val="21"/>
          <w:szCs w:val="21"/>
        </w:rPr>
        <w:t>）</w:t>
      </w: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需提交成果</w:t>
      </w:r>
      <w:r>
        <w:rPr>
          <w:rFonts w:hint="eastAsia" w:ascii="宋体" w:hAnsi="宋体" w:cs="仿宋_GB2312"/>
          <w:color w:val="000000"/>
          <w:sz w:val="21"/>
          <w:szCs w:val="21"/>
        </w:rPr>
        <w:t>（</w:t>
      </w: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包含但不限于以下成果</w:t>
      </w:r>
      <w:r>
        <w:rPr>
          <w:rFonts w:hint="eastAsia" w:ascii="宋体" w:hAnsi="宋体" w:cs="仿宋_GB2312"/>
          <w:color w:val="000000"/>
          <w:sz w:val="21"/>
          <w:szCs w:val="21"/>
        </w:rPr>
        <w:t>）</w:t>
      </w:r>
      <w:r>
        <w:rPr>
          <w:rFonts w:hint="eastAsia" w:ascii="宋体" w:hAnsi="宋体" w:cs="仿宋_GB2312"/>
          <w:color w:val="000000"/>
          <w:sz w:val="21"/>
          <w:szCs w:val="21"/>
          <w:lang w:eastAsia="zh-CN"/>
        </w:rPr>
        <w:t>：</w:t>
      </w:r>
      <w:r>
        <w:rPr>
          <w:rFonts w:hint="eastAsia" w:ascii="宋体" w:hAnsi="宋体" w:cs="仿宋_GB2312"/>
          <w:b/>
          <w:bCs/>
          <w:color w:val="000000"/>
          <w:sz w:val="21"/>
          <w:szCs w:val="21"/>
          <w:lang w:val="en-US" w:eastAsia="zh-CN"/>
        </w:rPr>
        <w:t>（实质性要求）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</w:rPr>
      </w:pPr>
      <w:r>
        <w:rPr>
          <w:rFonts w:hint="eastAsia" w:ascii="宋体" w:hAnsi="宋体" w:cs="仿宋_GB2312"/>
          <w:color w:val="000000"/>
          <w:sz w:val="21"/>
          <w:szCs w:val="21"/>
        </w:rPr>
        <w:t>1.外业调查成果：地籍图、登记单元图等图件，自然资源地籍调查表、调查成果核实表、成果审核表等涉及表格；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</w:rPr>
      </w:pPr>
      <w:r>
        <w:rPr>
          <w:rFonts w:hint="eastAsia" w:ascii="宋体" w:hAnsi="宋体" w:cs="仿宋_GB2312"/>
          <w:color w:val="000000"/>
          <w:sz w:val="21"/>
          <w:szCs w:val="21"/>
        </w:rPr>
        <w:t>2.数据库成果：犍为县2022年度自然资源确权登记数据库；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</w:rPr>
      </w:pPr>
      <w:r>
        <w:rPr>
          <w:rFonts w:hint="eastAsia" w:ascii="宋体" w:hAnsi="宋体" w:cs="仿宋_GB2312"/>
          <w:color w:val="000000"/>
          <w:sz w:val="21"/>
          <w:szCs w:val="21"/>
        </w:rPr>
        <w:t>3.文字报告成果：成果报告，工作总结报告；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</w:rPr>
      </w:pPr>
      <w:r>
        <w:rPr>
          <w:rFonts w:hint="eastAsia" w:ascii="宋体" w:hAnsi="宋体" w:cs="仿宋_GB2312"/>
          <w:color w:val="000000"/>
          <w:sz w:val="21"/>
          <w:szCs w:val="21"/>
        </w:rPr>
        <w:t>4.部、省、市要求提交的自然资源确权登记成果上报所需的其他成果。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</w:rPr>
      </w:pPr>
      <w:r>
        <w:rPr>
          <w:rFonts w:hint="eastAsia" w:ascii="宋体" w:hAnsi="宋体" w:cs="仿宋_GB2312"/>
          <w:color w:val="000000"/>
          <w:sz w:val="21"/>
          <w:szCs w:val="21"/>
        </w:rPr>
        <w:t>所提交成果达到部、省自然资源管理部门关于成果提交要求并通过省厅检查后，提供电子光盘2套。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</w:rPr>
      </w:pPr>
      <w:r>
        <w:rPr>
          <w:rFonts w:hint="eastAsia" w:ascii="宋体" w:hAnsi="宋体" w:cs="仿宋_GB2312"/>
          <w:color w:val="000000"/>
          <w:sz w:val="21"/>
          <w:szCs w:val="21"/>
        </w:rPr>
        <w:t>5.本项目所有成果知识产权均归采购人所有，如涉及任何纠纷，均由</w:t>
      </w:r>
      <w:r>
        <w:rPr>
          <w:rFonts w:hint="eastAsia" w:ascii="宋体" w:hAnsi="宋体" w:cs="仿宋_GB2312"/>
          <w:color w:val="000000"/>
          <w:sz w:val="21"/>
          <w:szCs w:val="21"/>
          <w:lang w:eastAsia="zh-CN"/>
        </w:rPr>
        <w:t>成交</w:t>
      </w:r>
      <w:r>
        <w:rPr>
          <w:rFonts w:hint="eastAsia" w:ascii="宋体" w:hAnsi="宋体" w:cs="仿宋_GB2312"/>
          <w:color w:val="000000"/>
          <w:sz w:val="21"/>
          <w:szCs w:val="21"/>
        </w:rPr>
        <w:t>单位承担全部责任。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  <w:lang w:val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（三）技术规范和标准；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  <w:lang w:val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1.《中华人民共和国测绘法》；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  <w:lang w:val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2.《中华人民共和国土地管理法》；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  <w:lang w:val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3.《土地权属争议调查处理办法》（国土资源部令第17号，2003年1月3日）；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  <w:lang w:val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4.《土地利用现状分类》GB/T 21010-2017；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  <w:lang w:val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5.《国土空间调查、规划、用途管制用地用海分类指南（试行）》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  <w:lang w:val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6.《土地利用数据库标准》TD/T 1016；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  <w:lang w:val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7.《第三次全国国土调查技术规范》TD/T 1055-2019；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  <w:lang w:val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8.《四川省自然资源统一确权登记总体工作方案》；</w:t>
      </w:r>
    </w:p>
    <w:p>
      <w:pPr>
        <w:spacing w:line="360" w:lineRule="auto"/>
        <w:ind w:firstLine="420" w:firstLineChars="200"/>
        <w:rPr>
          <w:rFonts w:ascii="宋体" w:hAnsi="宋体" w:cs="仿宋_GB2312"/>
          <w:color w:val="000000"/>
          <w:sz w:val="21"/>
          <w:szCs w:val="21"/>
          <w:lang w:val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zh-CN"/>
        </w:rPr>
        <w:t>9.如有最新要求及技术规范，需按最新要求及技术规范完成。</w:t>
      </w:r>
    </w:p>
    <w:p>
      <w:pPr>
        <w:spacing w:line="360" w:lineRule="auto"/>
        <w:ind w:firstLine="422" w:firstLineChars="200"/>
        <w:rPr>
          <w:rFonts w:hint="default" w:ascii="宋体" w:hAnsi="宋体" w:eastAsia="宋体" w:cs="仿宋_GB2312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仿宋_GB2312"/>
          <w:b/>
          <w:bCs/>
          <w:color w:val="000000"/>
          <w:sz w:val="21"/>
          <w:szCs w:val="21"/>
        </w:rPr>
        <w:t>三、商务及其他要求</w:t>
      </w:r>
      <w:r>
        <w:rPr>
          <w:rFonts w:hint="eastAsia" w:ascii="宋体" w:hAnsi="宋体" w:cs="仿宋_GB2312"/>
          <w:b/>
          <w:bCs/>
          <w:color w:val="000000"/>
          <w:sz w:val="21"/>
          <w:szCs w:val="21"/>
          <w:lang w:val="en-US" w:eastAsia="zh-CN"/>
        </w:rPr>
        <w:t>:（实质性要求）</w:t>
      </w:r>
    </w:p>
    <w:p>
      <w:pPr>
        <w:spacing w:line="360" w:lineRule="auto"/>
        <w:ind w:firstLine="210" w:firstLineChars="1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（一）其他要求；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1.拟派本项目人员要求：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（1）项目负责人1人，具备测绘类高级及以上职</w:t>
      </w:r>
      <w:r>
        <w:rPr>
          <w:rFonts w:hint="eastAsia" w:ascii="宋体" w:hAnsi="宋体" w:cs="仿宋_GB2312"/>
          <w:kern w:val="1"/>
          <w:sz w:val="21"/>
          <w:szCs w:val="21"/>
          <w:lang w:eastAsia="zh-CN"/>
        </w:rPr>
        <w:t>称或</w:t>
      </w:r>
      <w:r>
        <w:rPr>
          <w:rFonts w:hint="eastAsia" w:ascii="宋体" w:hAnsi="宋体" w:cs="仿宋_GB2312"/>
          <w:kern w:val="1"/>
          <w:sz w:val="21"/>
          <w:szCs w:val="21"/>
        </w:rPr>
        <w:t>注册测绘师资格。</w:t>
      </w:r>
    </w:p>
    <w:p>
      <w:pPr>
        <w:spacing w:line="360" w:lineRule="auto"/>
        <w:ind w:firstLine="420" w:firstLineChars="200"/>
        <w:rPr>
          <w:rFonts w:hint="eastAsia"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（2）技术人员10人，具备测绘类中级及以上职称和测绘质检员证。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以上人员需提供本单位最近连续6个月的社保证明。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2.在本项目人员中固定2名内业作业人员完成我县2022年度自然资源确权登记工作任务；至少6名外业技术人员参与我县2022年度自然资源确权登记外业调查测绘工作（同时根据项目推进情况需随时增加人员）。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3.按照上级自然资源主管部门要求，指派项目负责人参与省、市核查工作；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4.在基于上述内容下，以自然资源部、四川省自然资源厅关于2022年度自然资源确权登记的实施方案及各项规定为准。在编制成果过程中，如果国家有关部门颁布了新的技术标准及规范，应当采用新的标准和规范。</w:t>
      </w:r>
    </w:p>
    <w:p>
      <w:pPr>
        <w:pStyle w:val="3"/>
        <w:tabs>
          <w:tab w:val="left" w:pos="600"/>
        </w:tabs>
        <w:adjustRightInd w:val="0"/>
        <w:snapToGrid w:val="0"/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5.对有关涉密的图件等有保密要求的各种介质，成交供应商应当负有保密责任，必要时应与采购人签订保密协议。</w:t>
      </w:r>
    </w:p>
    <w:p>
      <w:pPr>
        <w:pStyle w:val="2"/>
        <w:spacing w:line="360" w:lineRule="auto"/>
        <w:ind w:left="63" w:right="63" w:firstLine="420" w:firstLineChars="200"/>
        <w:jc w:val="both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6.提供售后服务时间两年。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（二）完工工期；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2022年10月31日前完成资料收集、图件制作等前期准备工作；2022年11月30日前，完成外业调查测绘工作；2022年12月31日前完成我县2022年度自然资源确权登记数据库建设。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具体成果提交及其他工作完成时间以最终国家、省、市要求时间为准。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（三）付款方式；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1.项目经费为包干价，包括成交供应商完成此项工作所需仪器设备、软件、资料收集整理、工作底图制作、成果印制等全部费用。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2.项目经费支付方式：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按进度付款。项目进场完成外业调查测绘后支付合同总金额的50%；完成数据库建设后支付至合同总金额的100%。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（四）履约方式；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1.履约保证金：响应川财采［2020］28号文件，本项目不收取履约保证金。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2.履约合同：成交供应商与采购人签订合同后，合同双方应严格执行合同条款，履行合同规定的义务，保证合同的顺利完成。在合同履行过程中，如发生合同纠纷，合同双方应按照《民法典》的有关规定进行处理。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（五）政府采购项目验收方法和标准</w:t>
      </w:r>
    </w:p>
    <w:p>
      <w:pPr>
        <w:spacing w:line="360" w:lineRule="auto"/>
        <w:ind w:firstLine="420" w:firstLineChars="200"/>
        <w:rPr>
          <w:rFonts w:ascii="宋体" w:hAnsi="宋体" w:cs="仿宋_GB2312"/>
          <w:kern w:val="1"/>
          <w:sz w:val="21"/>
          <w:szCs w:val="21"/>
        </w:rPr>
      </w:pPr>
      <w:r>
        <w:rPr>
          <w:rFonts w:hint="eastAsia" w:ascii="宋体" w:hAnsi="宋体" w:cs="仿宋_GB2312"/>
          <w:kern w:val="1"/>
          <w:sz w:val="21"/>
          <w:szCs w:val="21"/>
        </w:rPr>
        <w:t>严格按照政府采购相关法律法规以及《财政部关于进一步加强政府采购需求和履约验收管理的指导意见》（财库〔2016〕205号）、《乐山市政府采购项目需求论证和履约验收管理实施细则》（乐市财政采〔2018〕16号）的要求、采购文件的质量要求和技术指标、成交供应商的响应文件及承诺以及合同约定标准进行验收。</w:t>
      </w:r>
    </w:p>
    <w:p>
      <w:pPr>
        <w:jc w:val="center"/>
        <w:outlineLvl w:val="0"/>
        <w:rPr>
          <w:rFonts w:ascii="宋体" w:hAnsi="宋体" w:cs="宋体"/>
          <w:b/>
          <w:bCs/>
          <w:position w:val="-1"/>
          <w:sz w:val="40"/>
          <w:szCs w:val="40"/>
        </w:rPr>
      </w:pPr>
    </w:p>
    <w:p>
      <w:pPr>
        <w:pStyle w:val="2"/>
        <w:rPr>
          <w:rFonts w:ascii="宋体" w:hAnsi="宋体" w:cs="宋体"/>
          <w:b/>
          <w:bCs/>
          <w:position w:val="-1"/>
          <w:sz w:val="40"/>
          <w:szCs w:val="40"/>
        </w:rPr>
      </w:pPr>
    </w:p>
    <w:p>
      <w:pPr>
        <w:spacing w:line="360" w:lineRule="auto"/>
        <w:ind w:firstLine="442" w:firstLineChars="200"/>
        <w:rPr>
          <w:rFonts w:ascii="宋体" w:hAnsi="宋体"/>
          <w:b/>
          <w:sz w:val="22"/>
        </w:rPr>
      </w:pPr>
      <w:r>
        <w:rPr>
          <w:rFonts w:hint="eastAsia" w:ascii="宋体" w:hAnsi="宋体"/>
          <w:b/>
          <w:sz w:val="22"/>
        </w:rPr>
        <w:t>备注：采购需求中标注实质性要求</w:t>
      </w:r>
      <w:r>
        <w:rPr>
          <w:rFonts w:hint="eastAsia" w:ascii="宋体" w:hAnsi="宋体"/>
          <w:b/>
          <w:sz w:val="22"/>
          <w:lang w:eastAsia="zh-CN"/>
        </w:rPr>
        <w:t>的</w:t>
      </w:r>
      <w:r>
        <w:rPr>
          <w:rFonts w:hint="eastAsia" w:ascii="宋体" w:hAnsi="宋体"/>
          <w:b/>
          <w:sz w:val="22"/>
        </w:rPr>
        <w:t>须在技术服务部分作出响应（经谈判改变了实质性内容的除外），其他非实质内容可不作响应但须接受并按其内容进行履约。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65888"/>
    <w:rsid w:val="7F0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  <w:style w:type="paragraph" w:styleId="3">
    <w:name w:val="Body Text Indent"/>
    <w:basedOn w:val="1"/>
    <w:uiPriority w:val="0"/>
    <w:pPr>
      <w:ind w:firstLine="630"/>
    </w:pPr>
    <w:rPr>
      <w:sz w:val="32"/>
      <w:szCs w:val="20"/>
    </w:rPr>
  </w:style>
  <w:style w:type="paragraph" w:styleId="4">
    <w:name w:val="Body Text First Indent"/>
    <w:basedOn w:val="2"/>
    <w:qFormat/>
    <w:uiPriority w:val="99"/>
    <w:pPr>
      <w:adjustRightInd/>
      <w:spacing w:after="120" w:line="240" w:lineRule="auto"/>
      <w:ind w:left="0" w:leftChars="0" w:right="0" w:rightChars="0" w:firstLine="420" w:firstLineChars="100"/>
      <w:jc w:val="both"/>
      <w:textAlignment w:val="auto"/>
    </w:pPr>
    <w:rPr>
      <w:rFonts w:ascii="宋体"/>
      <w:color w:val="FF0000"/>
      <w:kern w:val="2"/>
      <w:sz w:val="34"/>
    </w:rPr>
  </w:style>
  <w:style w:type="paragraph" w:customStyle="1" w:styleId="7">
    <w:name w:val="样式  + 首行缩进:  2 字符"/>
    <w:basedOn w:val="1"/>
    <w:qFormat/>
    <w:uiPriority w:val="0"/>
    <w:pPr>
      <w:widowControl w:val="0"/>
      <w:adjustRightInd w:val="0"/>
      <w:spacing w:line="360" w:lineRule="auto"/>
      <w:ind w:firstLine="524" w:firstLineChars="200"/>
      <w:jc w:val="both"/>
    </w:pPr>
    <w:rPr>
      <w:rFonts w:ascii="宋体" w:hAnsi="宋体"/>
      <w:spacing w:val="1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2022-09-16T02:54:00Z</dcterms:created>
  <dc:creator>Administrator</dc:creator>
  <cp:lastModifiedBy>Administrator</cp:lastModifiedBy>
  <dcterms:modified xsi:type="dcterms:W3CDTF">2022-09-16T02:55:28Z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