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firstLine="236" w:firstLineChars="98"/>
        <w:rPr>
          <w:rFonts w:ascii="仿宋" w:hAnsi="仿宋" w:eastAsia="仿宋"/>
          <w:sz w:val="24"/>
          <w:szCs w:val="24"/>
        </w:rPr>
      </w:pPr>
      <w:bookmarkStart w:id="1" w:name="_GoBack"/>
      <w:bookmarkEnd w:id="1"/>
      <w:r>
        <w:rPr>
          <w:rFonts w:hint="eastAsia" w:ascii="仿宋" w:hAnsi="仿宋" w:eastAsia="仿宋"/>
          <w:sz w:val="24"/>
          <w:szCs w:val="24"/>
        </w:rPr>
        <w:t>一</w:t>
      </w:r>
      <w:r>
        <w:rPr>
          <w:rFonts w:ascii="仿宋" w:hAnsi="仿宋" w:eastAsia="仿宋"/>
          <w:sz w:val="24"/>
          <w:szCs w:val="24"/>
        </w:rPr>
        <w:t>、</w:t>
      </w:r>
      <w:r>
        <w:rPr>
          <w:rFonts w:hint="eastAsia" w:ascii="仿宋" w:hAnsi="仿宋" w:eastAsia="仿宋"/>
          <w:sz w:val="24"/>
          <w:szCs w:val="24"/>
        </w:rPr>
        <w:t>项目概述</w:t>
      </w:r>
    </w:p>
    <w:p>
      <w:pPr>
        <w:spacing w:after="156" w:afterLines="50" w:line="420" w:lineRule="exact"/>
        <w:ind w:firstLine="464" w:firstLineChars="200"/>
        <w:rPr>
          <w:rFonts w:ascii="仿宋" w:hAnsi="仿宋" w:eastAsia="仿宋"/>
          <w:sz w:val="24"/>
          <w:szCs w:val="28"/>
        </w:rPr>
      </w:pPr>
      <w:bookmarkStart w:id="0" w:name="_Toc217446095"/>
      <w:r>
        <w:rPr>
          <w:rFonts w:hint="eastAsia" w:ascii="仿宋" w:hAnsi="仿宋" w:eastAsia="仿宋"/>
          <w:spacing w:val="-4"/>
          <w:sz w:val="24"/>
        </w:rPr>
        <w:t>本项目</w:t>
      </w:r>
      <w:r>
        <w:rPr>
          <w:rFonts w:ascii="仿宋" w:hAnsi="仿宋" w:eastAsia="仿宋"/>
          <w:spacing w:val="-4"/>
          <w:sz w:val="24"/>
        </w:rPr>
        <w:t>共1</w:t>
      </w:r>
      <w:r>
        <w:rPr>
          <w:rFonts w:hint="eastAsia" w:ascii="仿宋" w:hAnsi="仿宋" w:eastAsia="仿宋"/>
          <w:spacing w:val="-4"/>
          <w:sz w:val="24"/>
        </w:rPr>
        <w:t>个</w:t>
      </w:r>
      <w:r>
        <w:rPr>
          <w:rFonts w:ascii="仿宋" w:hAnsi="仿宋" w:eastAsia="仿宋"/>
          <w:spacing w:val="-4"/>
          <w:sz w:val="24"/>
        </w:rPr>
        <w:t>包</w:t>
      </w:r>
      <w:r>
        <w:rPr>
          <w:rFonts w:hint="eastAsia" w:ascii="仿宋" w:hAnsi="仿宋" w:eastAsia="仿宋"/>
          <w:spacing w:val="-4"/>
          <w:sz w:val="24"/>
        </w:rPr>
        <w:t>：</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34"/>
        <w:gridCol w:w="811"/>
        <w:gridCol w:w="818"/>
        <w:gridCol w:w="818"/>
        <w:gridCol w:w="816"/>
        <w:gridCol w:w="810"/>
        <w:gridCol w:w="810"/>
        <w:gridCol w:w="810"/>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包号</w:t>
            </w:r>
          </w:p>
        </w:tc>
        <w:tc>
          <w:tcPr>
            <w:tcW w:w="1334"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标的名称</w:t>
            </w:r>
          </w:p>
        </w:tc>
        <w:tc>
          <w:tcPr>
            <w:tcW w:w="811"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★采购数量</w:t>
            </w:r>
          </w:p>
        </w:tc>
        <w:tc>
          <w:tcPr>
            <w:tcW w:w="818"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单位</w:t>
            </w:r>
          </w:p>
        </w:tc>
        <w:tc>
          <w:tcPr>
            <w:tcW w:w="818"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采购预算（万元）</w:t>
            </w:r>
          </w:p>
        </w:tc>
        <w:tc>
          <w:tcPr>
            <w:tcW w:w="816"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最高限价（万元）</w:t>
            </w:r>
          </w:p>
        </w:tc>
        <w:tc>
          <w:tcPr>
            <w:tcW w:w="810"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是否属于优先采购节能产品</w:t>
            </w:r>
          </w:p>
        </w:tc>
        <w:tc>
          <w:tcPr>
            <w:tcW w:w="810"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是否属于强制采购节能产品</w:t>
            </w:r>
          </w:p>
        </w:tc>
        <w:tc>
          <w:tcPr>
            <w:tcW w:w="810"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是否属于优先采购环境标志产品</w:t>
            </w:r>
          </w:p>
        </w:tc>
        <w:tc>
          <w:tcPr>
            <w:tcW w:w="811"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 w:type="dxa"/>
            <w:vAlign w:val="center"/>
          </w:tcPr>
          <w:p>
            <w:pPr>
              <w:spacing w:after="0" w:line="360" w:lineRule="auto"/>
              <w:jc w:val="center"/>
              <w:rPr>
                <w:rFonts w:ascii="仿宋" w:hAnsi="仿宋" w:eastAsia="仿宋"/>
                <w:sz w:val="24"/>
                <w:szCs w:val="28"/>
              </w:rPr>
            </w:pPr>
            <w:r>
              <w:rPr>
                <w:rFonts w:ascii="仿宋" w:hAnsi="仿宋" w:eastAsia="仿宋"/>
                <w:sz w:val="24"/>
                <w:szCs w:val="28"/>
              </w:rPr>
              <w:t>1</w:t>
            </w:r>
          </w:p>
        </w:tc>
        <w:tc>
          <w:tcPr>
            <w:tcW w:w="1334"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血栓弹力图</w:t>
            </w:r>
          </w:p>
        </w:tc>
        <w:tc>
          <w:tcPr>
            <w:tcW w:w="811"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5</w:t>
            </w:r>
          </w:p>
        </w:tc>
        <w:tc>
          <w:tcPr>
            <w:tcW w:w="818"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套</w:t>
            </w:r>
          </w:p>
        </w:tc>
        <w:tc>
          <w:tcPr>
            <w:tcW w:w="818"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5</w:t>
            </w:r>
          </w:p>
        </w:tc>
        <w:tc>
          <w:tcPr>
            <w:tcW w:w="816"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4</w:t>
            </w:r>
          </w:p>
        </w:tc>
        <w:tc>
          <w:tcPr>
            <w:tcW w:w="810"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否</w:t>
            </w:r>
          </w:p>
        </w:tc>
        <w:tc>
          <w:tcPr>
            <w:tcW w:w="810"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否</w:t>
            </w:r>
          </w:p>
        </w:tc>
        <w:tc>
          <w:tcPr>
            <w:tcW w:w="810" w:type="dxa"/>
            <w:vAlign w:val="center"/>
          </w:tcPr>
          <w:p>
            <w:pPr>
              <w:spacing w:after="0" w:line="360" w:lineRule="auto"/>
              <w:jc w:val="center"/>
              <w:rPr>
                <w:rFonts w:ascii="仿宋" w:hAnsi="仿宋" w:eastAsia="仿宋"/>
                <w:b/>
                <w:bCs/>
                <w:sz w:val="24"/>
                <w:szCs w:val="28"/>
              </w:rPr>
            </w:pPr>
            <w:r>
              <w:rPr>
                <w:rFonts w:hint="eastAsia" w:ascii="仿宋" w:hAnsi="仿宋" w:eastAsia="仿宋"/>
                <w:sz w:val="24"/>
                <w:szCs w:val="28"/>
              </w:rPr>
              <w:t>否</w:t>
            </w:r>
          </w:p>
        </w:tc>
        <w:tc>
          <w:tcPr>
            <w:tcW w:w="811" w:type="dxa"/>
            <w:vAlign w:val="center"/>
          </w:tcPr>
          <w:p>
            <w:pPr>
              <w:spacing w:after="0" w:line="360" w:lineRule="auto"/>
              <w:jc w:val="center"/>
              <w:rPr>
                <w:rFonts w:ascii="仿宋" w:hAnsi="仿宋" w:eastAsia="仿宋"/>
                <w:sz w:val="24"/>
                <w:szCs w:val="28"/>
              </w:rPr>
            </w:pPr>
            <w:r>
              <w:rPr>
                <w:rFonts w:hint="eastAsia" w:ascii="仿宋" w:hAnsi="仿宋" w:eastAsia="仿宋"/>
                <w:sz w:val="24"/>
                <w:szCs w:val="28"/>
              </w:rPr>
              <w:t>工业（制造业）</w:t>
            </w:r>
          </w:p>
        </w:tc>
      </w:tr>
    </w:tbl>
    <w:p>
      <w:pPr>
        <w:pStyle w:val="2"/>
        <w:spacing w:line="400" w:lineRule="exact"/>
        <w:ind w:firstLine="236" w:firstLineChars="98"/>
        <w:rPr>
          <w:rFonts w:ascii="仿宋" w:hAnsi="仿宋" w:eastAsia="仿宋"/>
          <w:sz w:val="24"/>
          <w:szCs w:val="24"/>
        </w:rPr>
      </w:pPr>
      <w:r>
        <w:rPr>
          <w:rFonts w:hint="eastAsia" w:ascii="仿宋" w:hAnsi="仿宋" w:eastAsia="仿宋"/>
          <w:sz w:val="24"/>
        </w:rPr>
        <w:t>★</w:t>
      </w:r>
      <w:r>
        <w:rPr>
          <w:rFonts w:hint="eastAsia" w:ascii="仿宋" w:hAnsi="仿宋" w:eastAsia="仿宋"/>
          <w:sz w:val="24"/>
          <w:szCs w:val="24"/>
        </w:rPr>
        <w:t>二</w:t>
      </w:r>
      <w:r>
        <w:rPr>
          <w:rFonts w:ascii="仿宋" w:hAnsi="仿宋" w:eastAsia="仿宋"/>
          <w:sz w:val="24"/>
          <w:szCs w:val="24"/>
        </w:rPr>
        <w:t>、</w:t>
      </w:r>
      <w:r>
        <w:rPr>
          <w:rFonts w:hint="eastAsia" w:ascii="仿宋" w:hAnsi="仿宋" w:eastAsia="仿宋"/>
          <w:sz w:val="24"/>
          <w:szCs w:val="24"/>
        </w:rPr>
        <w:t xml:space="preserve"> 商务要求</w:t>
      </w:r>
    </w:p>
    <w:p>
      <w:pPr>
        <w:pStyle w:val="3"/>
        <w:spacing w:line="400" w:lineRule="exact"/>
        <w:ind w:firstLine="480"/>
        <w:rPr>
          <w:rFonts w:ascii="仿宋" w:hAnsi="仿宋" w:eastAsia="仿宋"/>
          <w:bCs/>
          <w:sz w:val="24"/>
        </w:rPr>
      </w:pPr>
      <w:r>
        <w:rPr>
          <w:rFonts w:hint="eastAsia" w:ascii="仿宋" w:hAnsi="仿宋" w:eastAsia="仿宋"/>
          <w:bCs/>
          <w:sz w:val="24"/>
        </w:rPr>
        <w:t xml:space="preserve">（一）付款方式：中标人须在合同签订生效之日起的7个工作日内，按合同总价10%支付履约保证金，安装调试并经采购人验收合格后，中标人须向采购人出具合法有效完整的完税发票及凭证资料进行支付结算，采购人支付合同总价的100%货款给中标人。 </w:t>
      </w:r>
    </w:p>
    <w:p>
      <w:pPr>
        <w:pStyle w:val="3"/>
        <w:spacing w:line="400" w:lineRule="exact"/>
        <w:ind w:firstLine="480"/>
        <w:rPr>
          <w:rFonts w:ascii="仿宋" w:hAnsi="仿宋" w:eastAsia="仿宋"/>
          <w:bCs/>
          <w:sz w:val="24"/>
        </w:rPr>
      </w:pPr>
      <w:r>
        <w:rPr>
          <w:rFonts w:hint="eastAsia" w:ascii="仿宋" w:hAnsi="仿宋" w:eastAsia="仿宋"/>
          <w:bCs/>
          <w:sz w:val="24"/>
        </w:rPr>
        <w:t xml:space="preserve">（二）履约保证金的退还：货物自验收合格之日满1年，采购人接到中标人付款申请后30个工作日内，采购人一次性退还中标人的履约保证金。 </w:t>
      </w:r>
    </w:p>
    <w:p>
      <w:pPr>
        <w:pStyle w:val="3"/>
        <w:spacing w:line="400" w:lineRule="exact"/>
        <w:ind w:firstLine="480"/>
        <w:rPr>
          <w:rFonts w:ascii="仿宋" w:hAnsi="仿宋" w:eastAsia="仿宋"/>
          <w:bCs/>
          <w:sz w:val="24"/>
        </w:rPr>
      </w:pPr>
      <w:r>
        <w:rPr>
          <w:rFonts w:hint="eastAsia" w:ascii="仿宋" w:hAnsi="仿宋" w:eastAsia="仿宋"/>
          <w:bCs/>
          <w:sz w:val="24"/>
        </w:rPr>
        <w:t>（三）交货时间：合同签订后90天内，中标人须将所有货物运抵现场安装调试完毕并交付采购人验收，具体时间可由双方在合同中约定。</w:t>
      </w:r>
    </w:p>
    <w:p>
      <w:pPr>
        <w:pStyle w:val="3"/>
        <w:spacing w:line="400" w:lineRule="exact"/>
        <w:ind w:firstLine="480"/>
        <w:rPr>
          <w:rFonts w:ascii="仿宋" w:hAnsi="仿宋" w:eastAsia="仿宋"/>
          <w:bCs/>
          <w:sz w:val="24"/>
        </w:rPr>
      </w:pPr>
      <w:r>
        <w:rPr>
          <w:rFonts w:hint="eastAsia" w:ascii="仿宋" w:hAnsi="仿宋" w:eastAsia="仿宋"/>
          <w:bCs/>
          <w:sz w:val="24"/>
        </w:rPr>
        <w:t xml:space="preserve">（四）由于中标人的原因未能按时供货的，每拖延一天，须向采购人支付合同总额千分之三的违约金；如超过供货期90天，采购人有权解除合同，履约保证金不予退还。 </w:t>
      </w:r>
    </w:p>
    <w:p>
      <w:pPr>
        <w:pStyle w:val="3"/>
        <w:spacing w:line="400" w:lineRule="exact"/>
        <w:ind w:firstLine="480"/>
        <w:rPr>
          <w:rFonts w:ascii="仿宋" w:hAnsi="仿宋" w:eastAsia="仿宋"/>
          <w:bCs/>
          <w:sz w:val="24"/>
        </w:rPr>
      </w:pPr>
      <w:r>
        <w:rPr>
          <w:rFonts w:hint="eastAsia" w:ascii="仿宋" w:hAnsi="仿宋" w:eastAsia="仿宋"/>
          <w:bCs/>
          <w:sz w:val="24"/>
        </w:rPr>
        <w:t xml:space="preserve">（五）交货地点：四川省人民医院。 </w:t>
      </w:r>
    </w:p>
    <w:p>
      <w:pPr>
        <w:pStyle w:val="3"/>
        <w:spacing w:line="400" w:lineRule="exact"/>
        <w:ind w:firstLine="480"/>
        <w:rPr>
          <w:rFonts w:ascii="仿宋" w:hAnsi="仿宋" w:eastAsia="仿宋"/>
          <w:bCs/>
          <w:sz w:val="24"/>
        </w:rPr>
      </w:pPr>
      <w:r>
        <w:rPr>
          <w:rFonts w:hint="eastAsia" w:ascii="仿宋" w:hAnsi="仿宋" w:eastAsia="仿宋"/>
          <w:bCs/>
          <w:sz w:val="24"/>
        </w:rPr>
        <w:t>（六）售后服务（售后服务涉及费用均包含在投标人的投标报价中）：</w:t>
      </w:r>
    </w:p>
    <w:p>
      <w:pPr>
        <w:pStyle w:val="3"/>
        <w:spacing w:line="400" w:lineRule="exact"/>
        <w:ind w:firstLine="480"/>
        <w:rPr>
          <w:rFonts w:ascii="仿宋" w:hAnsi="仿宋" w:eastAsia="仿宋"/>
          <w:bCs/>
          <w:sz w:val="24"/>
        </w:rPr>
      </w:pPr>
      <w:r>
        <w:rPr>
          <w:rFonts w:ascii="仿宋" w:hAnsi="仿宋" w:eastAsia="仿宋"/>
          <w:bCs/>
          <w:sz w:val="24"/>
        </w:rPr>
        <w:t>1.</w:t>
      </w:r>
      <w:r>
        <w:rPr>
          <w:rFonts w:hint="eastAsia" w:ascii="仿宋" w:hAnsi="仿宋" w:eastAsia="仿宋"/>
          <w:bCs/>
          <w:sz w:val="24"/>
        </w:rPr>
        <w:t>送货上门、安装、调试，并试运行。</w:t>
      </w:r>
    </w:p>
    <w:p>
      <w:pPr>
        <w:pStyle w:val="3"/>
        <w:spacing w:line="400" w:lineRule="exact"/>
        <w:ind w:firstLine="480"/>
        <w:rPr>
          <w:rFonts w:ascii="仿宋" w:hAnsi="仿宋" w:eastAsia="仿宋"/>
          <w:bCs/>
          <w:sz w:val="24"/>
        </w:rPr>
      </w:pPr>
      <w:r>
        <w:rPr>
          <w:rFonts w:ascii="仿宋" w:hAnsi="仿宋" w:eastAsia="仿宋"/>
          <w:bCs/>
          <w:sz w:val="24"/>
        </w:rPr>
        <w:t>2.</w:t>
      </w:r>
      <w:r>
        <w:rPr>
          <w:rFonts w:hint="eastAsia" w:ascii="仿宋" w:hAnsi="仿宋" w:eastAsia="仿宋"/>
          <w:bCs/>
          <w:sz w:val="24"/>
        </w:rPr>
        <w:t>提供培训。保证受训人员能熟练操作，并对该设备能进行日常维护，如未达到，医院有权延后支付合同所约定之付款。</w:t>
      </w:r>
    </w:p>
    <w:p>
      <w:pPr>
        <w:pStyle w:val="3"/>
        <w:spacing w:line="400" w:lineRule="exact"/>
        <w:ind w:firstLine="480"/>
        <w:rPr>
          <w:rFonts w:ascii="仿宋" w:hAnsi="仿宋" w:eastAsia="仿宋"/>
          <w:bCs/>
          <w:sz w:val="24"/>
        </w:rPr>
      </w:pPr>
      <w:r>
        <w:rPr>
          <w:rFonts w:ascii="仿宋" w:hAnsi="仿宋" w:eastAsia="仿宋"/>
          <w:bCs/>
          <w:sz w:val="24"/>
        </w:rPr>
        <w:t>3.</w:t>
      </w:r>
      <w:r>
        <w:rPr>
          <w:rFonts w:hint="eastAsia" w:ascii="仿宋" w:hAnsi="仿宋" w:eastAsia="仿宋"/>
          <w:bCs/>
          <w:sz w:val="24"/>
        </w:rPr>
        <w:t>质保期为验收合格后至少</w:t>
      </w:r>
      <w:r>
        <w:rPr>
          <w:rFonts w:ascii="仿宋" w:hAnsi="仿宋" w:eastAsia="仿宋"/>
          <w:bCs/>
          <w:sz w:val="24"/>
        </w:rPr>
        <w:t>3</w:t>
      </w:r>
      <w:r>
        <w:rPr>
          <w:rFonts w:hint="eastAsia" w:ascii="仿宋" w:hAnsi="仿宋" w:eastAsia="仿宋"/>
          <w:bCs/>
          <w:sz w:val="24"/>
        </w:rPr>
        <w:t>年（合同签订后采购人出具验收报告之日起），范围：整机含所有部件（质保期内涉及维修、产品更换、人工费用等一切费用包含在此次报价中）。</w:t>
      </w:r>
    </w:p>
    <w:p>
      <w:pPr>
        <w:pStyle w:val="3"/>
        <w:spacing w:line="400" w:lineRule="exact"/>
        <w:ind w:firstLine="480"/>
        <w:rPr>
          <w:rFonts w:ascii="仿宋" w:hAnsi="仿宋" w:eastAsia="仿宋"/>
          <w:bCs/>
          <w:sz w:val="24"/>
        </w:rPr>
      </w:pPr>
      <w:r>
        <w:rPr>
          <w:rFonts w:ascii="仿宋" w:hAnsi="仿宋" w:eastAsia="仿宋"/>
          <w:bCs/>
          <w:sz w:val="24"/>
        </w:rPr>
        <w:t>4.</w:t>
      </w:r>
      <w:r>
        <w:rPr>
          <w:rFonts w:hint="eastAsia" w:ascii="仿宋" w:hAnsi="仿宋" w:eastAsia="仿宋"/>
          <w:bCs/>
          <w:sz w:val="24"/>
        </w:rPr>
        <w:t>如货物在质保期内出现质量问题，中标人须在接到通知后12 小时内响应，48小时内到场维修，或以合同约定为准，并承担相关费用；如质保期内货物经中标人两次维修仍不能达到国家相关质量标准，采购人有权更换全新货物、退货并追究中标人违约责任。</w:t>
      </w:r>
    </w:p>
    <w:p>
      <w:pPr>
        <w:pStyle w:val="3"/>
        <w:spacing w:line="400" w:lineRule="exact"/>
        <w:ind w:firstLine="480"/>
        <w:rPr>
          <w:rFonts w:ascii="仿宋" w:hAnsi="仿宋" w:eastAsia="仿宋"/>
          <w:bCs/>
          <w:sz w:val="24"/>
        </w:rPr>
      </w:pPr>
      <w:r>
        <w:rPr>
          <w:rFonts w:ascii="仿宋" w:hAnsi="仿宋" w:eastAsia="仿宋"/>
          <w:bCs/>
          <w:sz w:val="24"/>
        </w:rPr>
        <w:t>5.</w:t>
      </w:r>
      <w:r>
        <w:rPr>
          <w:rFonts w:hint="eastAsia" w:ascii="仿宋" w:hAnsi="仿宋" w:eastAsia="仿宋"/>
          <w:bCs/>
          <w:sz w:val="24"/>
        </w:rPr>
        <w:t>维修期间，根据采购人需要，提供备用设备。</w:t>
      </w:r>
    </w:p>
    <w:p>
      <w:pPr>
        <w:pStyle w:val="3"/>
        <w:spacing w:line="400" w:lineRule="exact"/>
        <w:ind w:firstLine="480"/>
        <w:rPr>
          <w:rFonts w:ascii="仿宋" w:hAnsi="仿宋" w:eastAsia="仿宋"/>
          <w:bCs/>
          <w:sz w:val="24"/>
        </w:rPr>
      </w:pPr>
      <w:r>
        <w:rPr>
          <w:rFonts w:ascii="仿宋" w:hAnsi="仿宋" w:eastAsia="仿宋"/>
          <w:bCs/>
          <w:sz w:val="24"/>
        </w:rPr>
        <w:t>6.</w:t>
      </w:r>
      <w:r>
        <w:rPr>
          <w:rFonts w:hint="eastAsia" w:ascii="仿宋" w:hAnsi="仿宋" w:eastAsia="仿宋"/>
          <w:bCs/>
          <w:sz w:val="24"/>
        </w:rPr>
        <w:t>中标人须指派专人负责与采购人联系售后服务事宜。</w:t>
      </w:r>
    </w:p>
    <w:p>
      <w:pPr>
        <w:pStyle w:val="3"/>
        <w:spacing w:line="400" w:lineRule="exact"/>
        <w:ind w:firstLine="480"/>
        <w:rPr>
          <w:rFonts w:ascii="仿宋" w:hAnsi="仿宋" w:eastAsia="仿宋"/>
          <w:bCs/>
          <w:sz w:val="24"/>
        </w:rPr>
      </w:pPr>
      <w:r>
        <w:rPr>
          <w:rFonts w:hint="eastAsia" w:ascii="仿宋" w:hAnsi="仿宋" w:eastAsia="仿宋"/>
          <w:bCs/>
          <w:sz w:val="24"/>
        </w:rPr>
        <w:t>（七）验收：</w:t>
      </w:r>
    </w:p>
    <w:p>
      <w:pPr>
        <w:pStyle w:val="3"/>
        <w:spacing w:line="400" w:lineRule="exact"/>
        <w:ind w:firstLine="480"/>
        <w:rPr>
          <w:rFonts w:ascii="仿宋" w:hAnsi="仿宋" w:eastAsia="仿宋"/>
          <w:bCs/>
          <w:sz w:val="24"/>
        </w:rPr>
      </w:pPr>
      <w:r>
        <w:rPr>
          <w:rFonts w:ascii="仿宋" w:hAnsi="仿宋" w:eastAsia="仿宋"/>
          <w:bCs/>
          <w:sz w:val="24"/>
        </w:rPr>
        <w:t>1.</w:t>
      </w:r>
      <w:r>
        <w:rPr>
          <w:rFonts w:hint="eastAsia" w:ascii="仿宋" w:hAnsi="仿宋" w:eastAsia="仿宋"/>
          <w:bCs/>
          <w:sz w:val="24"/>
        </w:rPr>
        <w:t>验收交付标准和方法：</w:t>
      </w:r>
    </w:p>
    <w:p>
      <w:pPr>
        <w:pStyle w:val="3"/>
        <w:spacing w:line="400" w:lineRule="exact"/>
        <w:ind w:firstLine="480"/>
        <w:rPr>
          <w:rFonts w:ascii="仿宋" w:hAnsi="仿宋" w:eastAsia="仿宋"/>
          <w:bCs/>
          <w:sz w:val="24"/>
        </w:rPr>
      </w:pPr>
      <w:r>
        <w:rPr>
          <w:rFonts w:ascii="仿宋" w:hAnsi="仿宋" w:eastAsia="仿宋"/>
          <w:bCs/>
          <w:sz w:val="24"/>
        </w:rPr>
        <w:t>1.1</w:t>
      </w:r>
      <w:r>
        <w:rPr>
          <w:rFonts w:hint="eastAsia" w:ascii="仿宋" w:hAnsi="仿宋" w:eastAsia="仿宋"/>
          <w:bCs/>
          <w:sz w:val="24"/>
        </w:rPr>
        <w:t>按国家有关规定以及招标文件的质量要求和技术指标、中标人的响应投标文件及承诺与合同约定标准进行验收；</w:t>
      </w:r>
    </w:p>
    <w:p>
      <w:pPr>
        <w:pStyle w:val="3"/>
        <w:spacing w:line="400" w:lineRule="exact"/>
        <w:ind w:firstLine="480"/>
        <w:rPr>
          <w:rFonts w:ascii="仿宋" w:hAnsi="仿宋" w:eastAsia="仿宋"/>
          <w:bCs/>
          <w:sz w:val="24"/>
        </w:rPr>
      </w:pPr>
      <w:r>
        <w:rPr>
          <w:rFonts w:ascii="仿宋" w:hAnsi="仿宋" w:eastAsia="仿宋"/>
          <w:bCs/>
          <w:sz w:val="24"/>
        </w:rPr>
        <w:t>1.2</w:t>
      </w:r>
      <w:r>
        <w:rPr>
          <w:rFonts w:hint="eastAsia" w:ascii="仿宋" w:hAnsi="仿宋" w:eastAsia="仿宋"/>
          <w:bCs/>
          <w:sz w:val="24"/>
        </w:rPr>
        <w:t>其他未尽事宜按照《财政部关于进一步加 强政府采购需求和履约验收管理的指导意见》(财库〔2016〕205 号)的要求进行验收。</w:t>
      </w:r>
    </w:p>
    <w:p>
      <w:pPr>
        <w:pStyle w:val="3"/>
        <w:spacing w:line="400" w:lineRule="exact"/>
        <w:ind w:firstLine="480"/>
        <w:rPr>
          <w:rFonts w:ascii="仿宋" w:hAnsi="仿宋" w:eastAsia="仿宋"/>
          <w:bCs/>
          <w:sz w:val="24"/>
        </w:rPr>
      </w:pPr>
      <w:r>
        <w:rPr>
          <w:rFonts w:ascii="仿宋" w:hAnsi="仿宋" w:eastAsia="仿宋"/>
          <w:bCs/>
          <w:sz w:val="24"/>
        </w:rPr>
        <w:t>2.</w:t>
      </w:r>
      <w:r>
        <w:rPr>
          <w:rFonts w:hint="eastAsia" w:ascii="仿宋" w:hAnsi="仿宋" w:eastAsia="仿宋"/>
          <w:bCs/>
          <w:sz w:val="24"/>
        </w:rPr>
        <w:t>验收方案</w:t>
      </w:r>
    </w:p>
    <w:p>
      <w:pPr>
        <w:pStyle w:val="3"/>
        <w:spacing w:line="400" w:lineRule="exact"/>
        <w:ind w:firstLine="480"/>
        <w:rPr>
          <w:rFonts w:ascii="仿宋" w:hAnsi="仿宋" w:eastAsia="仿宋"/>
          <w:bCs/>
          <w:sz w:val="24"/>
        </w:rPr>
      </w:pPr>
      <w:r>
        <w:rPr>
          <w:rFonts w:ascii="仿宋" w:hAnsi="仿宋" w:eastAsia="仿宋"/>
          <w:bCs/>
          <w:sz w:val="24"/>
        </w:rPr>
        <w:t>2.1</w:t>
      </w:r>
      <w:r>
        <w:rPr>
          <w:rFonts w:hint="eastAsia" w:ascii="仿宋" w:hAnsi="仿宋" w:eastAsia="仿宋"/>
          <w:bCs/>
          <w:sz w:val="24"/>
        </w:rPr>
        <w:t>验收组织方式：自行验收；</w:t>
      </w:r>
    </w:p>
    <w:p>
      <w:pPr>
        <w:pStyle w:val="3"/>
        <w:spacing w:line="400" w:lineRule="exact"/>
        <w:ind w:firstLine="480"/>
        <w:rPr>
          <w:rFonts w:ascii="仿宋" w:hAnsi="仿宋" w:eastAsia="仿宋"/>
          <w:bCs/>
          <w:sz w:val="24"/>
        </w:rPr>
      </w:pPr>
      <w:r>
        <w:rPr>
          <w:rFonts w:ascii="仿宋" w:hAnsi="仿宋" w:eastAsia="仿宋"/>
          <w:bCs/>
          <w:sz w:val="24"/>
        </w:rPr>
        <w:t>2.2</w:t>
      </w:r>
      <w:r>
        <w:rPr>
          <w:rFonts w:hint="eastAsia" w:ascii="仿宋" w:hAnsi="仿宋" w:eastAsia="仿宋"/>
          <w:bCs/>
          <w:sz w:val="24"/>
        </w:rPr>
        <w:t>是否邀请本项目的其他供应商：否；</w:t>
      </w:r>
    </w:p>
    <w:p>
      <w:pPr>
        <w:pStyle w:val="3"/>
        <w:spacing w:line="400" w:lineRule="exact"/>
        <w:ind w:firstLine="480"/>
        <w:rPr>
          <w:rFonts w:ascii="仿宋" w:hAnsi="仿宋" w:eastAsia="仿宋"/>
          <w:bCs/>
          <w:sz w:val="24"/>
        </w:rPr>
      </w:pPr>
      <w:r>
        <w:rPr>
          <w:rFonts w:ascii="仿宋" w:hAnsi="仿宋" w:eastAsia="仿宋"/>
          <w:bCs/>
          <w:sz w:val="24"/>
        </w:rPr>
        <w:t>2.3</w:t>
      </w:r>
      <w:r>
        <w:rPr>
          <w:rFonts w:hint="eastAsia" w:ascii="仿宋" w:hAnsi="仿宋" w:eastAsia="仿宋"/>
          <w:bCs/>
          <w:sz w:val="24"/>
        </w:rPr>
        <w:t>是否邀请专家：否；</w:t>
      </w:r>
    </w:p>
    <w:p>
      <w:pPr>
        <w:pStyle w:val="3"/>
        <w:spacing w:line="400" w:lineRule="exact"/>
        <w:ind w:firstLine="480"/>
        <w:rPr>
          <w:rFonts w:ascii="仿宋" w:hAnsi="仿宋" w:eastAsia="仿宋"/>
          <w:bCs/>
          <w:sz w:val="24"/>
        </w:rPr>
      </w:pPr>
      <w:r>
        <w:rPr>
          <w:rFonts w:ascii="仿宋" w:hAnsi="仿宋" w:eastAsia="仿宋"/>
          <w:bCs/>
          <w:sz w:val="24"/>
        </w:rPr>
        <w:t>2.4</w:t>
      </w:r>
      <w:r>
        <w:rPr>
          <w:rFonts w:hint="eastAsia" w:ascii="仿宋" w:hAnsi="仿宋" w:eastAsia="仿宋"/>
          <w:bCs/>
          <w:sz w:val="24"/>
        </w:rPr>
        <w:t>是否邀请第三方检测机构：否；</w:t>
      </w:r>
    </w:p>
    <w:p>
      <w:pPr>
        <w:pStyle w:val="3"/>
        <w:spacing w:line="400" w:lineRule="exact"/>
        <w:ind w:firstLine="480"/>
        <w:rPr>
          <w:rFonts w:ascii="仿宋" w:hAnsi="仿宋" w:eastAsia="仿宋"/>
          <w:bCs/>
          <w:sz w:val="24"/>
        </w:rPr>
      </w:pPr>
      <w:r>
        <w:rPr>
          <w:rFonts w:ascii="仿宋" w:hAnsi="仿宋" w:eastAsia="仿宋"/>
          <w:bCs/>
          <w:sz w:val="24"/>
        </w:rPr>
        <w:t>2.5</w:t>
      </w:r>
      <w:r>
        <w:rPr>
          <w:rFonts w:hint="eastAsia" w:ascii="仿宋" w:hAnsi="仿宋" w:eastAsia="仿宋"/>
          <w:bCs/>
          <w:sz w:val="24"/>
        </w:rPr>
        <w:t>履约验收程序：一次性验收；</w:t>
      </w:r>
    </w:p>
    <w:p>
      <w:pPr>
        <w:pStyle w:val="3"/>
        <w:spacing w:line="400" w:lineRule="exact"/>
        <w:ind w:firstLine="480"/>
        <w:rPr>
          <w:rFonts w:ascii="仿宋" w:hAnsi="仿宋" w:eastAsia="仿宋"/>
          <w:bCs/>
          <w:sz w:val="24"/>
        </w:rPr>
      </w:pPr>
      <w:r>
        <w:rPr>
          <w:rFonts w:ascii="仿宋" w:hAnsi="仿宋" w:eastAsia="仿宋"/>
          <w:bCs/>
          <w:sz w:val="24"/>
        </w:rPr>
        <w:t>2.6</w:t>
      </w:r>
      <w:r>
        <w:rPr>
          <w:rFonts w:hint="eastAsia" w:ascii="仿宋" w:hAnsi="仿宋" w:eastAsia="仿宋"/>
          <w:bCs/>
          <w:sz w:val="24"/>
        </w:rPr>
        <w:t>履约验收时间：供应商提出验收申请之日起20日内组织验收；</w:t>
      </w:r>
    </w:p>
    <w:p>
      <w:pPr>
        <w:pStyle w:val="3"/>
        <w:spacing w:line="400" w:lineRule="exact"/>
        <w:ind w:firstLine="480"/>
        <w:rPr>
          <w:rFonts w:ascii="仿宋" w:hAnsi="仿宋" w:eastAsia="仿宋"/>
          <w:bCs/>
          <w:sz w:val="24"/>
        </w:rPr>
      </w:pPr>
      <w:r>
        <w:rPr>
          <w:rFonts w:ascii="仿宋" w:hAnsi="仿宋" w:eastAsia="仿宋"/>
          <w:bCs/>
          <w:sz w:val="24"/>
        </w:rPr>
        <w:t>2.7</w:t>
      </w:r>
      <w:r>
        <w:rPr>
          <w:rFonts w:hint="eastAsia" w:ascii="仿宋" w:hAnsi="仿宋" w:eastAsia="仿宋"/>
          <w:bCs/>
          <w:sz w:val="24"/>
        </w:rPr>
        <w:t>验收组织的其他事项：供应商仅在完成设备安装、调试、使用培训待设备能正常使用后方可提出验收申请；</w:t>
      </w:r>
    </w:p>
    <w:p>
      <w:pPr>
        <w:pStyle w:val="3"/>
        <w:spacing w:line="400" w:lineRule="exact"/>
        <w:ind w:firstLine="480"/>
        <w:rPr>
          <w:rFonts w:ascii="仿宋" w:hAnsi="仿宋" w:eastAsia="仿宋"/>
          <w:bCs/>
          <w:sz w:val="24"/>
        </w:rPr>
      </w:pPr>
      <w:r>
        <w:rPr>
          <w:rFonts w:ascii="仿宋" w:hAnsi="仿宋" w:eastAsia="仿宋"/>
          <w:bCs/>
          <w:sz w:val="24"/>
        </w:rPr>
        <w:t>2.8</w:t>
      </w:r>
      <w:r>
        <w:rPr>
          <w:rFonts w:hint="eastAsia" w:ascii="仿宋" w:hAnsi="仿宋" w:eastAsia="仿宋"/>
          <w:bCs/>
          <w:sz w:val="24"/>
        </w:rPr>
        <w:t>技术履约验收内容：招标文件要求及中标人的文件响应内容、中标产品厂家注册内容、产品说明书（如涉及）等内容进行技术验收；</w:t>
      </w:r>
    </w:p>
    <w:p>
      <w:pPr>
        <w:pStyle w:val="3"/>
        <w:spacing w:line="400" w:lineRule="exact"/>
        <w:ind w:firstLine="480"/>
        <w:rPr>
          <w:rFonts w:ascii="仿宋" w:hAnsi="仿宋" w:eastAsia="仿宋"/>
          <w:bCs/>
          <w:sz w:val="24"/>
        </w:rPr>
      </w:pPr>
      <w:r>
        <w:rPr>
          <w:rFonts w:ascii="仿宋" w:hAnsi="仿宋" w:eastAsia="仿宋"/>
          <w:bCs/>
          <w:sz w:val="24"/>
        </w:rPr>
        <w:t>2.9</w:t>
      </w:r>
      <w:r>
        <w:rPr>
          <w:rFonts w:hint="eastAsia" w:ascii="仿宋" w:hAnsi="仿宋" w:eastAsia="仿宋"/>
          <w:bCs/>
          <w:sz w:val="24"/>
        </w:rPr>
        <w:t>商务履约验收内容：按投标文件响应商务内容验收；</w:t>
      </w:r>
    </w:p>
    <w:p>
      <w:pPr>
        <w:pStyle w:val="3"/>
        <w:spacing w:line="400" w:lineRule="exact"/>
        <w:ind w:firstLine="480"/>
        <w:rPr>
          <w:rFonts w:ascii="仿宋" w:hAnsi="仿宋" w:eastAsia="仿宋"/>
          <w:bCs/>
          <w:sz w:val="24"/>
        </w:rPr>
      </w:pPr>
      <w:r>
        <w:rPr>
          <w:rFonts w:ascii="仿宋" w:hAnsi="仿宋" w:eastAsia="仿宋"/>
          <w:bCs/>
          <w:sz w:val="24"/>
        </w:rPr>
        <w:t>2.10</w:t>
      </w:r>
      <w:r>
        <w:rPr>
          <w:rFonts w:hint="eastAsia" w:ascii="仿宋" w:hAnsi="仿宋" w:eastAsia="仿宋"/>
          <w:bCs/>
          <w:sz w:val="24"/>
        </w:rPr>
        <w:t>履约验收标准：按国家相关法律、行业标准验收；</w:t>
      </w:r>
    </w:p>
    <w:p>
      <w:pPr>
        <w:pStyle w:val="3"/>
        <w:spacing w:line="400" w:lineRule="exact"/>
        <w:ind w:firstLine="480"/>
        <w:rPr>
          <w:rFonts w:ascii="仿宋" w:hAnsi="仿宋" w:eastAsia="仿宋"/>
          <w:bCs/>
          <w:sz w:val="24"/>
        </w:rPr>
      </w:pPr>
      <w:r>
        <w:rPr>
          <w:rFonts w:ascii="仿宋" w:hAnsi="仿宋" w:eastAsia="仿宋"/>
          <w:bCs/>
          <w:sz w:val="24"/>
        </w:rPr>
        <w:t>2.11</w:t>
      </w:r>
      <w:r>
        <w:rPr>
          <w:rFonts w:hint="eastAsia" w:ascii="仿宋" w:hAnsi="仿宋" w:eastAsia="仿宋"/>
          <w:bCs/>
          <w:sz w:val="24"/>
        </w:rPr>
        <w:t>履约验收其他事项：履约验收各条款间有不一致时，按较高标准进行；</w:t>
      </w:r>
    </w:p>
    <w:p>
      <w:pPr>
        <w:pStyle w:val="3"/>
        <w:spacing w:line="400" w:lineRule="exact"/>
        <w:ind w:firstLine="480"/>
        <w:rPr>
          <w:rFonts w:ascii="仿宋" w:hAnsi="仿宋" w:eastAsia="仿宋"/>
          <w:bCs/>
          <w:sz w:val="24"/>
        </w:rPr>
      </w:pPr>
      <w:r>
        <w:rPr>
          <w:rFonts w:ascii="仿宋" w:hAnsi="仿宋" w:eastAsia="仿宋"/>
          <w:bCs/>
          <w:sz w:val="24"/>
        </w:rPr>
        <w:t>3.</w:t>
      </w:r>
      <w:r>
        <w:rPr>
          <w:rFonts w:hint="eastAsia" w:ascii="仿宋" w:hAnsi="仿宋" w:eastAsia="仿宋"/>
          <w:bCs/>
          <w:sz w:val="24"/>
        </w:rPr>
        <w:t xml:space="preserve">投标人须在投标文件中单独提供配置清单（不同产品分别提供，格式参见本章格式1），并保证清单中的组件名称、型号与生产厂家技术资料（医疗器械注册证、说明书、装箱清单、技术白皮书等，至少其中之一）相符合，采购人将以此为依据进行验收。 </w:t>
      </w:r>
    </w:p>
    <w:p>
      <w:pPr>
        <w:pStyle w:val="3"/>
        <w:spacing w:line="400" w:lineRule="exact"/>
        <w:ind w:firstLine="480"/>
        <w:rPr>
          <w:rFonts w:ascii="仿宋" w:hAnsi="仿宋" w:eastAsia="仿宋"/>
          <w:bCs/>
          <w:sz w:val="24"/>
        </w:rPr>
      </w:pPr>
      <w:r>
        <w:rPr>
          <w:rFonts w:hint="eastAsia" w:ascii="仿宋" w:hAnsi="仿宋" w:eastAsia="仿宋"/>
          <w:bCs/>
          <w:sz w:val="24"/>
        </w:rPr>
        <w:t>（八）签订合同须使用本招标文件中提供的模板（详见招标文件第八章），具体条款以招标文件、中标人的及双方另行约定为准。</w:t>
      </w:r>
    </w:p>
    <w:p>
      <w:pPr>
        <w:pStyle w:val="3"/>
        <w:spacing w:line="400" w:lineRule="exact"/>
        <w:ind w:firstLine="480"/>
        <w:rPr>
          <w:rFonts w:ascii="仿宋" w:hAnsi="仿宋" w:eastAsia="仿宋"/>
          <w:bCs/>
          <w:sz w:val="24"/>
        </w:rPr>
      </w:pPr>
      <w:r>
        <w:rPr>
          <w:rFonts w:hint="eastAsia" w:ascii="仿宋" w:hAnsi="仿宋" w:eastAsia="仿宋"/>
          <w:bCs/>
          <w:sz w:val="24"/>
        </w:rPr>
        <w:t>注：1、若技术要求中指定或变相指定品牌、型号、产地等均不作为招标要求。</w:t>
      </w:r>
    </w:p>
    <w:p>
      <w:pPr>
        <w:spacing w:line="276" w:lineRule="auto"/>
      </w:pPr>
      <w:r>
        <w:rPr>
          <w:rFonts w:hint="eastAsia" w:ascii="宋体" w:hAnsi="宋体" w:cs="宋体"/>
          <w:b/>
          <w:bCs/>
          <w:kern w:val="0"/>
          <w:sz w:val="32"/>
          <w:szCs w:val="32"/>
        </w:rPr>
        <w:t>格式1</w:t>
      </w:r>
    </w:p>
    <w:p>
      <w:pPr>
        <w:spacing w:after="120"/>
        <w:jc w:val="center"/>
        <w:rPr>
          <w:rFonts w:ascii="黑体" w:hAnsi="黑体" w:eastAsia="黑体"/>
          <w:b/>
          <w:bCs/>
          <w:sz w:val="36"/>
          <w:szCs w:val="36"/>
        </w:rPr>
      </w:pPr>
      <w:r>
        <w:rPr>
          <w:rFonts w:hint="eastAsia" w:ascii="黑体" w:hAnsi="黑体" w:eastAsia="黑体"/>
          <w:b/>
          <w:bCs/>
          <w:sz w:val="36"/>
          <w:szCs w:val="36"/>
        </w:rPr>
        <w:t>配置清单</w:t>
      </w:r>
    </w:p>
    <w:p>
      <w:pPr>
        <w:spacing w:after="120"/>
        <w:jc w:val="left"/>
        <w:rPr>
          <w:rFonts w:ascii="宋体" w:hAnsi="宋体"/>
          <w:b/>
          <w:bCs/>
          <w:szCs w:val="21"/>
        </w:rPr>
      </w:pPr>
      <w:r>
        <w:rPr>
          <w:rFonts w:hint="eastAsia" w:ascii="宋体" w:hAnsi="宋体"/>
          <w:b/>
          <w:bCs/>
          <w:szCs w:val="21"/>
        </w:rPr>
        <w:t>招标产品1名称：XX</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576"/>
        <w:gridCol w:w="2020"/>
        <w:gridCol w:w="630"/>
        <w:gridCol w:w="63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b/>
                <w:kern w:val="0"/>
                <w:szCs w:val="21"/>
              </w:rPr>
            </w:pPr>
            <w:r>
              <w:rPr>
                <w:rFonts w:hint="eastAsia"/>
                <w:b/>
                <w:kern w:val="0"/>
                <w:szCs w:val="21"/>
              </w:rPr>
              <w:t>序号</w:t>
            </w:r>
          </w:p>
        </w:tc>
        <w:tc>
          <w:tcPr>
            <w:tcW w:w="2576" w:type="dxa"/>
            <w:vAlign w:val="center"/>
          </w:tcPr>
          <w:p>
            <w:pPr>
              <w:spacing w:line="460" w:lineRule="exact"/>
              <w:jc w:val="center"/>
              <w:outlineLvl w:val="0"/>
              <w:rPr>
                <w:b/>
                <w:kern w:val="0"/>
                <w:szCs w:val="21"/>
              </w:rPr>
            </w:pPr>
            <w:r>
              <w:rPr>
                <w:rFonts w:hint="eastAsia"/>
                <w:b/>
                <w:kern w:val="0"/>
                <w:szCs w:val="21"/>
              </w:rPr>
              <w:t>组件名称</w:t>
            </w:r>
          </w:p>
        </w:tc>
        <w:tc>
          <w:tcPr>
            <w:tcW w:w="2020" w:type="dxa"/>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630" w:type="dxa"/>
            <w:vAlign w:val="center"/>
          </w:tcPr>
          <w:p>
            <w:pPr>
              <w:spacing w:line="460" w:lineRule="exact"/>
              <w:jc w:val="center"/>
              <w:outlineLvl w:val="0"/>
              <w:rPr>
                <w:b/>
                <w:kern w:val="0"/>
                <w:szCs w:val="21"/>
              </w:rPr>
            </w:pPr>
            <w:r>
              <w:rPr>
                <w:rFonts w:hint="eastAsia"/>
                <w:b/>
                <w:kern w:val="0"/>
                <w:szCs w:val="21"/>
              </w:rPr>
              <w:t>单位</w:t>
            </w:r>
          </w:p>
        </w:tc>
        <w:tc>
          <w:tcPr>
            <w:tcW w:w="631" w:type="dxa"/>
            <w:vAlign w:val="center"/>
          </w:tcPr>
          <w:p>
            <w:pPr>
              <w:spacing w:line="460" w:lineRule="exact"/>
              <w:jc w:val="center"/>
              <w:outlineLvl w:val="0"/>
              <w:rPr>
                <w:b/>
                <w:kern w:val="0"/>
                <w:szCs w:val="21"/>
              </w:rPr>
            </w:pPr>
            <w:r>
              <w:rPr>
                <w:rFonts w:hint="eastAsia"/>
                <w:b/>
                <w:kern w:val="0"/>
                <w:szCs w:val="21"/>
              </w:rPr>
              <w:t>数量</w:t>
            </w:r>
          </w:p>
        </w:tc>
        <w:tc>
          <w:tcPr>
            <w:tcW w:w="1731" w:type="dxa"/>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Cs w:val="21"/>
              </w:rPr>
            </w:pPr>
            <w:r>
              <w:rPr>
                <w:rFonts w:hint="eastAsia"/>
                <w:kern w:val="0"/>
                <w:szCs w:val="21"/>
              </w:rPr>
              <w:t>1</w:t>
            </w:r>
          </w:p>
        </w:tc>
        <w:tc>
          <w:tcPr>
            <w:tcW w:w="2576" w:type="dxa"/>
            <w:vAlign w:val="center"/>
          </w:tcPr>
          <w:p>
            <w:pPr>
              <w:spacing w:line="460" w:lineRule="exact"/>
              <w:outlineLvl w:val="0"/>
              <w:rPr>
                <w:kern w:val="0"/>
                <w:szCs w:val="21"/>
              </w:rPr>
            </w:pPr>
          </w:p>
        </w:tc>
        <w:tc>
          <w:tcPr>
            <w:tcW w:w="2020" w:type="dxa"/>
            <w:vAlign w:val="center"/>
          </w:tcPr>
          <w:p>
            <w:pPr>
              <w:spacing w:line="460" w:lineRule="exact"/>
              <w:jc w:val="center"/>
              <w:outlineLvl w:val="0"/>
              <w:rPr>
                <w:kern w:val="0"/>
                <w:szCs w:val="21"/>
              </w:rPr>
            </w:pPr>
          </w:p>
        </w:tc>
        <w:tc>
          <w:tcPr>
            <w:tcW w:w="630" w:type="dxa"/>
          </w:tcPr>
          <w:p>
            <w:pPr>
              <w:spacing w:line="460" w:lineRule="exact"/>
              <w:jc w:val="center"/>
              <w:outlineLvl w:val="0"/>
              <w:rPr>
                <w:kern w:val="0"/>
                <w:szCs w:val="21"/>
              </w:rPr>
            </w:pPr>
          </w:p>
        </w:tc>
        <w:tc>
          <w:tcPr>
            <w:tcW w:w="631" w:type="dxa"/>
            <w:vAlign w:val="center"/>
          </w:tcPr>
          <w:p>
            <w:pPr>
              <w:spacing w:line="460" w:lineRule="exact"/>
              <w:jc w:val="center"/>
              <w:outlineLvl w:val="0"/>
              <w:rPr>
                <w:kern w:val="0"/>
                <w:szCs w:val="21"/>
              </w:rPr>
            </w:pPr>
          </w:p>
        </w:tc>
        <w:tc>
          <w:tcPr>
            <w:tcW w:w="1731" w:type="dxa"/>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rFonts w:hint="eastAsia"/>
                <w:kern w:val="0"/>
                <w:sz w:val="20"/>
                <w:szCs w:val="21"/>
              </w:rPr>
              <w:t>2</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rFonts w:hint="eastAsia"/>
                <w:kern w:val="0"/>
                <w:sz w:val="20"/>
                <w:szCs w:val="21"/>
              </w:rPr>
              <w:t>3</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kern w:val="0"/>
                <w:sz w:val="20"/>
                <w:szCs w:val="21"/>
              </w:rPr>
              <w:t>…</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bl>
    <w:p>
      <w:pPr>
        <w:spacing w:after="120"/>
        <w:rPr>
          <w:sz w:val="18"/>
          <w:szCs w:val="18"/>
        </w:rPr>
      </w:pPr>
    </w:p>
    <w:p>
      <w:pPr>
        <w:spacing w:after="120"/>
        <w:jc w:val="left"/>
        <w:rPr>
          <w:rFonts w:ascii="宋体" w:hAnsi="宋体"/>
          <w:b/>
          <w:bCs/>
          <w:szCs w:val="21"/>
        </w:rPr>
      </w:pPr>
      <w:r>
        <w:rPr>
          <w:rFonts w:hint="eastAsia" w:ascii="宋体" w:hAnsi="宋体"/>
          <w:b/>
          <w:bCs/>
          <w:szCs w:val="21"/>
        </w:rPr>
        <w:t>招标产品</w:t>
      </w:r>
      <w:r>
        <w:rPr>
          <w:rFonts w:ascii="宋体" w:hAnsi="宋体"/>
          <w:b/>
          <w:bCs/>
          <w:szCs w:val="21"/>
        </w:rPr>
        <w:t>2</w:t>
      </w:r>
      <w:r>
        <w:rPr>
          <w:rFonts w:hint="eastAsia" w:ascii="宋体" w:hAnsi="宋体"/>
          <w:b/>
          <w:bCs/>
          <w:szCs w:val="21"/>
        </w:rPr>
        <w:t>名称：XX（如有）</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576"/>
        <w:gridCol w:w="2020"/>
        <w:gridCol w:w="630"/>
        <w:gridCol w:w="63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b/>
                <w:kern w:val="0"/>
                <w:szCs w:val="21"/>
              </w:rPr>
            </w:pPr>
            <w:r>
              <w:rPr>
                <w:rFonts w:hint="eastAsia"/>
                <w:b/>
                <w:kern w:val="0"/>
                <w:szCs w:val="21"/>
              </w:rPr>
              <w:t>序号</w:t>
            </w:r>
          </w:p>
        </w:tc>
        <w:tc>
          <w:tcPr>
            <w:tcW w:w="2576" w:type="dxa"/>
            <w:vAlign w:val="center"/>
          </w:tcPr>
          <w:p>
            <w:pPr>
              <w:spacing w:line="460" w:lineRule="exact"/>
              <w:jc w:val="center"/>
              <w:outlineLvl w:val="0"/>
              <w:rPr>
                <w:b/>
                <w:kern w:val="0"/>
                <w:szCs w:val="21"/>
              </w:rPr>
            </w:pPr>
            <w:r>
              <w:rPr>
                <w:rFonts w:hint="eastAsia"/>
                <w:b/>
                <w:kern w:val="0"/>
                <w:szCs w:val="21"/>
              </w:rPr>
              <w:t>组件名称</w:t>
            </w:r>
          </w:p>
        </w:tc>
        <w:tc>
          <w:tcPr>
            <w:tcW w:w="2020" w:type="dxa"/>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630" w:type="dxa"/>
            <w:vAlign w:val="center"/>
          </w:tcPr>
          <w:p>
            <w:pPr>
              <w:spacing w:line="460" w:lineRule="exact"/>
              <w:jc w:val="center"/>
              <w:outlineLvl w:val="0"/>
              <w:rPr>
                <w:b/>
                <w:kern w:val="0"/>
                <w:szCs w:val="21"/>
              </w:rPr>
            </w:pPr>
            <w:r>
              <w:rPr>
                <w:rFonts w:hint="eastAsia"/>
                <w:b/>
                <w:kern w:val="0"/>
                <w:szCs w:val="21"/>
              </w:rPr>
              <w:t>单位</w:t>
            </w:r>
          </w:p>
        </w:tc>
        <w:tc>
          <w:tcPr>
            <w:tcW w:w="631" w:type="dxa"/>
            <w:vAlign w:val="center"/>
          </w:tcPr>
          <w:p>
            <w:pPr>
              <w:spacing w:line="460" w:lineRule="exact"/>
              <w:jc w:val="center"/>
              <w:outlineLvl w:val="0"/>
              <w:rPr>
                <w:b/>
                <w:kern w:val="0"/>
                <w:szCs w:val="21"/>
              </w:rPr>
            </w:pPr>
            <w:r>
              <w:rPr>
                <w:rFonts w:hint="eastAsia"/>
                <w:b/>
                <w:kern w:val="0"/>
                <w:szCs w:val="21"/>
              </w:rPr>
              <w:t>数量</w:t>
            </w:r>
          </w:p>
        </w:tc>
        <w:tc>
          <w:tcPr>
            <w:tcW w:w="1731" w:type="dxa"/>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Cs w:val="21"/>
              </w:rPr>
            </w:pPr>
            <w:r>
              <w:rPr>
                <w:rFonts w:hint="eastAsia"/>
                <w:kern w:val="0"/>
                <w:szCs w:val="21"/>
              </w:rPr>
              <w:t>1</w:t>
            </w:r>
          </w:p>
        </w:tc>
        <w:tc>
          <w:tcPr>
            <w:tcW w:w="2576" w:type="dxa"/>
            <w:vAlign w:val="center"/>
          </w:tcPr>
          <w:p>
            <w:pPr>
              <w:spacing w:line="460" w:lineRule="exact"/>
              <w:outlineLvl w:val="0"/>
              <w:rPr>
                <w:kern w:val="0"/>
                <w:szCs w:val="21"/>
              </w:rPr>
            </w:pPr>
          </w:p>
        </w:tc>
        <w:tc>
          <w:tcPr>
            <w:tcW w:w="2020" w:type="dxa"/>
            <w:vAlign w:val="center"/>
          </w:tcPr>
          <w:p>
            <w:pPr>
              <w:spacing w:line="460" w:lineRule="exact"/>
              <w:jc w:val="center"/>
              <w:outlineLvl w:val="0"/>
              <w:rPr>
                <w:kern w:val="0"/>
                <w:szCs w:val="21"/>
              </w:rPr>
            </w:pPr>
          </w:p>
        </w:tc>
        <w:tc>
          <w:tcPr>
            <w:tcW w:w="630" w:type="dxa"/>
          </w:tcPr>
          <w:p>
            <w:pPr>
              <w:spacing w:line="460" w:lineRule="exact"/>
              <w:jc w:val="center"/>
              <w:outlineLvl w:val="0"/>
              <w:rPr>
                <w:kern w:val="0"/>
                <w:szCs w:val="21"/>
              </w:rPr>
            </w:pPr>
          </w:p>
        </w:tc>
        <w:tc>
          <w:tcPr>
            <w:tcW w:w="631" w:type="dxa"/>
            <w:vAlign w:val="center"/>
          </w:tcPr>
          <w:p>
            <w:pPr>
              <w:spacing w:line="460" w:lineRule="exact"/>
              <w:jc w:val="center"/>
              <w:outlineLvl w:val="0"/>
              <w:rPr>
                <w:kern w:val="0"/>
                <w:szCs w:val="21"/>
              </w:rPr>
            </w:pPr>
          </w:p>
        </w:tc>
        <w:tc>
          <w:tcPr>
            <w:tcW w:w="1731" w:type="dxa"/>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rFonts w:hint="eastAsia"/>
                <w:kern w:val="0"/>
                <w:sz w:val="20"/>
                <w:szCs w:val="21"/>
              </w:rPr>
              <w:t>2</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rFonts w:hint="eastAsia"/>
                <w:kern w:val="0"/>
                <w:sz w:val="20"/>
                <w:szCs w:val="21"/>
              </w:rPr>
              <w:t>3</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kern w:val="0"/>
                <w:sz w:val="20"/>
                <w:szCs w:val="21"/>
              </w:rPr>
            </w:pPr>
            <w:r>
              <w:rPr>
                <w:kern w:val="0"/>
                <w:sz w:val="20"/>
                <w:szCs w:val="21"/>
              </w:rPr>
              <w:t>…</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bl>
    <w:p>
      <w:pPr>
        <w:spacing w:after="120"/>
        <w:rPr>
          <w:sz w:val="18"/>
          <w:szCs w:val="18"/>
        </w:rPr>
      </w:pPr>
    </w:p>
    <w:p>
      <w:pPr>
        <w:spacing w:after="120"/>
        <w:jc w:val="left"/>
        <w:rPr>
          <w:rFonts w:ascii="宋体" w:hAnsi="宋体"/>
          <w:b/>
          <w:bCs/>
          <w:szCs w:val="21"/>
        </w:rPr>
      </w:pPr>
      <w:r>
        <w:rPr>
          <w:rFonts w:hint="eastAsia" w:ascii="宋体" w:hAnsi="宋体"/>
          <w:b/>
          <w:bCs/>
          <w:szCs w:val="21"/>
        </w:rPr>
        <w:t>招标产品</w:t>
      </w:r>
      <w:r>
        <w:rPr>
          <w:rFonts w:ascii="宋体" w:hAnsi="宋体"/>
          <w:b/>
          <w:bCs/>
          <w:szCs w:val="21"/>
        </w:rPr>
        <w:t>3</w:t>
      </w:r>
      <w:r>
        <w:rPr>
          <w:rFonts w:hint="eastAsia" w:ascii="宋体" w:hAnsi="宋体"/>
          <w:b/>
          <w:bCs/>
          <w:szCs w:val="21"/>
        </w:rPr>
        <w:t>名称：XX（如有）</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576"/>
        <w:gridCol w:w="2020"/>
        <w:gridCol w:w="630"/>
        <w:gridCol w:w="63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460" w:lineRule="exact"/>
              <w:jc w:val="center"/>
              <w:outlineLvl w:val="0"/>
              <w:rPr>
                <w:b/>
                <w:kern w:val="0"/>
                <w:szCs w:val="21"/>
              </w:rPr>
            </w:pPr>
            <w:r>
              <w:rPr>
                <w:rFonts w:hint="eastAsia"/>
                <w:b/>
                <w:kern w:val="0"/>
                <w:szCs w:val="21"/>
              </w:rPr>
              <w:t>序号</w:t>
            </w:r>
          </w:p>
        </w:tc>
        <w:tc>
          <w:tcPr>
            <w:tcW w:w="2576" w:type="dxa"/>
            <w:vAlign w:val="center"/>
          </w:tcPr>
          <w:p>
            <w:pPr>
              <w:spacing w:line="460" w:lineRule="exact"/>
              <w:jc w:val="center"/>
              <w:outlineLvl w:val="0"/>
              <w:rPr>
                <w:b/>
                <w:kern w:val="0"/>
                <w:szCs w:val="21"/>
              </w:rPr>
            </w:pPr>
            <w:r>
              <w:rPr>
                <w:rFonts w:hint="eastAsia"/>
                <w:b/>
                <w:kern w:val="0"/>
                <w:szCs w:val="21"/>
              </w:rPr>
              <w:t>组件名称</w:t>
            </w:r>
          </w:p>
        </w:tc>
        <w:tc>
          <w:tcPr>
            <w:tcW w:w="2020" w:type="dxa"/>
            <w:vAlign w:val="center"/>
          </w:tcPr>
          <w:p>
            <w:pPr>
              <w:spacing w:line="460" w:lineRule="exact"/>
              <w:jc w:val="center"/>
              <w:outlineLvl w:val="0"/>
              <w:rPr>
                <w:b/>
                <w:kern w:val="0"/>
                <w:szCs w:val="21"/>
              </w:rPr>
            </w:pPr>
            <w:r>
              <w:rPr>
                <w:rFonts w:hint="eastAsia"/>
                <w:b/>
                <w:kern w:val="0"/>
                <w:szCs w:val="21"/>
              </w:rPr>
              <w:t>型号</w:t>
            </w:r>
            <w:r>
              <w:rPr>
                <w:b/>
                <w:kern w:val="0"/>
                <w:szCs w:val="21"/>
              </w:rPr>
              <w:t>/</w:t>
            </w:r>
            <w:r>
              <w:rPr>
                <w:rFonts w:hint="eastAsia"/>
                <w:b/>
                <w:kern w:val="0"/>
                <w:szCs w:val="21"/>
              </w:rPr>
              <w:t>规格（如有）</w:t>
            </w:r>
          </w:p>
        </w:tc>
        <w:tc>
          <w:tcPr>
            <w:tcW w:w="630" w:type="dxa"/>
            <w:vAlign w:val="center"/>
          </w:tcPr>
          <w:p>
            <w:pPr>
              <w:spacing w:line="460" w:lineRule="exact"/>
              <w:jc w:val="center"/>
              <w:outlineLvl w:val="0"/>
              <w:rPr>
                <w:b/>
                <w:kern w:val="0"/>
                <w:szCs w:val="21"/>
              </w:rPr>
            </w:pPr>
            <w:r>
              <w:rPr>
                <w:rFonts w:hint="eastAsia"/>
                <w:b/>
                <w:kern w:val="0"/>
                <w:szCs w:val="21"/>
              </w:rPr>
              <w:t>单位</w:t>
            </w:r>
          </w:p>
        </w:tc>
        <w:tc>
          <w:tcPr>
            <w:tcW w:w="631" w:type="dxa"/>
            <w:vAlign w:val="center"/>
          </w:tcPr>
          <w:p>
            <w:pPr>
              <w:spacing w:line="460" w:lineRule="exact"/>
              <w:jc w:val="center"/>
              <w:outlineLvl w:val="0"/>
              <w:rPr>
                <w:b/>
                <w:kern w:val="0"/>
                <w:szCs w:val="21"/>
              </w:rPr>
            </w:pPr>
            <w:r>
              <w:rPr>
                <w:rFonts w:hint="eastAsia"/>
                <w:b/>
                <w:kern w:val="0"/>
                <w:szCs w:val="21"/>
              </w:rPr>
              <w:t>数量</w:t>
            </w:r>
          </w:p>
        </w:tc>
        <w:tc>
          <w:tcPr>
            <w:tcW w:w="1731" w:type="dxa"/>
            <w:vAlign w:val="center"/>
          </w:tcPr>
          <w:p>
            <w:pPr>
              <w:spacing w:line="460" w:lineRule="exact"/>
              <w:jc w:val="center"/>
              <w:outlineLvl w:val="0"/>
              <w:rPr>
                <w:b/>
                <w:kern w:val="0"/>
                <w:szCs w:val="21"/>
              </w:rPr>
            </w:pPr>
            <w:r>
              <w:rPr>
                <w:rFonts w:hint="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708" w:type="dxa"/>
            <w:vAlign w:val="center"/>
          </w:tcPr>
          <w:p>
            <w:pPr>
              <w:spacing w:line="460" w:lineRule="exact"/>
              <w:jc w:val="center"/>
              <w:outlineLvl w:val="0"/>
              <w:rPr>
                <w:kern w:val="0"/>
                <w:szCs w:val="21"/>
              </w:rPr>
            </w:pPr>
            <w:r>
              <w:rPr>
                <w:rFonts w:hint="eastAsia"/>
                <w:kern w:val="0"/>
                <w:szCs w:val="21"/>
              </w:rPr>
              <w:t>1</w:t>
            </w:r>
          </w:p>
        </w:tc>
        <w:tc>
          <w:tcPr>
            <w:tcW w:w="2576" w:type="dxa"/>
            <w:vAlign w:val="center"/>
          </w:tcPr>
          <w:p>
            <w:pPr>
              <w:spacing w:line="460" w:lineRule="exact"/>
              <w:outlineLvl w:val="0"/>
              <w:rPr>
                <w:kern w:val="0"/>
                <w:szCs w:val="21"/>
              </w:rPr>
            </w:pPr>
          </w:p>
        </w:tc>
        <w:tc>
          <w:tcPr>
            <w:tcW w:w="2020" w:type="dxa"/>
            <w:vAlign w:val="center"/>
          </w:tcPr>
          <w:p>
            <w:pPr>
              <w:spacing w:line="460" w:lineRule="exact"/>
              <w:jc w:val="center"/>
              <w:outlineLvl w:val="0"/>
              <w:rPr>
                <w:kern w:val="0"/>
                <w:szCs w:val="21"/>
              </w:rPr>
            </w:pPr>
          </w:p>
        </w:tc>
        <w:tc>
          <w:tcPr>
            <w:tcW w:w="630" w:type="dxa"/>
          </w:tcPr>
          <w:p>
            <w:pPr>
              <w:spacing w:line="460" w:lineRule="exact"/>
              <w:jc w:val="center"/>
              <w:outlineLvl w:val="0"/>
              <w:rPr>
                <w:kern w:val="0"/>
                <w:szCs w:val="21"/>
              </w:rPr>
            </w:pPr>
          </w:p>
        </w:tc>
        <w:tc>
          <w:tcPr>
            <w:tcW w:w="631" w:type="dxa"/>
            <w:vAlign w:val="center"/>
          </w:tcPr>
          <w:p>
            <w:pPr>
              <w:spacing w:line="460" w:lineRule="exact"/>
              <w:jc w:val="center"/>
              <w:outlineLvl w:val="0"/>
              <w:rPr>
                <w:kern w:val="0"/>
                <w:szCs w:val="21"/>
              </w:rPr>
            </w:pPr>
          </w:p>
        </w:tc>
        <w:tc>
          <w:tcPr>
            <w:tcW w:w="1731" w:type="dxa"/>
            <w:vAlign w:val="center"/>
          </w:tcPr>
          <w:p>
            <w:pPr>
              <w:spacing w:line="460" w:lineRule="exact"/>
              <w:outlineLvl w:val="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708" w:type="dxa"/>
            <w:vAlign w:val="center"/>
          </w:tcPr>
          <w:p>
            <w:pPr>
              <w:spacing w:line="460" w:lineRule="exact"/>
              <w:jc w:val="center"/>
              <w:outlineLvl w:val="0"/>
              <w:rPr>
                <w:kern w:val="0"/>
                <w:sz w:val="20"/>
                <w:szCs w:val="21"/>
              </w:rPr>
            </w:pPr>
            <w:r>
              <w:rPr>
                <w:rFonts w:hint="eastAsia"/>
                <w:kern w:val="0"/>
                <w:sz w:val="20"/>
                <w:szCs w:val="21"/>
              </w:rPr>
              <w:t>2</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8" w:type="dxa"/>
            <w:vAlign w:val="center"/>
          </w:tcPr>
          <w:p>
            <w:pPr>
              <w:spacing w:line="460" w:lineRule="exact"/>
              <w:jc w:val="center"/>
              <w:outlineLvl w:val="0"/>
              <w:rPr>
                <w:kern w:val="0"/>
                <w:sz w:val="20"/>
                <w:szCs w:val="21"/>
              </w:rPr>
            </w:pPr>
            <w:r>
              <w:rPr>
                <w:rFonts w:hint="eastAsia"/>
                <w:kern w:val="0"/>
                <w:sz w:val="20"/>
                <w:szCs w:val="21"/>
              </w:rPr>
              <w:t>3</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708" w:type="dxa"/>
            <w:vAlign w:val="center"/>
          </w:tcPr>
          <w:p>
            <w:pPr>
              <w:spacing w:line="460" w:lineRule="exact"/>
              <w:jc w:val="center"/>
              <w:outlineLvl w:val="0"/>
              <w:rPr>
                <w:kern w:val="0"/>
                <w:sz w:val="20"/>
                <w:szCs w:val="21"/>
              </w:rPr>
            </w:pPr>
            <w:r>
              <w:rPr>
                <w:kern w:val="0"/>
                <w:sz w:val="20"/>
                <w:szCs w:val="21"/>
              </w:rPr>
              <w:t>…</w:t>
            </w:r>
          </w:p>
        </w:tc>
        <w:tc>
          <w:tcPr>
            <w:tcW w:w="2576" w:type="dxa"/>
            <w:vAlign w:val="center"/>
          </w:tcPr>
          <w:p>
            <w:pPr>
              <w:spacing w:line="460" w:lineRule="exact"/>
              <w:outlineLvl w:val="0"/>
              <w:rPr>
                <w:kern w:val="0"/>
                <w:sz w:val="20"/>
                <w:szCs w:val="21"/>
              </w:rPr>
            </w:pPr>
          </w:p>
        </w:tc>
        <w:tc>
          <w:tcPr>
            <w:tcW w:w="2020" w:type="dxa"/>
            <w:vAlign w:val="center"/>
          </w:tcPr>
          <w:p>
            <w:pPr>
              <w:spacing w:line="460" w:lineRule="exact"/>
              <w:jc w:val="center"/>
              <w:outlineLvl w:val="0"/>
              <w:rPr>
                <w:kern w:val="0"/>
                <w:sz w:val="20"/>
                <w:szCs w:val="21"/>
              </w:rPr>
            </w:pPr>
          </w:p>
        </w:tc>
        <w:tc>
          <w:tcPr>
            <w:tcW w:w="630" w:type="dxa"/>
          </w:tcPr>
          <w:p>
            <w:pPr>
              <w:spacing w:line="460" w:lineRule="exact"/>
              <w:jc w:val="center"/>
              <w:outlineLvl w:val="0"/>
              <w:rPr>
                <w:kern w:val="0"/>
                <w:sz w:val="20"/>
                <w:szCs w:val="21"/>
              </w:rPr>
            </w:pPr>
          </w:p>
        </w:tc>
        <w:tc>
          <w:tcPr>
            <w:tcW w:w="631" w:type="dxa"/>
            <w:vAlign w:val="center"/>
          </w:tcPr>
          <w:p>
            <w:pPr>
              <w:spacing w:line="460" w:lineRule="exact"/>
              <w:jc w:val="center"/>
              <w:outlineLvl w:val="0"/>
              <w:rPr>
                <w:kern w:val="0"/>
                <w:sz w:val="20"/>
                <w:szCs w:val="21"/>
              </w:rPr>
            </w:pPr>
          </w:p>
        </w:tc>
        <w:tc>
          <w:tcPr>
            <w:tcW w:w="1731" w:type="dxa"/>
            <w:vAlign w:val="center"/>
          </w:tcPr>
          <w:p>
            <w:pPr>
              <w:spacing w:line="460" w:lineRule="exact"/>
              <w:outlineLvl w:val="0"/>
              <w:rPr>
                <w:kern w:val="0"/>
                <w:sz w:val="20"/>
                <w:szCs w:val="21"/>
              </w:rPr>
            </w:pPr>
          </w:p>
        </w:tc>
      </w:tr>
    </w:tbl>
    <w:p>
      <w:pPr>
        <w:pStyle w:val="2"/>
        <w:spacing w:line="400" w:lineRule="exact"/>
        <w:ind w:firstLine="236" w:firstLineChars="98"/>
        <w:rPr>
          <w:rFonts w:ascii="仿宋" w:hAnsi="仿宋" w:eastAsia="仿宋"/>
          <w:sz w:val="24"/>
          <w:szCs w:val="24"/>
        </w:rPr>
      </w:pPr>
      <w:r>
        <w:rPr>
          <w:rFonts w:hint="eastAsia" w:ascii="仿宋" w:hAnsi="仿宋" w:eastAsia="仿宋"/>
          <w:sz w:val="24"/>
          <w:szCs w:val="24"/>
        </w:rPr>
        <w:t>三</w:t>
      </w:r>
      <w:r>
        <w:rPr>
          <w:rFonts w:ascii="仿宋" w:hAnsi="仿宋" w:eastAsia="仿宋"/>
          <w:sz w:val="24"/>
          <w:szCs w:val="24"/>
        </w:rPr>
        <w:t>、</w:t>
      </w:r>
      <w:r>
        <w:rPr>
          <w:rFonts w:hint="eastAsia" w:ascii="仿宋" w:hAnsi="仿宋" w:eastAsia="仿宋"/>
          <w:sz w:val="24"/>
          <w:szCs w:val="24"/>
        </w:rPr>
        <w:t>技术、服务要求</w:t>
      </w:r>
      <w:bookmarkEnd w:id="0"/>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硬件配置:一体机设计，无需外接电脑;</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▲技术原理:磁悬浮技术;</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通道数量:4个/台，可通过无线或者有线实现多台级联;</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▲通道性能:稳定性相对偏移≤±10%，批内测试重复性CV≤10%;</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操作方式:自动上下杯、自动判别停止、自动脱杯，无需拨杆;</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平台要求:设备无需水平调节;</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信息传输:扫描录入信息，无缝对接医院HIS/LIS系统，实现自动建病例及数据上传;</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运行时间:连续工作时间&gt;24小时;</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输出参数:至少包括 ACT、R、K、Angle、MA、Ly30、EPL、A30、AA抑制率、ADP抑制率等20个参数;</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报告模式:图形+数据，输出初步的诊断建议;</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▲适用试剂:血栓弹力图试验（凝血激活）试剂、活化凝血检测试剂、肝素酶包被试剂、AA试剂、ADP试剂、ADP&amp;AA试剂、功能性纤维蛋白原试剂等配套试剂;</w:t>
      </w:r>
    </w:p>
    <w:p>
      <w:pPr>
        <w:pStyle w:val="3"/>
        <w:numPr>
          <w:ilvl w:val="0"/>
          <w:numId w:val="1"/>
        </w:numPr>
        <w:spacing w:line="400" w:lineRule="exact"/>
        <w:ind w:firstLineChars="0"/>
        <w:rPr>
          <w:rFonts w:ascii="仿宋" w:hAnsi="仿宋" w:eastAsia="仿宋"/>
          <w:bCs/>
          <w:sz w:val="24"/>
        </w:rPr>
      </w:pPr>
      <w:r>
        <w:rPr>
          <w:rFonts w:hint="eastAsia" w:ascii="仿宋" w:hAnsi="仿宋" w:eastAsia="仿宋"/>
          <w:bCs/>
          <w:sz w:val="24"/>
        </w:rPr>
        <w:t>▲质控品:拥有原厂高、中、低三个水平的质控品，质控品校准由中标供应商负责，费用包括在此次招标中，不再另行收取费用，校准用质控品需是设备原厂生产，不得使用第三方质控品进行校准。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455D"/>
    <w:multiLevelType w:val="multilevel"/>
    <w:tmpl w:val="1C81455D"/>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6E3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
    <w:name w:val="网格型2"/>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2022-09-21T07:56:52Z</dcterms:created>
  <dc:creator>14-03</dc:creator>
  <cp:lastModifiedBy>14-03</cp:lastModifiedBy>
  <dcterms:modified xsi:type="dcterms:W3CDTF">2022-09-21T07:56:59Z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