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变更通知</w:t>
      </w:r>
    </w:p>
    <w:p>
      <w:pPr>
        <w:ind w:right="36" w:rightChars="15"/>
        <w:rPr>
          <w:rFonts w:ascii="仿宋" w:hAnsi="仿宋"/>
          <w:b/>
          <w:sz w:val="28"/>
          <w:szCs w:val="28"/>
        </w:rPr>
      </w:pPr>
      <w:r>
        <w:rPr>
          <w:rFonts w:hint="eastAsia" w:ascii="仿宋" w:hAnsi="仿宋"/>
          <w:b/>
          <w:sz w:val="28"/>
          <w:szCs w:val="28"/>
        </w:rPr>
        <w:t>四川成与诚招标代理有限公司：</w:t>
      </w:r>
    </w:p>
    <w:p>
      <w:pPr>
        <w:pStyle w:val="2"/>
        <w:ind w:firstLine="562" w:firstLineChars="200"/>
        <w:rPr>
          <w:rFonts w:ascii="仿宋" w:hAnsi="仿宋"/>
          <w:b/>
          <w:sz w:val="28"/>
          <w:szCs w:val="28"/>
        </w:rPr>
      </w:pPr>
      <w:r>
        <w:rPr>
          <w:rFonts w:hint="eastAsia" w:ascii="仿宋" w:hAnsi="仿宋"/>
          <w:b/>
          <w:sz w:val="28"/>
          <w:szCs w:val="28"/>
        </w:rPr>
        <w:t>就四川护理职业学院附属医院（四川省第三人民医院）诊间支付系统采购项目（项目编号：  N5100012022003680）作出以下变更：</w:t>
      </w:r>
    </w:p>
    <w:p>
      <w:pPr>
        <w:pStyle w:val="2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变更事项一：</w:t>
      </w:r>
    </w:p>
    <w:p>
      <w:pPr>
        <w:pStyle w:val="2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原招标文件第六章  招标项目技术、服务、商务及其他要求三、技术、服务要求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850"/>
        <w:gridCol w:w="6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产品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功能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restar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诊间扫码支付软件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导诊单打印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1.门诊医生工作站导诊单打印: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门诊医生在完成医嘱录入后，HIS系统自动打印导诊单，导诊单内容包含医嘱金额、患者基本信息、医嘱名称、支付二维码，支持在处方签或检验检查申请单上打印二维码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诊间扫码支付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▲2.患者扫码后可查看缴费清单、待缴费医嘱明细；患者基本信息、开单医生信息、开单时间信息。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▲3.微信扫码支付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患者使用微信APP"扫一扫"功能，扫描导诊单上的二维码，进行支付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▲4.支付宝扫码支付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患者使用支付宝APP"扫一扫"功能，扫描导诊单上的二维码，进行支付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5.医保支付</w:t>
            </w:r>
          </w:p>
          <w:p>
            <w:pPr>
              <w:pStyle w:val="2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患者使用支付宝APP“扫一扫”功能，扫描导诊单上的二维码，进行支付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电子导诊单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▲6.电子导诊单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当患者扫码支付完成后可以获取电子导诊单，当患者再次扫描二维码，如已支付，直接跳转至电子导诊单页面，可查询患者基本信息、取药信息、检查检验信息。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多码合一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7.不同支付途径可扫描同一个二维码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诊间支付对账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8.自动对比医院核心系统和交易核心系统账单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 xml:space="preserve">8.1在交易日T+1之后，自动对比医院核心系统和交易核心系统交易数据，筛选出差异。出现单边账的情况支持发起原路退款。 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▲8.2支持实时查询诊间支付订单状态，包含订单支付状态（待支付、已支付）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电子票据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9.支持直接扫描二维码即可跳转下载，不需要再填写票据信息等负责过程，与采购人已有电子票据程序对接。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其他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10.后续医保政策打开，需开通医保支付，在选择支付方式时增加医保支付方式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3"/>
          </w:tcPr>
          <w:p>
            <w:pPr>
              <w:ind w:firstLine="480" w:firstLineChars="20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11.★与采购人HIS系统接口费用，由中标公司负责全部承担。</w:t>
            </w:r>
          </w:p>
        </w:tc>
      </w:tr>
    </w:tbl>
    <w:p/>
    <w:p>
      <w:pPr>
        <w:pStyle w:val="2"/>
      </w:pPr>
    </w:p>
    <w:p>
      <w:pPr>
        <w:pStyle w:val="4"/>
        <w:spacing w:line="400" w:lineRule="exact"/>
      </w:pPr>
      <w:r>
        <w:rPr>
          <w:rFonts w:hint="eastAsia"/>
        </w:rPr>
        <w:t>变更为：</w:t>
      </w:r>
      <w:r>
        <w:rPr>
          <w:rFonts w:hint="eastAsia" w:ascii="仿宋" w:hAnsi="仿宋"/>
          <w:sz w:val="24"/>
          <w:szCs w:val="24"/>
        </w:rPr>
        <w:t>三、技术、服务要求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33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产品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功能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restar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诊间扫码支付软件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导诊单打印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1.门诊医生工作站导诊单打印: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门诊医生在完成医嘱录入后，HIS系统自动打印导诊单，导诊单内容包含医嘱金额、患者基本信息、医嘱名称、支付二维码，支持在处方签或检验检查申请单上打印二维码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诊间扫码支付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2.患者扫码后可查看缴费清单、待缴费医嘱明细；患者基本信息、开单医生信息、开单时间信息。（提供现场演示）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3.微信扫码支付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患者使用微信APP"扫一扫"功能，扫描导诊单上的二维码，进行支付（提供现场演示）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4.支付宝扫码支付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患者使用支付宝APP"扫一扫"功能，扫描导诊单上的二维码，进行支付（提供现场演示）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5.医保支付</w:t>
            </w:r>
          </w:p>
          <w:p>
            <w:pPr>
              <w:pStyle w:val="2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患者使用支付宝APP“扫一扫”功能，扫描导诊单上的二维码，进行支付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电子导诊单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6.电子导诊单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当患者扫码支付完成后可以获取电子导诊单，当患者再次扫描二维码，如已支付，直接跳转至电子导诊单页面，可查询患者基本信息、取药信息、检查检验信息。（提供现场演示）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多码合一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7.不同支付途径可扫描同一个二维码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诊间支付对账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8.自动对比医院核心系统和交易核心系统账单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 xml:space="preserve">8.1在交易日T+1之后，自动对比医院核心系统和交易核心系统交易数据，筛选出差异。出现单边账的情况支持发起原路退款。 </w:t>
            </w:r>
          </w:p>
          <w:p>
            <w:pPr>
              <w:rPr>
                <w:rFonts w:ascii="仿宋" w:hAnsi="仿宋" w:cs="仿宋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hint="eastAsia" w:ascii="仿宋" w:hAnsi="仿宋" w:cs="仿宋"/>
              </w:rPr>
              <w:t>8.2支持实时查询诊间支付订单状态，包含订单支付状态（待支付、已支付）（提供现场演示）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电子票据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9.支持直接扫描二维码即可跳转下载，不需要再填写票据信息等负责过程，与采购人已有电子票据程序对接。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0" w:type="auto"/>
            <w:vMerge w:val="continue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其他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10.后续医保政策打开，需开通医保支付，在选择支付方式时增加医保支付方式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gridSpan w:val="3"/>
          </w:tcPr>
          <w:p>
            <w:pPr>
              <w:ind w:firstLine="480" w:firstLineChars="20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11.★与采购人HIS系统接口费用，由中标公司负责全部承担。</w:t>
            </w:r>
          </w:p>
        </w:tc>
      </w:tr>
    </w:tbl>
    <w:p/>
    <w:p>
      <w:pPr>
        <w:pStyle w:val="2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变更事项二：</w:t>
      </w:r>
    </w:p>
    <w:p>
      <w:pPr>
        <w:pStyle w:val="7"/>
        <w:ind w:left="0"/>
        <w:jc w:val="both"/>
        <w:rPr>
          <w:i w:val="0"/>
          <w:iCs/>
        </w:rPr>
      </w:pPr>
      <w:r>
        <w:rPr>
          <w:rFonts w:hint="eastAsia" w:ascii="仿宋" w:hAnsi="仿宋" w:eastAsia="仿宋" w:cs="仿宋"/>
          <w:b/>
          <w:i w:val="0"/>
          <w:iCs/>
          <w:sz w:val="32"/>
          <w:szCs w:val="32"/>
        </w:rPr>
        <w:t>原招标文件第七章评标办法4.3.3综合评分明细表</w:t>
      </w: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59"/>
        <w:gridCol w:w="693"/>
        <w:gridCol w:w="4663"/>
        <w:gridCol w:w="70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序号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评分因素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权重分值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评分标准</w:t>
            </w:r>
          </w:p>
        </w:tc>
        <w:tc>
          <w:tcPr>
            <w:tcW w:w="905" w:type="pct"/>
            <w:gridSpan w:val="2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  <w:b/>
              </w:rPr>
            </w:pPr>
            <w:r>
              <w:rPr>
                <w:rFonts w:hint="eastAsia" w:ascii="仿宋" w:hAnsi="仿宋" w:cs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报价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30分</w:t>
            </w:r>
          </w:p>
        </w:tc>
        <w:tc>
          <w:tcPr>
            <w:tcW w:w="2738" w:type="pct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满足招标文件要求且投标价格最低的投标报价为评标基准价，其价格分为满分。其他投标人的价格分统一按照下列公式计算：投标报价得分=(评标基准价／投标报价)×30</w:t>
            </w:r>
          </w:p>
        </w:tc>
        <w:tc>
          <w:tcPr>
            <w:tcW w:w="413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2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技术、服务要求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40分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  <w:rPr>
                <w:rFonts w:ascii="仿宋" w:hAnsi="仿宋" w:cs="仿宋"/>
                <w:b/>
                <w:bCs/>
              </w:rPr>
            </w:pPr>
            <w:r>
              <w:rPr>
                <w:rFonts w:hint="eastAsia" w:ascii="仿宋" w:hAnsi="仿宋" w:cs="仿宋"/>
              </w:rPr>
              <w:t>1、招标文件 第六章“三、技术、服务要求”中，一般参数要求条款响应得分=（供应商满足技术、服务要求参数要求中一般条款的数量÷ 技术、服务要求参数要求一般参数条款总数量6条）×20。</w:t>
            </w:r>
          </w:p>
          <w:p>
            <w:pPr>
              <w:pStyle w:val="2"/>
            </w:pPr>
            <w:r>
              <w:rPr>
                <w:rFonts w:hint="eastAsia"/>
              </w:rPr>
              <w:t>2、</w:t>
            </w:r>
            <w:r>
              <w:rPr>
                <w:rFonts w:hint="eastAsia" w:ascii="仿宋" w:hAnsi="仿宋" w:cs="仿宋"/>
                <w:szCs w:val="24"/>
              </w:rPr>
              <w:t>招标文件 第六章“三、技术、服务要求”中，</w:t>
            </w:r>
            <w:r>
              <w:rPr>
                <w:rFonts w:hint="eastAsia"/>
              </w:rPr>
              <w:t>“▲”技术参数条款的响应得分规则如下：</w:t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“▲”技术参数条款响应得分=（投标人满足“▲”技术参数条款的数量÷对应中“▲”技术参数条款的总数量，共5条）×20分 。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 xml:space="preserve"> 注：1.招标文件中标注“★”的条款为本项目实质性要求，不再作为评分使用。</w:t>
            </w:r>
          </w:p>
          <w:p>
            <w:pPr>
              <w:pStyle w:val="2"/>
            </w:pPr>
            <w:r>
              <w:rPr>
                <w:rFonts w:hint="eastAsia" w:ascii="仿宋" w:hAnsi="仿宋" w:cs="仿宋"/>
                <w:szCs w:val="24"/>
              </w:rPr>
              <w:t>2.招标文件中</w:t>
            </w:r>
            <w:r>
              <w:rPr>
                <w:rFonts w:hint="eastAsia" w:ascii="仿宋" w:hAnsi="仿宋" w:cs="仿宋"/>
                <w:kern w:val="0"/>
                <w:szCs w:val="18"/>
              </w:rPr>
              <w:t>未标注“▲”及“★”的条款，视为一条一般参数要求条款进行评审。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3.如果技术条款对技术支撑材料有要求， 应按要求提供，否则对应技术参数条款将视为不满足。 </w:t>
            </w:r>
          </w:p>
        </w:tc>
        <w:tc>
          <w:tcPr>
            <w:tcW w:w="413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autoSpaceDN w:val="0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3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业绩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6分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评标委员会根据供应商同类产品销售业绩（2019年1月1日-至递交投标文件截止日）进行评定，每提供一个业绩得1分，最多得6分。</w:t>
            </w:r>
          </w:p>
          <w:p>
            <w:pPr>
              <w:pStyle w:val="2"/>
              <w:spacing w:after="0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注：提供销售合同或中标（成交）通知书复印件。</w:t>
            </w:r>
          </w:p>
        </w:tc>
        <w:tc>
          <w:tcPr>
            <w:tcW w:w="413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4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实施方案 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10分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评审委员会根据投标人编制的项目实施方案，包括但不限于以下评审要素：①进度保障措施、②项目重难点解析及应对措施、③产品质量保障措施、④安装调试方案；以上4项内容齐全，且同时满足：内容完整、逻辑严谨、符合项目及当地实际情况的得10分；每缺少一个部分扣2.5分，10分扣完为止；内容描述存在不完整、前后矛盾、不符合项目及当地实际情况中任何一种情形或其他不足之处的，每有一处扣1.25分，每项最多扣2.5分，10分扣完为止。</w:t>
            </w:r>
          </w:p>
          <w:p>
            <w:pPr>
              <w:autoSpaceDN w:val="0"/>
              <w:rPr>
                <w:rFonts w:ascii="仿宋" w:hAnsi="仿宋" w:cs="仿宋"/>
                <w:kern w:val="0"/>
                <w:lang w:bidi="ar"/>
              </w:rPr>
            </w:pPr>
            <w:r>
              <w:rPr>
                <w:rFonts w:hint="eastAsia" w:ascii="仿宋" w:hAnsi="仿宋" w:cs="仿宋"/>
              </w:rPr>
              <w:t>（注：其他不足之处是指内容套用或错用、凭空编造、科学原理错误以及不可能实现的夸大情形等。）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主观评审项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技术类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评分因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素 </w:t>
            </w:r>
          </w:p>
          <w:p>
            <w:pPr>
              <w:autoSpaceDN w:val="0"/>
              <w:rPr>
                <w:rFonts w:ascii="仿宋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5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售后服务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12分</w:t>
            </w:r>
          </w:p>
        </w:tc>
        <w:tc>
          <w:tcPr>
            <w:tcW w:w="2738" w:type="pct"/>
            <w:vAlign w:val="center"/>
          </w:tcPr>
          <w:p>
            <w:pPr>
              <w:widowControl/>
              <w:rPr>
                <w:rFonts w:ascii="仿宋" w:hAnsi="仿宋" w:cs="仿宋"/>
                <w:kern w:val="0"/>
                <w:lang w:bidi="ar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评审委员会根据投标人编制的售后服务方案，包括但不限于以下评审要素：①使用人员培训方案；②售后服务人员配置方案；③维修流程详细方案。 </w:t>
            </w:r>
          </w:p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以上3项内容齐全，且同时满足：内容完整、逻辑严谨、符合项目及当地实际情况的得12分；每缺少一个部分扣4分，12分扣完为止；内容描述存在不完整、前后矛盾、不符合项目及当地实际情况中任何一种情形或其他不足之处的，每有一处扣2分，每项最多扣4分，12分扣完为止。</w:t>
            </w:r>
          </w:p>
          <w:p>
            <w:pPr>
              <w:widowControl/>
              <w:rPr>
                <w:rFonts w:ascii="仿宋" w:hAnsi="仿宋" w:cs="仿宋"/>
                <w:kern w:val="0"/>
                <w:lang w:bidi="ar"/>
              </w:rPr>
            </w:pPr>
            <w:r>
              <w:rPr>
                <w:rFonts w:hint="eastAsia" w:ascii="仿宋" w:hAnsi="仿宋" w:cs="仿宋"/>
              </w:rPr>
              <w:t>（注：其他不足之处是指内容套用或错用、凭空编造、科学原理错误以及不可能实现的夸大情形等。）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</w:p>
          <w:p>
            <w:pPr>
              <w:widowControl/>
              <w:autoSpaceDN w:val="0"/>
              <w:rPr>
                <w:rFonts w:ascii="仿宋" w:hAnsi="仿宋" w:cs="仿宋"/>
              </w:rPr>
            </w:pPr>
          </w:p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主观评审项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技术类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评分因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6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节能、环境标志、无线局域网产品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2分</w:t>
            </w:r>
          </w:p>
        </w:tc>
        <w:tc>
          <w:tcPr>
            <w:tcW w:w="2738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投标产品中属于政府采购优先采购范围的，则每有一项节能产品或环境标志产品或无线局域网产品的得0.5分，非节能、环境标志产品的、无线局域网产品的不得分。本项最多得2分。</w:t>
            </w:r>
          </w:p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注：1. 节能产品、环境标志产品优先采购范围以品目清单为准。无线局域网产品优先采购范围以中国政府采购网公布的《无线局域网认证产品政府采购清单》为准。</w:t>
            </w:r>
          </w:p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2. 投标产品属于优先采购范围内的节能产品或者环境标志产品的，提供国家确定的认证机构出具的、处于有效期之内的节能产品、环境标志产品认证证书复印件加盖供应商公章（鲜章）。</w:t>
            </w:r>
          </w:p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 xml:space="preserve">3. 投标产品属于优先采购范围内的无线局域网产品的，提供政府采购清单对应页并加盖供应商单位公章（鲜章）。 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共同评分因素</w:t>
            </w:r>
          </w:p>
        </w:tc>
      </w:tr>
    </w:tbl>
    <w:p>
      <w:r>
        <w:br w:type="page"/>
      </w:r>
    </w:p>
    <w:p>
      <w:pPr>
        <w:pStyle w:val="2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变更为：</w:t>
      </w: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59"/>
        <w:gridCol w:w="693"/>
        <w:gridCol w:w="4663"/>
        <w:gridCol w:w="70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序号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评分因素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权重分值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b/>
              </w:rPr>
              <w:t>评分标准</w:t>
            </w:r>
          </w:p>
        </w:tc>
        <w:tc>
          <w:tcPr>
            <w:tcW w:w="905" w:type="pct"/>
            <w:gridSpan w:val="2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  <w:b/>
              </w:rPr>
            </w:pPr>
            <w:r>
              <w:rPr>
                <w:rFonts w:hint="eastAsia" w:ascii="仿宋" w:hAnsi="仿宋" w:cs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报价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30分</w:t>
            </w:r>
          </w:p>
        </w:tc>
        <w:tc>
          <w:tcPr>
            <w:tcW w:w="2738" w:type="pct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满足招标文件要求且投标价格最低的投标报价为评标基准价，其价格分为满分。其他投标人的价格分统一按照下列公式计算：投标报价得分=(评标基准价／投标报价)×30</w:t>
            </w:r>
          </w:p>
        </w:tc>
        <w:tc>
          <w:tcPr>
            <w:tcW w:w="413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2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技术、服务要求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10分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</w:pPr>
            <w:r>
              <w:rPr>
                <w:rFonts w:hint="eastAsia" w:ascii="仿宋" w:hAnsi="仿宋" w:cs="仿宋"/>
              </w:rPr>
              <w:t>1、招标文件 第六章“三、技术、服务要求”中，一般参数要求条款响应得分=（供应商满足技术、服务要求参数要求中一般条款的数量÷ 技术、服务要求参数要求一般参数条款总数量6条）×10。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 xml:space="preserve"> 注：1.招标文件中标注“★”的条款为本项目实质性要求，不再作为评分使用。</w:t>
            </w:r>
          </w:p>
          <w:p>
            <w:pPr>
              <w:pStyle w:val="2"/>
            </w:pPr>
            <w:r>
              <w:rPr>
                <w:rFonts w:hint="eastAsia" w:ascii="仿宋" w:hAnsi="仿宋" w:cs="仿宋"/>
                <w:szCs w:val="24"/>
              </w:rPr>
              <w:t>2.招标文件中</w:t>
            </w:r>
            <w:r>
              <w:rPr>
                <w:rFonts w:hint="eastAsia" w:ascii="仿宋" w:hAnsi="仿宋" w:cs="仿宋"/>
                <w:kern w:val="0"/>
                <w:szCs w:val="18"/>
              </w:rPr>
              <w:t>未标注“</w:t>
            </w:r>
            <w:r>
              <w:rPr>
                <w:rFonts w:hint="eastAsia" w:ascii="仿宋" w:hAnsi="仿宋" w:cs="仿宋"/>
              </w:rPr>
              <w:t>●</w:t>
            </w:r>
            <w:r>
              <w:rPr>
                <w:rFonts w:hint="eastAsia" w:ascii="仿宋" w:hAnsi="仿宋" w:cs="仿宋"/>
                <w:kern w:val="0"/>
                <w:szCs w:val="18"/>
              </w:rPr>
              <w:t>”及“★”的条款，视为一条一般参数要求条款进行评审。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3.如果技术条款对技术支撑材料有要求， 应按要求提供，否则对应技术参数条款将视为不满足。 </w:t>
            </w:r>
          </w:p>
        </w:tc>
        <w:tc>
          <w:tcPr>
            <w:tcW w:w="413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4" w:type="dxa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</w:p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</w:p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演示</w:t>
            </w:r>
          </w:p>
        </w:tc>
        <w:tc>
          <w:tcPr>
            <w:tcW w:w="756" w:type="dxa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</w:p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30</w:t>
            </w:r>
          </w:p>
        </w:tc>
        <w:tc>
          <w:tcPr>
            <w:tcW w:w="5083" w:type="dxa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投标人须在评标现场对招标文件“●”号参数进行现场演示，时长不超过20分钟，演示设备自带。演示得分=【投标人满足“●”号条款技术参数要求条款的数量÷ “●”号条款技术参数要求条款总数量（共5条）】×30。</w:t>
            </w:r>
          </w:p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未演示或者未按要求演示的不得分</w:t>
            </w:r>
            <w:r>
              <w:rPr>
                <w:rFonts w:hint="eastAsia" w:hAnsi="宋体" w:eastAsia="宋体" w:cs="宋体"/>
              </w:rPr>
              <w:t>，</w:t>
            </w:r>
            <w:r>
              <w:rPr>
                <w:rFonts w:hint="eastAsia" w:ascii="仿宋" w:hAnsi="仿宋" w:cs="仿宋"/>
              </w:rPr>
              <w:t>演示功能不满足技术参数要求的视为技术参数无法响应。</w:t>
            </w:r>
          </w:p>
        </w:tc>
        <w:tc>
          <w:tcPr>
            <w:tcW w:w="767" w:type="dxa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913" w:type="dxa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autoSpaceDN w:val="0"/>
              <w:jc w:val="center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3</w:t>
            </w:r>
          </w:p>
        </w:tc>
        <w:tc>
          <w:tcPr>
            <w:tcW w:w="563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业绩</w:t>
            </w:r>
          </w:p>
        </w:tc>
        <w:tc>
          <w:tcPr>
            <w:tcW w:w="407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6分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评标委员会根据供应商同类产品销售业绩（2019年1月1日-至递交投标文件截止日）进行评定，每提供一个业绩得1分，最多得6分。</w:t>
            </w:r>
          </w:p>
          <w:p>
            <w:pPr>
              <w:pStyle w:val="2"/>
              <w:spacing w:after="0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注：提供销售合同或中标（成交）通知书复印件。</w:t>
            </w:r>
          </w:p>
        </w:tc>
        <w:tc>
          <w:tcPr>
            <w:tcW w:w="413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4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实施方案 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10分</w:t>
            </w:r>
          </w:p>
        </w:tc>
        <w:tc>
          <w:tcPr>
            <w:tcW w:w="2738" w:type="pct"/>
            <w:vAlign w:val="center"/>
          </w:tcPr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评审委员会根据投标人编制的项目实施方案，包括但不限于以下评审要素：①进度保障措施、②项目重难点解析及应对措施、③产品质量保障措施、④安装调试方案；以上4项内容齐全，且同时满足：内容完整、逻辑严谨、符合项目及当地实际情况的得10分；每缺少一个部分扣2.5分，10分扣完为止；内容描述存在不完整、前后矛盾、不符合项目及当地实际情况中任何一种情形或其他不足之处的，每有一处扣1.25分，每项最多扣2.5分，10分扣完为止。</w:t>
            </w:r>
          </w:p>
          <w:p>
            <w:pPr>
              <w:autoSpaceDN w:val="0"/>
              <w:rPr>
                <w:rFonts w:ascii="仿宋" w:hAnsi="仿宋" w:cs="仿宋"/>
                <w:kern w:val="0"/>
                <w:lang w:bidi="ar"/>
              </w:rPr>
            </w:pPr>
            <w:r>
              <w:rPr>
                <w:rFonts w:hint="eastAsia" w:ascii="仿宋" w:hAnsi="仿宋" w:cs="仿宋"/>
              </w:rPr>
              <w:t>（注：其他不足之处是指内容套用或错用、凭空编造、科学原理错误以及不可能实现的夸大情形等。）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主观评审项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技术类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评分因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素 </w:t>
            </w:r>
          </w:p>
          <w:p>
            <w:pPr>
              <w:autoSpaceDN w:val="0"/>
              <w:rPr>
                <w:rFonts w:ascii="仿宋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5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售后服务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>12分</w:t>
            </w:r>
          </w:p>
        </w:tc>
        <w:tc>
          <w:tcPr>
            <w:tcW w:w="2738" w:type="pct"/>
            <w:vAlign w:val="center"/>
          </w:tcPr>
          <w:p>
            <w:pPr>
              <w:widowControl/>
              <w:rPr>
                <w:rFonts w:ascii="仿宋" w:hAnsi="仿宋" w:cs="仿宋"/>
                <w:kern w:val="0"/>
                <w:lang w:bidi="ar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评审委员会根据投标人编制的售后服务方案，包括但不限于以下评审要素：①使用人员培训方案；②售后服务人员配置方案；③维修流程详细方案。 </w:t>
            </w:r>
          </w:p>
          <w:p>
            <w:pPr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以上3项内容齐全，且同时满足：内容完整、逻辑严谨、符合项目及当地实际情况的得12分；每缺少一个部分扣4分，12分扣完为止；内容描述存在不完整、前后矛盾、不符合项目及当地实际情况中任何一种情形或其他不足之处的，每有一处扣2分，每项最多扣4分，12分扣完为止。</w:t>
            </w:r>
          </w:p>
          <w:p>
            <w:pPr>
              <w:widowControl/>
              <w:rPr>
                <w:rFonts w:ascii="仿宋" w:hAnsi="仿宋" w:cs="仿宋"/>
                <w:kern w:val="0"/>
                <w:lang w:bidi="ar"/>
              </w:rPr>
            </w:pPr>
            <w:r>
              <w:rPr>
                <w:rFonts w:hint="eastAsia" w:ascii="仿宋" w:hAnsi="仿宋" w:cs="仿宋"/>
              </w:rPr>
              <w:t>（注：其他不足之处是指内容套用或错用、凭空编造、科学原理错误以及不可能实现的夸大情形等。）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autoSpaceDN w:val="0"/>
              <w:rPr>
                <w:rFonts w:ascii="仿宋" w:hAnsi="仿宋" w:cs="仿宋"/>
              </w:rPr>
            </w:pPr>
          </w:p>
          <w:p>
            <w:pPr>
              <w:widowControl/>
              <w:autoSpaceDN w:val="0"/>
              <w:rPr>
                <w:rFonts w:ascii="仿宋" w:hAnsi="仿宋" w:cs="仿宋"/>
              </w:rPr>
            </w:pPr>
          </w:p>
          <w:p>
            <w:pPr>
              <w:widowControl/>
              <w:autoSpaceDN w:val="0"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主观评审项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技术类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评分因 </w:t>
            </w:r>
          </w:p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  <w:kern w:val="0"/>
                <w:lang w:bidi="ar"/>
              </w:rPr>
              <w:t xml:space="preserve">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5" w:type="pct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6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节能、环境标志、无线局域网产品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2分</w:t>
            </w:r>
          </w:p>
        </w:tc>
        <w:tc>
          <w:tcPr>
            <w:tcW w:w="2738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投标产品中属于政府采购优先采购范围的，则每有一项节能产品或环境标志产品或无线局域网产品的得0.5分，非节能、环境标志产品的、无线局域网产品的不得分。本项最多得2分。</w:t>
            </w:r>
          </w:p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注：1. 节能产品、环境标志产品优先采购范围以品目清单为准。无线局域网产品优先采购范围以中国政府采购网公布的《无线局域网认证产品政府采购清单》为准。</w:t>
            </w:r>
          </w:p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>2. 投标产品属于优先采购范围内的节能产品或者环境标志产品的，提供国家确定的认证机构出具的、处于有效期之内的节能产品、环境标志产品认证证书复印件加盖供应商公章（鲜章）。</w:t>
            </w:r>
          </w:p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  <w:bCs/>
              </w:rPr>
              <w:t xml:space="preserve">3. 投标产品属于优先采购范围内的无线局域网产品的，提供政府采购清单对应页并加盖供应商单位公章（鲜章）。 </w:t>
            </w:r>
          </w:p>
        </w:tc>
        <w:tc>
          <w:tcPr>
            <w:tcW w:w="413" w:type="pct"/>
            <w:vAlign w:val="center"/>
          </w:tcPr>
          <w:p>
            <w:pPr>
              <w:widowControl/>
              <w:rPr>
                <w:rFonts w:ascii="仿宋" w:hAnsi="仿宋" w:cs="仿宋"/>
                <w:bCs/>
              </w:rPr>
            </w:pPr>
            <w:r>
              <w:rPr>
                <w:rFonts w:hint="eastAsia" w:ascii="仿宋" w:hAnsi="仿宋" w:cs="仿宋"/>
              </w:rPr>
              <w:t>客观评审项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rPr>
                <w:rFonts w:ascii="仿宋" w:hAnsi="仿宋" w:cs="仿宋"/>
              </w:rPr>
            </w:pPr>
            <w:r>
              <w:rPr>
                <w:rFonts w:hint="eastAsia" w:ascii="仿宋" w:hAnsi="仿宋" w:cs="仿宋"/>
              </w:rPr>
              <w:t>共同评分因素</w:t>
            </w:r>
          </w:p>
        </w:tc>
      </w:tr>
    </w:tbl>
    <w:p>
      <w:pPr>
        <w:pStyle w:val="2"/>
        <w:ind w:firstLine="562" w:firstLineChars="200"/>
        <w:rPr>
          <w:rFonts w:ascii="仿宋" w:hAnsi="仿宋"/>
          <w:b/>
          <w:sz w:val="28"/>
          <w:szCs w:val="28"/>
        </w:rPr>
      </w:pPr>
      <w:r>
        <w:rPr>
          <w:rFonts w:hint="eastAsia" w:ascii="仿宋" w:hAnsi="仿宋"/>
          <w:b/>
          <w:sz w:val="28"/>
          <w:szCs w:val="28"/>
        </w:rPr>
        <w:t>其余不变，特此通知！</w:t>
      </w:r>
    </w:p>
    <w:p/>
    <w:p>
      <w:pPr>
        <w:jc w:val="right"/>
      </w:pPr>
      <w:r>
        <w:rPr>
          <w:rFonts w:hint="eastAsia" w:ascii="仿宋" w:hAnsi="仿宋"/>
          <w:b/>
          <w:sz w:val="28"/>
          <w:szCs w:val="28"/>
        </w:rPr>
        <w:t>四川护理职业学院附属医院（四川省第三人民医院）</w:t>
      </w:r>
    </w:p>
    <w:p>
      <w:pPr>
        <w:pStyle w:val="2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 xml:space="preserve">                             </w:t>
      </w:r>
      <w:bookmarkStart w:id="0" w:name="_GoBack"/>
      <w:bookmarkEnd w:id="0"/>
      <w:r>
        <w:rPr>
          <w:rFonts w:hint="eastAsia"/>
          <w:b/>
          <w:bCs/>
          <w:sz w:val="32"/>
          <w:szCs w:val="22"/>
        </w:rPr>
        <w:t>二〇二三年一月</w:t>
      </w:r>
      <w:r>
        <w:rPr>
          <w:rFonts w:hint="eastAsia"/>
          <w:b/>
          <w:bCs/>
          <w:sz w:val="32"/>
          <w:szCs w:val="22"/>
          <w:lang w:val="en-US" w:eastAsia="zh-CN"/>
        </w:rPr>
        <w:t>三十一</w:t>
      </w:r>
      <w:r>
        <w:rPr>
          <w:rFonts w:hint="eastAsia"/>
          <w:b/>
          <w:bCs/>
          <w:sz w:val="32"/>
          <w:szCs w:val="2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MGRhNTEyZmViNzQxNTc2MmM3YzYzMGEwNjJhNjUifQ=="/>
    <w:docVar w:name="KSO_WPS_MARK_KEY" w:val="47c304a9-ccbc-4572-9286-f4653a2e5e57"/>
  </w:docVars>
  <w:rsids>
    <w:rsidRoot w:val="00B942AB"/>
    <w:rsid w:val="005B1D83"/>
    <w:rsid w:val="007B0E88"/>
    <w:rsid w:val="00B942AB"/>
    <w:rsid w:val="115C4570"/>
    <w:rsid w:val="31721880"/>
    <w:rsid w:val="407F4CC8"/>
    <w:rsid w:val="488D09E8"/>
    <w:rsid w:val="530818F5"/>
    <w:rsid w:val="59DE7A9C"/>
    <w:rsid w:val="64F97173"/>
    <w:rsid w:val="6D1C73B8"/>
    <w:rsid w:val="7F7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paragraph" w:styleId="7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eastAsia="宋体"/>
      <w:i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4201</Words>
  <Characters>4349</Characters>
  <Lines>33</Lines>
  <Paragraphs>9</Paragraphs>
  <TotalTime>0</TotalTime>
  <ScaleCrop>false</ScaleCrop>
  <LinksUpToDate>false</LinksUpToDate>
  <CharactersWithSpaces>4422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2023-01-19T01:55:00Z</dcterms:created>
  <dc:creator>Admin</dc:creator>
  <cp:lastModifiedBy>ddd</cp:lastModifiedBy>
  <cp:lastPrinted>2023-01-12T07:22:00Z</cp:lastPrinted>
  <dcterms:modified xsi:type="dcterms:W3CDTF">2023-01-31T07:17:25Z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EFE7B2379A5F4B48B46AA6FC4FFA32DD</vt:lpwstr>
  </property>
</Properties>
</file>