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pPr>
      <w:r>
        <w:rPr>
          <w:b/>
          <w:sz w:val="48"/>
        </w:rPr>
        <w:t>询价通知书</w:t>
      </w:r>
      <w:r>
        <w:br/>
      </w:r>
      <w:r>
        <w:br/>
      </w:r>
      <w:r>
        <w:br/>
      </w:r>
    </w:p>
    <w:p>
      <w:pPr>
        <w:pStyle w:val="null3"/>
        <w:jc w:val="center"/>
      </w:pPr>
      <w:r>
        <w:rPr>
          <w:b/>
          <w:sz w:val="36"/>
        </w:rPr>
        <w:t>（货物类）</w:t>
      </w:r>
      <w:r>
        <w:br/>
      </w:r>
      <w:r>
        <w:br/>
      </w:r>
      <w:r>
        <w:br/>
      </w:r>
      <w:r>
        <w:br/>
      </w:r>
      <w:r>
        <w:br/>
      </w:r>
      <w:r>
        <w:br/>
      </w:r>
      <w:r>
        <w:br/>
      </w:r>
      <w:r>
        <w:br/>
      </w:r>
      <w:r>
        <w:br/>
      </w:r>
      <w:r>
        <w:br/>
      </w:r>
      <w:r>
        <w:br/>
      </w:r>
    </w:p>
    <w:p>
      <w:pPr>
        <w:pStyle w:val="null3"/>
        <w:jc w:val="center"/>
      </w:pPr>
      <w:r>
        <w:rPr>
          <w:b/>
          <w:sz w:val="28"/>
        </w:rPr>
        <w:t>采购项目名称：</w:t>
      </w:r>
      <w:r>
        <w:rPr>
          <w:b/>
          <w:sz w:val="28"/>
        </w:rPr>
        <w:t>2022年度LED屏幕采购项目</w:t>
      </w:r>
    </w:p>
    <w:p>
      <w:pPr>
        <w:pStyle w:val="null3"/>
        <w:jc w:val="center"/>
      </w:pPr>
      <w:r>
        <w:rPr>
          <w:b/>
          <w:sz w:val="28"/>
        </w:rPr>
        <w:t>采购项目编号：</w:t>
      </w:r>
      <w:r>
        <w:rPr>
          <w:b/>
          <w:sz w:val="28"/>
        </w:rPr>
        <w:t>N5100012022003686</w:t>
      </w:r>
      <w:r>
        <w:br/>
      </w:r>
      <w:r>
        <w:br/>
      </w:r>
      <w:r>
        <w:br/>
      </w:r>
    </w:p>
    <w:p>
      <w:pPr>
        <w:pStyle w:val="null3"/>
        <w:jc w:val="center"/>
      </w:pPr>
      <w:r>
        <w:rPr>
          <w:b/>
          <w:sz w:val="28"/>
        </w:rPr>
        <w:t>成都航空职业技术学院</w:t>
      </w:r>
    </w:p>
    <w:p>
      <w:pPr>
        <w:pStyle w:val="null3"/>
        <w:jc w:val="center"/>
      </w:pPr>
      <w:r>
        <w:rPr>
          <w:b/>
          <w:sz w:val="28"/>
        </w:rPr>
        <w:t>四川省政府采购中心</w:t>
      </w:r>
      <w:r>
        <w:rPr>
          <w:b/>
          <w:sz w:val="28"/>
        </w:rPr>
        <w:t>共同编制</w:t>
      </w:r>
    </w:p>
    <w:p>
      <w:pPr>
        <w:pStyle w:val="null3"/>
        <w:jc w:val="center"/>
      </w:pPr>
      <w:r>
        <w:rPr>
          <w:b/>
          <w:sz w:val="28"/>
        </w:rPr>
        <w:t>2022年12月29日</w:t>
      </w:r>
    </w:p>
    <w:p>
      <w:pPr>
        <w:pStyle w:val="null3"/>
      </w:pPr>
    </w:p>
    <w:p>
      <w:pPr>
        <w:pStyle w:val="null3"/>
      </w:pPr>
      <w:r>
        <w:rPr/>
        <w:t xml:space="preserve"> </w:t>
      </w:r>
    </w:p>
    <w:p>
      <w:pPr>
        <w:pStyle w:val="null3"/>
      </w:pPr>
      <w:r>
        <w:rPr>
          <w:b/>
          <w:sz w:val="36"/>
        </w:rPr>
        <w:t>第一章 询价邀请</w:t>
      </w:r>
    </w:p>
    <w:p>
      <w:pPr>
        <w:pStyle w:val="null3"/>
        <w:ind w:firstLine="480"/>
      </w:pPr>
      <w:r>
        <w:rPr/>
        <w:t>四川省政府采购中心</w:t>
      </w:r>
      <w:r>
        <w:rPr/>
        <w:t>（以下简称“代理机构”）受</w:t>
      </w:r>
      <w:r>
        <w:rPr/>
        <w:t>成都航空职业技术学院</w:t>
      </w:r>
      <w:r>
        <w:rPr/>
        <w:t>委托，拟对</w:t>
      </w:r>
      <w:r>
        <w:rPr/>
        <w:t>2022年度LED屏幕采购项目</w:t>
      </w:r>
      <w:r>
        <w:rPr/>
        <w:t>进行询价采购，兹邀请供应商参加询价。</w:t>
      </w:r>
    </w:p>
    <w:p>
      <w:pPr>
        <w:pStyle w:val="null3"/>
      </w:pPr>
      <w:r>
        <w:rPr>
          <w:b/>
          <w:sz w:val="28"/>
        </w:rPr>
        <w:t>一、采购项目编号：</w:t>
      </w:r>
      <w:r>
        <w:rPr>
          <w:b/>
          <w:sz w:val="28"/>
        </w:rPr>
        <w:t>N5100012022003686</w:t>
      </w:r>
    </w:p>
    <w:p>
      <w:pPr>
        <w:pStyle w:val="null3"/>
      </w:pPr>
      <w:r>
        <w:rPr>
          <w:b/>
          <w:sz w:val="28"/>
        </w:rPr>
        <w:t>二、采购项目名称：</w:t>
      </w:r>
      <w:r>
        <w:rPr>
          <w:b/>
          <w:sz w:val="28"/>
        </w:rPr>
        <w:t>2022年度LED屏幕采购项目</w:t>
      </w:r>
    </w:p>
    <w:p>
      <w:pPr>
        <w:pStyle w:val="null3"/>
      </w:pPr>
      <w:r>
        <w:rPr>
          <w:b/>
          <w:sz w:val="28"/>
        </w:rPr>
        <w:t>三、项目简介</w:t>
      </w:r>
    </w:p>
    <w:p>
      <w:pPr>
        <w:pStyle w:val="null3"/>
        <w:ind w:firstLine="480"/>
      </w:pPr>
      <w:r>
        <w:rPr/>
        <w:t>为了更好的提高服务水平，成都航空职业技术学院拟采购一批LED显示屏</w:t>
      </w:r>
    </w:p>
    <w:p>
      <w:pPr>
        <w:pStyle w:val="null3"/>
      </w:pPr>
      <w:r>
        <w:rPr>
          <w:b/>
          <w:sz w:val="28"/>
        </w:rPr>
        <w:t>四、邀请供应商方式</w:t>
      </w:r>
    </w:p>
    <w:p>
      <w:pPr>
        <w:pStyle w:val="null3"/>
      </w:pPr>
    </w:p>
    <w:p>
      <w:pPr>
        <w:pStyle w:val="null3"/>
      </w:pPr>
    </w:p>
    <w:p>
      <w:pPr>
        <w:pStyle w:val="null3"/>
      </w:pPr>
      <w:r>
        <w:rPr/>
        <w:t>本次采购采取公告征集邀请询价的供应商。</w:t>
      </w:r>
    </w:p>
    <w:p>
      <w:pPr>
        <w:pStyle w:val="null3"/>
      </w:pPr>
      <w:r>
        <w:rPr/>
        <w:t>公告征集：本次询价采购在“四川政府采购网（www.ccgp-sichuan.gov.cn）”上以公告形式发布，兹邀请符合本次采购要求的供应商参加本项目询价采购。</w:t>
      </w:r>
    </w:p>
    <w:p>
      <w:pPr>
        <w:pStyle w:val="null3"/>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无</w:t>
      </w:r>
    </w:p>
    <w:p>
      <w:pPr>
        <w:pStyle w:val="null3"/>
        <w:ind w:firstLine="480"/>
        <w:jc w:val="left"/>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无</w:t>
      </w:r>
    </w:p>
    <w:p>
      <w:pPr>
        <w:pStyle w:val="null3"/>
      </w:pPr>
    </w:p>
    <w:p>
      <w:pPr>
        <w:pStyle w:val="null3"/>
      </w:pPr>
      <w:r>
        <w:rPr/>
        <w:t>采购包2：</w:t>
      </w:r>
    </w:p>
    <w:p>
      <w:pPr>
        <w:pStyle w:val="null3"/>
      </w:pPr>
      <w:r>
        <w:rPr/>
        <w:t>无</w:t>
      </w:r>
    </w:p>
    <w:p>
      <w:pPr>
        <w:pStyle w:val="null3"/>
      </w:pPr>
      <w:r>
        <w:rPr>
          <w:b/>
          <w:sz w:val="28"/>
        </w:rPr>
        <w:t>六、电子化采购相关事项</w:t>
      </w:r>
    </w:p>
    <w:p>
      <w:pPr>
        <w:pStyle w:val="null3"/>
        <w:ind w:firstLine="480"/>
      </w:pPr>
      <w:r>
        <w:rPr/>
        <w:t>本项目实行电子化采购，使用的电子化交易系统为：四川省政府采购一体化平台的项目电子化交易系统（以下简称项目电子化交易系统），登录方式及地址：通过四川政府采购网（www.ccgp-sichuan.gov.cn）首页供应商用户登录四川省政府采购一体化平台（以下简称“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pPr>
      <w:r>
        <w:rPr>
          <w:b/>
          <w:sz w:val="28"/>
        </w:rPr>
        <w:t>七、询价通知书获取时间、方式及地址</w:t>
      </w:r>
    </w:p>
    <w:p>
      <w:pPr>
        <w:pStyle w:val="null3"/>
        <w:ind w:firstLine="480"/>
      </w:pPr>
      <w:r>
        <w:rPr/>
        <w:t>（一）询价通知书获取时间：详见采购公告或邀请书。</w:t>
      </w:r>
    </w:p>
    <w:p>
      <w:pPr>
        <w:pStyle w:val="null3"/>
        <w:ind w:firstLine="480"/>
      </w:pPr>
      <w:r>
        <w:rPr/>
        <w:t>（二）在询价通知书获取开始时间前，采购人或代理机构将本项目询价通知书上传至项目电子化交易系统，免费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t>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供应商未重新获取询价通知书或者未按照澄清或者修改后的询价通知书编制响应文件进行响应的，自行承担不利后果。</w:t>
      </w:r>
    </w:p>
    <w:p>
      <w:pPr>
        <w:pStyle w:val="null3"/>
        <w:ind w:firstLine="480"/>
      </w:pPr>
      <w:r>
        <w:rPr/>
        <w:t>注：获取的询价通知书主体格式包括pdf、word两种格式版本，其中以pdf格式为准。</w:t>
      </w:r>
    </w:p>
    <w:p>
      <w:pPr>
        <w:pStyle w:val="null3"/>
      </w:pPr>
      <w:r>
        <w:rPr>
          <w:b/>
          <w:sz w:val="28"/>
        </w:rPr>
        <w:t>八、响应文件提交截止时间及开启时间（北京时间）、地点、方式</w:t>
      </w:r>
    </w:p>
    <w:p>
      <w:pPr>
        <w:pStyle w:val="null3"/>
        <w:ind w:firstLine="480"/>
      </w:pPr>
      <w:r>
        <w:rPr/>
        <w:t>（一）响应文件提交截止时间及开启时间：详见采购公告或邀请书。</w:t>
      </w:r>
    </w:p>
    <w:p>
      <w:pPr>
        <w:pStyle w:val="null3"/>
        <w:ind w:firstLine="480"/>
      </w:pPr>
      <w:r>
        <w:rPr/>
        <w:t>（二）响应文件提交方式、地点：供应商应当在响应文件提交截止时间前，通过项目电子化交易系统提交响应文件。成功提交的，供应商将收到已提交响应文件的回执函。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（三）本项目采取网上开启，即采购人或代理机构通过项目电子化交易系统“开标/开启大厅”组织在线开启。</w:t>
      </w:r>
    </w:p>
    <w:p>
      <w:pPr>
        <w:pStyle w:val="null3"/>
      </w:pPr>
      <w:r>
        <w:rPr>
          <w:b/>
          <w:sz w:val="28"/>
        </w:rPr>
        <w:t>九、本询价邀请在四川政府采购网以公告形式发布</w:t>
      </w:r>
    </w:p>
    <w:p>
      <w:pPr>
        <w:pStyle w:val="null3"/>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pPr>
      <w:r>
        <w:rPr>
          <w:b/>
          <w:sz w:val="28"/>
        </w:rPr>
        <w:t>十一、联系方式</w:t>
      </w:r>
    </w:p>
    <w:p>
      <w:pPr>
        <w:pStyle w:val="null3"/>
      </w:pPr>
      <w:r>
        <w:rPr>
          <w:b/>
          <w:sz w:val="28"/>
        </w:rPr>
        <w:t>采购人：</w:t>
      </w:r>
      <w:r>
        <w:rPr>
          <w:b/>
          <w:sz w:val="28"/>
        </w:rPr>
        <w:t>成都航空职业技术学院</w:t>
      </w:r>
    </w:p>
    <w:p>
      <w:pPr>
        <w:pStyle w:val="null3"/>
      </w:pPr>
    </w:p>
    <w:p>
      <w:pPr>
        <w:pStyle w:val="null3"/>
      </w:pPr>
    </w:p>
    <w:p>
      <w:pPr>
        <w:pStyle w:val="null3"/>
      </w:pPr>
      <w:r>
        <w:rPr/>
        <w:t>地址：</w:t>
      </w:r>
      <w:r>
        <w:rPr/>
        <w:t>四川省成都市龙泉驿区车城东七路699号</w:t>
      </w:r>
    </w:p>
    <w:p>
      <w:pPr>
        <w:pStyle w:val="null3"/>
      </w:pPr>
      <w:r>
        <w:rPr/>
        <w:t>邮编：</w:t>
      </w:r>
      <w:r>
        <w:rPr/>
        <w:t>614000</w:t>
      </w:r>
    </w:p>
    <w:p>
      <w:pPr>
        <w:pStyle w:val="null3"/>
      </w:pPr>
      <w:r>
        <w:rPr/>
        <w:t>联系人：</w:t>
      </w:r>
      <w:r>
        <w:rPr/>
        <w:t>卢老师</w:t>
      </w:r>
    </w:p>
    <w:p>
      <w:pPr>
        <w:pStyle w:val="null3"/>
      </w:pPr>
      <w:r>
        <w:rPr/>
        <w:t>联系电话：</w:t>
      </w:r>
      <w:r>
        <w:rPr/>
        <w:t>02888459327</w:t>
      </w:r>
    </w:p>
    <w:p>
      <w:pPr>
        <w:pStyle w:val="null3"/>
      </w:pPr>
      <w:r>
        <w:rPr>
          <w:b/>
          <w:sz w:val="28"/>
        </w:rPr>
        <w:t>代理机构：</w:t>
      </w:r>
      <w:r>
        <w:rPr>
          <w:b/>
          <w:sz w:val="28"/>
        </w:rPr>
        <w:t>四川省政府采购中心</w:t>
      </w:r>
    </w:p>
    <w:p>
      <w:pPr>
        <w:pStyle w:val="null3"/>
      </w:pPr>
    </w:p>
    <w:p>
      <w:pPr>
        <w:pStyle w:val="null3"/>
      </w:pPr>
    </w:p>
    <w:p>
      <w:pPr>
        <w:pStyle w:val="null3"/>
      </w:pPr>
      <w:r>
        <w:rPr/>
        <w:t>地址：</w:t>
      </w:r>
      <w:r>
        <w:rPr/>
        <w:t>四川省成都市青羊区顺城大街222号或鼓楼南街101号（丰德成达中心10层）</w:t>
      </w:r>
    </w:p>
    <w:p>
      <w:pPr>
        <w:pStyle w:val="null3"/>
      </w:pPr>
      <w:r>
        <w:rPr/>
        <w:t>邮编：</w:t>
      </w:r>
      <w:r>
        <w:rPr/>
        <w:t>614000</w:t>
      </w:r>
    </w:p>
    <w:p>
      <w:pPr>
        <w:pStyle w:val="null3"/>
      </w:pPr>
      <w:r>
        <w:rPr/>
        <w:t>联系人：</w:t>
      </w:r>
      <w:r>
        <w:rPr/>
        <w:t>刘老师</w:t>
      </w:r>
    </w:p>
    <w:p>
      <w:pPr>
        <w:pStyle w:val="null3"/>
      </w:pPr>
      <w:r>
        <w:rPr/>
        <w:t>联系电话：</w:t>
      </w:r>
      <w:r>
        <w:rPr/>
        <w:t>028-61318949</w:t>
      </w:r>
    </w:p>
    <w:p>
      <w:pPr>
        <w:pStyle w:val="null3"/>
      </w:pPr>
      <w:r>
        <w:rPr>
          <w:b/>
          <w:sz w:val="28"/>
        </w:rPr>
        <w:t>采购监督机构：</w:t>
      </w:r>
      <w:r>
        <w:rPr>
          <w:b/>
          <w:sz w:val="28"/>
        </w:rPr>
        <w:t>四川省财政厅政府采购处</w:t>
      </w:r>
    </w:p>
    <w:p>
      <w:pPr>
        <w:pStyle w:val="null3"/>
        <w:ind w:firstLine="480"/>
      </w:pPr>
      <w:r>
        <w:rPr/>
        <w:t>联系人：</w:t>
      </w:r>
      <w:r>
        <w:rPr/>
        <w:t>胡老师</w:t>
      </w:r>
    </w:p>
    <w:p>
      <w:pPr>
        <w:pStyle w:val="null3"/>
        <w:ind w:firstLine="480"/>
      </w:pPr>
      <w:r>
        <w:rPr/>
        <w:t>联系电话：</w:t>
      </w:r>
      <w:r>
        <w:rPr/>
        <w:t>02886723190、02886710611</w:t>
      </w:r>
    </w:p>
    <w:p>
      <w:pPr>
        <w:pStyle w:val="null3"/>
      </w:pPr>
    </w:p>
    <w:p>
      <w:pPr>
        <w:pStyle w:val="null3"/>
      </w:pPr>
      <w:r>
        <w:rPr/>
        <w:t xml:space="preserve"> </w:t>
      </w:r>
    </w:p>
    <w:p>
      <w:pPr>
        <w:pStyle w:val="null3"/>
      </w:pPr>
      <w:r>
        <w:rPr>
          <w:b/>
          <w:sz w:val="36"/>
        </w:rPr>
        <w:t>第二章 供应商须知</w:t>
      </w:r>
    </w:p>
    <w:p>
      <w:pPr>
        <w:pStyle w:val="null3"/>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采购包1：90,000.00元</w:t>
            </w:r>
          </w:p>
          <w:p>
            <w:pPr>
              <w:pStyle w:val="null3"/>
            </w:pPr>
            <w:r>
              <w:rPr/>
              <w:t>采购包2：280,000.00元</w:t>
            </w:r>
            <w:r>
              <w:rPr/>
              <w:t>供应商的采购包响应报价高于采购包采购预算的，其响应文件将按无效处理。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最低评标价法（详见第四章）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p>
            <w:pPr>
              <w:pStyle w:val="null3"/>
            </w:pPr>
            <w:r>
              <w:rPr/>
              <w:t>采购包2：不接受</w:t>
            </w:r>
          </w:p>
        </w:tc>
      </w:tr>
      <w:tr>
        <w:tc>
          <w:tcPr>
            <w:tcW w:type="dxa" w:w="1051"/>
          </w:tcPr>
          <w:p>
            <w:pPr>
              <w:pStyle w:val="null3"/>
            </w:pPr>
            <w:r>
              <w:rPr/>
              <w:t>5</w:t>
            </w:r>
          </w:p>
        </w:tc>
        <w:tc>
          <w:tcPr>
            <w:tcW w:type="dxa" w:w="2252"/>
          </w:tcPr>
          <w:p>
            <w:pPr>
              <w:pStyle w:val="null3"/>
            </w:pPr>
            <w:r>
              <w:rPr/>
              <w:t>落实节能、环保、无线局域网、信息安全产品政策</w:t>
            </w:r>
          </w:p>
        </w:tc>
        <w:tc>
          <w:tcPr>
            <w:tcW w:type="dxa" w:w="5004"/>
          </w:tcPr>
          <w:p>
            <w:pPr>
              <w:pStyle w:val="null3"/>
            </w:pPr>
            <w:r>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产品属于环境标志产品政府采购品目清单中应优先采购的产品范围，响应报价相同的，按供应商提供的优先采购产品认证证书数量由多到少顺序排列。</w:t>
            </w:r>
          </w:p>
          <w:p>
            <w:pPr>
              <w:pStyle w:val="null3"/>
            </w:pPr>
            <w:r>
              <w:rPr/>
              <w:t>4.响应产品属于中国政府采购网公布的《无线局域网认证产品政府采购清单》且在有效期内的，按《财政部国家发展改革委信息产业部关于印发无线局域网产品政府采购实施意见的通知》（财库〔2005〕366号）要求优先采购。</w:t>
            </w:r>
          </w:p>
          <w:p>
            <w:pPr>
              <w:pStyle w:val="null3"/>
            </w:pPr>
            <w:r>
              <w:rPr/>
              <w:t>5.本项目采购的</w:t>
            </w:r>
            <w:r>
              <w:rPr/>
              <w:t>/</w:t>
            </w:r>
            <w:r>
              <w:rPr/>
              <w:t>产品属于信息安全产品，根据《关于信息安全产品实施政府采购的通知》（财库〔2010〕48号）的要求，供应商应当提供由中国网络安全审查技术与认证中心按国家标准认证颁发的有效认证证书和销售许可证，否则其响应文件将被视为无效响应处理。具体详见《信息安全产品强制性认证目录》。（实质性要求）</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关于本项目采购包中执行小微企业（监狱企业、残疾人福利性单位视同小微企业）价格扣除情况、具体扣除比例和规则详见第四章。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t>核心产品清单详见第三章。</w:t>
            </w:r>
          </w:p>
          <w:p>
            <w:pPr>
              <w:pStyle w:val="null3"/>
            </w:pPr>
            <w:r>
              <w:rPr/>
              <w:t>在符合性审查环节提供核心产品品牌不足3个的，视为有效响应供应商不足3家。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注：供应商报价低于最高限价50%或者低于其他有效供应商报价算术平均价40%的，询价小组可以认为该供应商“报价明显低于其他实质性响应的供应商报价”。）</w:t>
            </w:r>
          </w:p>
        </w:tc>
      </w:tr>
      <w:tr>
        <w:tc>
          <w:tcPr>
            <w:tcW w:type="dxa" w:w="1051"/>
          </w:tcPr>
          <w:p>
            <w:pPr>
              <w:pStyle w:val="null3"/>
            </w:pPr>
            <w:r>
              <w:rPr/>
              <w:t>9</w:t>
            </w:r>
          </w:p>
        </w:tc>
        <w:tc>
          <w:tcPr>
            <w:tcW w:type="dxa" w:w="2252"/>
          </w:tcPr>
          <w:p>
            <w:pPr>
              <w:pStyle w:val="null3"/>
            </w:pPr>
            <w:r>
              <w:rPr/>
              <w:t>保证金</w:t>
            </w:r>
          </w:p>
        </w:tc>
        <w:tc>
          <w:tcPr>
            <w:tcW w:type="dxa" w:w="5004"/>
          </w:tcPr>
          <w:p>
            <w:pPr>
              <w:pStyle w:val="null3"/>
            </w:pPr>
            <w:r>
              <w:rPr/>
              <w:t>本项目不收取保证金。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采购包1：缴纳</w:t>
            </w:r>
          </w:p>
          <w:p>
            <w:pPr>
              <w:pStyle w:val="null3"/>
            </w:pPr>
            <w:r>
              <w:rPr/>
              <w:t>本采购包履约保证金为合同金额的5.0%</w:t>
            </w:r>
          </w:p>
          <w:p>
            <w:pPr>
              <w:pStyle w:val="null3"/>
            </w:pPr>
            <w:r>
              <w:rPr/>
              <w:t>说明：出具保函的主体应当是金融机构、保险机构、担保机构等依法成立 且具有相关资质和偿付能力的机构，否则将取消中标供应商的中标资格，采购人将重新确定中标供应商，并依法追究法律责任。 收款单位：成都航空职业技术学院 开户银行：建设银行成都领事馆分理处 银行账号：5100 1479 0660 5009 1139 交款时间：中标通知书发出后，政府采购合同签订前。 退款方式：履约验收合格后一次性及时退还。 履约保证金不予退还情形：未按政府采购合同履约的。 履约保证金不予退还的，将按照有关规定上缴国库。逾期退还履约保证金的，将依法承担法律责任，并赔偿投标人损失。</w:t>
            </w:r>
          </w:p>
          <w:p>
            <w:pPr>
              <w:pStyle w:val="null3"/>
            </w:pPr>
          </w:p>
          <w:p>
            <w:pPr>
              <w:pStyle w:val="null3"/>
            </w:pPr>
            <w:r>
              <w:rPr/>
              <w:t>采购包2：缴纳</w:t>
            </w:r>
          </w:p>
          <w:p>
            <w:pPr>
              <w:pStyle w:val="null3"/>
            </w:pPr>
            <w:r>
              <w:rPr/>
              <w:t>本采购包履约保证金为合同金额的5.0%</w:t>
            </w:r>
          </w:p>
          <w:p>
            <w:pPr>
              <w:pStyle w:val="null3"/>
            </w:pPr>
            <w:r>
              <w:rPr/>
              <w:t>说明：出具保函的主体应当是金融机构、保险机构、担保机构等依法成立 且具有相关资质和偿付能力的机构，否则将取消中标供应商的中标资格，采购人将重新确定中标供应商，并依法追究法律责任。 收款单位：成都航空职业技术学院 开户银行：建设银行成都领事馆分理处 银行账号：5100 1479 0660 5009 1139 交款时间：中标通知书发出后，政府采购合同签订前。 退款方式：履约验收合格后一次性及时退还。 履约保证金不予退还情形：未按政府采购合同履约的。 履约保证金不予退还的，将按照有关规定上缴国库。逾期退还履约保证金的，将依法承担法律责任，并赔偿投标人损失。</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120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本项目不收取代理服务费</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p>
            <w:pPr>
              <w:pStyle w:val="null3"/>
            </w:pPr>
          </w:p>
          <w:p>
            <w:pPr>
              <w:pStyle w:val="null3"/>
            </w:pPr>
            <w:r>
              <w:rPr/>
              <w:t>采购包2：组织现场踏勘：否</w:t>
            </w:r>
          </w:p>
        </w:tc>
      </w:tr>
      <w:tr>
        <w:tc>
          <w:tcPr>
            <w:tcW w:type="dxa" w:w="1051"/>
          </w:tcPr>
          <w:p>
            <w:pPr>
              <w:pStyle w:val="null3"/>
            </w:pPr>
            <w:r>
              <w:rPr/>
              <w:t>18</w:t>
            </w:r>
          </w:p>
        </w:tc>
        <w:tc>
          <w:tcPr>
            <w:tcW w:type="dxa" w:w="2252"/>
          </w:tcPr>
          <w:p>
            <w:pPr>
              <w:pStyle w:val="null3"/>
            </w:pPr>
            <w:r>
              <w:rPr/>
              <w:t>开启方式</w:t>
            </w:r>
          </w:p>
        </w:tc>
        <w:tc>
          <w:tcPr>
            <w:tcW w:type="dxa" w:w="5004"/>
          </w:tcPr>
          <w:p>
            <w:pPr>
              <w:pStyle w:val="null3"/>
            </w:pPr>
            <w:r>
              <w:rPr/>
              <w:t>响应文件提交截止时间前30分钟，供应商登录项目电子化交易系统-“开标/开启大厅”参与开启。</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出现下列情形之一的，采购人或者采购代理机构应当中止电子化采购活动，并保留相关证明材料备查：</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出现上述的情形，不影响采购公平、公正的，采购人或者采购代理机构可以待上述情形消除后继续组织采购活动；影响或者可能影响采购公平、公正的，采购人或者采购代理机构应当依法终止采购活动。</w:t>
            </w:r>
          </w:p>
        </w:tc>
      </w:tr>
      <w:tr>
        <w:tc>
          <w:tcPr>
            <w:tcW w:type="dxa" w:w="1051"/>
          </w:tcPr>
          <w:p>
            <w:pPr>
              <w:pStyle w:val="null3"/>
            </w:pPr>
            <w:r>
              <w:rPr/>
              <w:t>20</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pPr>
      <w:r>
        <w:rPr>
          <w:b/>
          <w:sz w:val="28"/>
        </w:rPr>
        <w:t>2.2总则</w:t>
      </w:r>
    </w:p>
    <w:p>
      <w:pPr>
        <w:pStyle w:val="null3"/>
      </w:pPr>
      <w:r>
        <w:rPr>
          <w:b/>
          <w:sz w:val="24"/>
        </w:rPr>
        <w:t>2.2.1适用范围</w:t>
      </w:r>
    </w:p>
    <w:p>
      <w:pPr>
        <w:pStyle w:val="null3"/>
        <w:ind w:firstLine="480"/>
      </w:pPr>
      <w:r>
        <w:rPr/>
        <w:t>一、本询价通知书仅适用于本次询价采购项目。</w:t>
      </w:r>
    </w:p>
    <w:p>
      <w:pPr>
        <w:pStyle w:val="null3"/>
        <w:ind w:firstLine="480"/>
      </w:pPr>
      <w:r>
        <w:rPr/>
        <w:t>二、本询价通知书的最终解释权由</w:t>
      </w:r>
      <w:r>
        <w:rPr/>
        <w:t>成都航空职业技术学院</w:t>
      </w:r>
      <w:r>
        <w:rPr/>
        <w:t>和</w:t>
      </w:r>
      <w:r>
        <w:rPr/>
        <w:t>四川省政府采购中心</w:t>
      </w:r>
      <w:r>
        <w:rPr/>
        <w:t>享有。询价通知书中供应商参加本次政府采购活动应当具备的条件、技术、服务、商务及其他要求由采购人负责解释。除前述询价通知书内容，其他内容</w:t>
      </w:r>
      <w:r>
        <w:rPr/>
        <w:t>四川省政府采购中心</w:t>
      </w:r>
      <w:r>
        <w:rPr/>
        <w:t>负责解释。</w:t>
      </w:r>
    </w:p>
    <w:p>
      <w:pPr>
        <w:pStyle w:val="null3"/>
      </w:pPr>
      <w:r>
        <w:rPr>
          <w:b/>
          <w:sz w:val="24"/>
        </w:rPr>
        <w:t>2.2.2有关定义</w:t>
      </w:r>
    </w:p>
    <w:p>
      <w:pPr>
        <w:pStyle w:val="null3"/>
        <w:ind w:firstLine="480"/>
      </w:pPr>
      <w:r>
        <w:rPr/>
        <w:t>一、“采购人”是指依法进行政府采购的各级国家机关、事业单位、团体组织。本次询价采购项目的采购人是</w:t>
      </w:r>
      <w:r>
        <w:rPr/>
        <w:t>成都航空职业技术学院</w:t>
      </w:r>
      <w:r>
        <w:rPr/>
        <w:t>。</w:t>
      </w:r>
    </w:p>
    <w:p>
      <w:pPr>
        <w:pStyle w:val="null3"/>
        <w:ind w:firstLine="480"/>
      </w:pPr>
      <w:r>
        <w:rPr/>
        <w:t>二、“供应商”是指按照本项目询价通知书规定获取询价通知书，拟参加响应和向采购人提供货物及相应服务的法人、其他组织或自然人。</w:t>
      </w:r>
    </w:p>
    <w:p>
      <w:pPr>
        <w:pStyle w:val="null3"/>
        <w:ind w:firstLine="480"/>
      </w:pPr>
      <w:r>
        <w:rPr/>
        <w:t>三、“代理机构”是指政府采购集中采购机构从事政府采购代理业务的社会中介机构。本项目的代理机构是</w:t>
      </w:r>
      <w:r>
        <w:rPr/>
        <w:t>四川省政府采购中心</w:t>
      </w:r>
      <w:r>
        <w:rPr/>
        <w:t>。</w:t>
      </w:r>
    </w:p>
    <w:p>
      <w:pPr>
        <w:pStyle w:val="null3"/>
        <w:ind w:firstLine="480"/>
      </w:pPr>
      <w:r>
        <w:rPr/>
        <w:t>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t>五、“电子评审”是指通过项目电子化交易系统在线完成询价小组组建，开展资格和符合性审查、比较与评价、出具评审报告、推荐成交候选供应商等活动。</w:t>
      </w:r>
    </w:p>
    <w:p>
      <w:pPr>
        <w:pStyle w:val="null3"/>
      </w:pPr>
      <w:r>
        <w:rPr>
          <w:b/>
          <w:sz w:val="28"/>
        </w:rPr>
        <w:t>2.3询价通知书</w:t>
      </w:r>
    </w:p>
    <w:p>
      <w:pPr>
        <w:pStyle w:val="null3"/>
      </w:pPr>
      <w:r>
        <w:rPr>
          <w:b/>
          <w:sz w:val="24"/>
        </w:rPr>
        <w:t>2.3.1询价通知书的构成</w:t>
      </w:r>
    </w:p>
    <w:p>
      <w:pPr>
        <w:pStyle w:val="null3"/>
        <w:ind w:firstLine="480"/>
      </w:pPr>
      <w:r>
        <w:rPr/>
        <w:t>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t>（一）询价邀请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（四）询价方法</w:t>
      </w:r>
    </w:p>
    <w:p>
      <w:pPr>
        <w:pStyle w:val="null3"/>
        <w:ind w:firstLine="480"/>
      </w:pPr>
      <w:r>
        <w:rPr/>
        <w:t>（五）响应文件格式</w:t>
      </w:r>
    </w:p>
    <w:p>
      <w:pPr>
        <w:pStyle w:val="null3"/>
        <w:ind w:firstLine="480"/>
      </w:pPr>
      <w:r>
        <w:rPr/>
        <w:t>（六）拟签订采购合同文本</w:t>
      </w:r>
    </w:p>
    <w:p>
      <w:pPr>
        <w:pStyle w:val="null3"/>
        <w:ind w:firstLine="480"/>
      </w:pPr>
      <w:r>
        <w:rPr/>
        <w:t>二、供应商应认真阅读和充分理解询价通知书中所有的事项、格式条款和规范要求。供应商没有对询价通知书全面作出实质性响应所产生的风险由供应商承担。</w:t>
      </w:r>
    </w:p>
    <w:p>
      <w:pPr>
        <w:pStyle w:val="null3"/>
      </w:pPr>
      <w:r>
        <w:rPr>
          <w:b/>
          <w:sz w:val="24"/>
        </w:rPr>
        <w:t>2.3.2询价通知书的澄清和修改</w:t>
      </w:r>
    </w:p>
    <w:p>
      <w:pPr>
        <w:pStyle w:val="null3"/>
        <w:ind w:firstLine="480"/>
      </w:pPr>
      <w:r>
        <w:rPr/>
        <w:t>一、在响应文件提交截止时间前，采购人或者代理机构可以对已发出的询价通知书进行必要的澄清或者修改。</w:t>
      </w:r>
    </w:p>
    <w:p>
      <w:pPr>
        <w:pStyle w:val="null3"/>
        <w:ind w:firstLine="480"/>
      </w:pPr>
      <w:r>
        <w:rPr/>
        <w:t>二、澄清或者修改的内容为询价通知书的组成部分。采购人或代理机构将在四川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pPr>
      <w:r>
        <w:rPr>
          <w:b/>
          <w:sz w:val="28"/>
        </w:rPr>
        <w:t>2.4响应文件</w:t>
      </w:r>
    </w:p>
    <w:p>
      <w:pPr>
        <w:pStyle w:val="null3"/>
      </w:pPr>
      <w:r>
        <w:rPr>
          <w:b/>
          <w:sz w:val="24"/>
        </w:rPr>
        <w:t>2.4.1响应文件的语言</w:t>
      </w:r>
    </w:p>
    <w:p>
      <w:pPr>
        <w:pStyle w:val="null3"/>
        <w:ind w:firstLine="480"/>
      </w:pPr>
      <w:r>
        <w:rPr/>
        <w:t>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pPr>
      <w:r>
        <w:rPr>
          <w:b/>
          <w:sz w:val="24"/>
        </w:rPr>
        <w:t>2.4.2计量单位（实质性要求）</w:t>
      </w:r>
    </w:p>
    <w:p>
      <w:pPr>
        <w:pStyle w:val="null3"/>
        <w:ind w:firstLine="480"/>
      </w:pPr>
      <w:r>
        <w:rPr/>
        <w:t>除询价通知书中另有规定外，本项目均采用国家法定的计量单位。</w:t>
      </w:r>
    </w:p>
    <w:p>
      <w:pPr>
        <w:pStyle w:val="null3"/>
      </w:pPr>
      <w:r>
        <w:rPr>
          <w:b/>
          <w:sz w:val="24"/>
        </w:rPr>
        <w:t>2.4.3响应货币（实质性要求）</w:t>
      </w:r>
    </w:p>
    <w:p>
      <w:pPr>
        <w:pStyle w:val="null3"/>
        <w:ind w:firstLine="480"/>
      </w:pPr>
      <w:r>
        <w:rPr/>
        <w:t>本次项目均以人民币报价。</w:t>
      </w:r>
    </w:p>
    <w:p>
      <w:pPr>
        <w:pStyle w:val="nul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三、如采用供应商所不拥有的知识产权，则在报价中必须包括合法获取使用该知识产权的相关费用。</w:t>
      </w:r>
    </w:p>
    <w:p>
      <w:pPr>
        <w:pStyle w:val="null3"/>
      </w:pPr>
      <w:r>
        <w:rPr>
          <w:b/>
          <w:sz w:val="24"/>
        </w:rPr>
        <w:t>2.4.5响应文件的组成</w:t>
      </w:r>
    </w:p>
    <w:p>
      <w:pPr>
        <w:pStyle w:val="null3"/>
        <w:ind w:firstLine="480"/>
      </w:pPr>
      <w:r>
        <w:rPr/>
        <w:t>一、供应商应按照询价通知书的规定和要求编制响应文件。</w:t>
      </w:r>
    </w:p>
    <w:p>
      <w:pPr>
        <w:pStyle w:val="null3"/>
        <w:ind w:firstLine="480"/>
      </w:pPr>
      <w:r>
        <w:rPr/>
        <w:t>二、响应文件具体内容详见第五章。</w:t>
      </w:r>
    </w:p>
    <w:p>
      <w:pPr>
        <w:pStyle w:val="null3"/>
      </w:pPr>
      <w:r>
        <w:rPr>
          <w:b/>
          <w:sz w:val="24"/>
        </w:rPr>
        <w:t>2.4.6响应文件格式</w:t>
      </w:r>
    </w:p>
    <w:p>
      <w:pPr>
        <w:pStyle w:val="null3"/>
        <w:ind w:firstLine="480"/>
      </w:pPr>
      <w:r>
        <w:rPr/>
        <w:t>一、供应商应按照询价通知书第五章中提供的“响应文件格式”填写相关内容。</w:t>
      </w:r>
    </w:p>
    <w:p>
      <w:pPr>
        <w:pStyle w:val="null3"/>
        <w:ind w:firstLine="480"/>
      </w:pPr>
      <w:r>
        <w:rPr/>
        <w:t>二、对于没有格式要求的响应文件由供应商自行编写。</w:t>
      </w:r>
    </w:p>
    <w:p>
      <w:pPr>
        <w:pStyle w:val="null3"/>
      </w:pPr>
      <w:r>
        <w:rPr>
          <w:b/>
          <w:sz w:val="24"/>
        </w:rPr>
        <w:t>2.4.7响应报价（实质性要求）</w:t>
      </w:r>
    </w:p>
    <w:p>
      <w:pPr>
        <w:pStyle w:val="null3"/>
        <w:ind w:firstLine="480"/>
      </w:pPr>
      <w:r>
        <w:rPr/>
        <w:t>一、供应商的报价是其响应本项目要求的全部工作内容的价格体现，包括供应商完成本项目所需的一切费用。</w:t>
      </w:r>
    </w:p>
    <w:p>
      <w:pPr>
        <w:pStyle w:val="null3"/>
        <w:ind w:firstLine="480"/>
      </w:pPr>
      <w:r>
        <w:rPr/>
        <w:t>二、供应商每种货物及服务内容只允许有一个报价，并且在合同履行过程中是固定不变的，任何有选择或可调整的报价将不予接受，并按无效响应处理。</w:t>
      </w:r>
    </w:p>
    <w:p>
      <w:pPr>
        <w:pStyle w:val="null3"/>
        <w:ind w:firstLine="480"/>
      </w:pPr>
      <w:r>
        <w:rPr/>
        <w:t>三、通过资格审查和符合性审查供应商的响应文件中的报价表或分项报价明细表是一次性不可更改的报价。</w:t>
      </w:r>
    </w:p>
    <w:p>
      <w:pPr>
        <w:pStyle w:val="null3"/>
      </w:pPr>
      <w:r>
        <w:rPr>
          <w:b/>
          <w:sz w:val="24"/>
        </w:rPr>
        <w:t>2.4.8响应文件有效期（实质性要求）</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pPr>
      <w:r>
        <w:rPr>
          <w:b/>
          <w:sz w:val="24"/>
        </w:rPr>
        <w:t>2.4.9响应文件的制作、签章和加密（实质性要求）</w:t>
      </w:r>
    </w:p>
    <w:p>
      <w:pPr>
        <w:pStyle w:val="null3"/>
        <w:ind w:firstLine="480"/>
      </w:pPr>
      <w:r>
        <w:rPr/>
        <w:t>一、响应文件应当根据询价通知书进行编制。供应商应通过四川政府采购网-办事指南下载响应客户端，使用客户端编制响应文件。</w:t>
      </w:r>
    </w:p>
    <w:p>
      <w:pPr>
        <w:pStyle w:val="null3"/>
        <w:ind w:firstLine="480"/>
      </w:pPr>
      <w:r>
        <w:rPr/>
        <w:t>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t>三、供应商完成响应文件编制后，应按照响应文件第一章明确的签章要求，使用互认的证书及签章对响应文件进行电子签章和加密。</w:t>
      </w:r>
    </w:p>
    <w:p>
      <w:pPr>
        <w:pStyle w:val="null3"/>
        <w:ind w:firstLine="480"/>
      </w:pPr>
      <w:r>
        <w:rPr/>
        <w:t>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pPr>
      <w:r>
        <w:rPr>
          <w:b/>
          <w:sz w:val="24"/>
        </w:rPr>
        <w:t>2.4.10响应文件的提交（实质性要求）</w:t>
      </w:r>
    </w:p>
    <w:p>
      <w:pPr>
        <w:pStyle w:val="null3"/>
        <w:ind w:firstLine="480"/>
      </w:pPr>
      <w:r>
        <w:rPr/>
        <w:t>一、供应商应当在响应文件提交截止时间前，通过项目电子化交易系统完成响应文件提交。</w:t>
      </w:r>
    </w:p>
    <w:p>
      <w:pPr>
        <w:pStyle w:val="null3"/>
        <w:ind w:firstLine="480"/>
      </w:pPr>
      <w:r>
        <w:rPr/>
        <w:t>二、在响应文件提交截止时间后，采购人或代理机构不再接受供应商提交响应文件。供应商应充分考虑影响响应文件提交的各种因素，确保在响应文件提交截止时间前完成提交。</w:t>
      </w:r>
    </w:p>
    <w:p>
      <w:pPr>
        <w:pStyle w:val="null3"/>
      </w:pPr>
      <w:r>
        <w:rPr>
          <w:b/>
          <w:sz w:val="24"/>
        </w:rPr>
        <w:t>2.4.11响应文件的补充、修改、撤回（实质性要求）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pPr>
      <w:r>
        <w:rPr>
          <w:b/>
          <w:sz w:val="28"/>
        </w:rPr>
        <w:t>2.5.开启、资格审查、询价和成交</w:t>
      </w:r>
    </w:p>
    <w:p>
      <w:pPr>
        <w:pStyle w:val="null3"/>
      </w:pPr>
      <w:r>
        <w:rPr>
          <w:b/>
          <w:sz w:val="24"/>
        </w:rPr>
        <w:t>2.5.1开启程序</w:t>
      </w:r>
    </w:p>
    <w:p>
      <w:pPr>
        <w:pStyle w:val="null3"/>
        <w:ind w:firstLine="480"/>
      </w:pPr>
      <w:r>
        <w:rPr/>
        <w:t>一、本项目为网上询价项目。网上开启的开始时间为响应文件提交截止时间。成功提交或成功提交和解密电子响应文件的供应商不足3家的，不予开启，采购人或代理机构将终止采购活动。</w:t>
      </w:r>
    </w:p>
    <w:p>
      <w:pPr>
        <w:pStyle w:val="null3"/>
        <w:ind w:firstLine="480"/>
      </w:pPr>
      <w:r>
        <w:rPr/>
        <w:t>二、开启准备工作</w:t>
      </w:r>
    </w:p>
    <w:p>
      <w:pPr>
        <w:pStyle w:val="null3"/>
        <w:ind w:firstLine="480"/>
      </w:pPr>
      <w:r>
        <w:rPr/>
        <w:t>响应文件提交截止时间前30分钟，供应商登录项目电子化交易系统-“开标/开启大厅”参与开启。</w:t>
      </w:r>
    </w:p>
    <w:p>
      <w:pPr>
        <w:pStyle w:val="null3"/>
        <w:ind w:firstLine="480"/>
      </w:pPr>
      <w:r>
        <w:rPr/>
        <w:t>三、解密响应文件（实质性要求）</w:t>
      </w:r>
    </w:p>
    <w:p>
      <w:pPr>
        <w:pStyle w:val="null3"/>
        <w:ind w:firstLine="480"/>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pPr>
      <w:r>
        <w:rPr>
          <w:b/>
          <w:sz w:val="24"/>
        </w:rPr>
        <w:t>2.5.2查询及使用信用记录</w:t>
      </w:r>
    </w:p>
    <w:p>
      <w:pPr>
        <w:pStyle w:val="null3"/>
        <w:ind w:firstLine="480"/>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pPr>
      <w:r>
        <w:rPr>
          <w:b/>
          <w:sz w:val="24"/>
        </w:rPr>
        <w:t>2.5.3资格审查</w:t>
      </w:r>
    </w:p>
    <w:p>
      <w:pPr>
        <w:pStyle w:val="null3"/>
        <w:ind w:firstLine="480"/>
      </w:pPr>
      <w:r>
        <w:rPr/>
        <w:t>详见询价通知书第四章。</w:t>
      </w:r>
    </w:p>
    <w:p>
      <w:pPr>
        <w:pStyle w:val="null3"/>
      </w:pPr>
      <w:r>
        <w:rPr>
          <w:b/>
          <w:sz w:val="24"/>
        </w:rPr>
        <w:t>2.5.4询价</w:t>
      </w:r>
    </w:p>
    <w:p>
      <w:pPr>
        <w:pStyle w:val="null3"/>
        <w:ind w:firstLine="480"/>
      </w:pPr>
      <w:r>
        <w:rPr/>
        <w:t>详见询价通知书第四章</w:t>
      </w:r>
    </w:p>
    <w:p>
      <w:pPr>
        <w:pStyle w:val="null3"/>
      </w:pPr>
      <w:r>
        <w:rPr>
          <w:b/>
          <w:sz w:val="24"/>
        </w:rPr>
        <w:t>2.5.5成交通知书</w:t>
      </w:r>
    </w:p>
    <w:p>
      <w:pPr>
        <w:pStyle w:val="null3"/>
        <w:ind w:firstLine="480"/>
      </w:pPr>
      <w:r>
        <w:rPr/>
        <w:t>一、采购人或者询价小组确认成交供应商后，代理机构在四川政府采购网发布成交结果公告、通过项目电子化交易系统发出成交通知书，成交供应商通过项目电子化交易系统获取成交通知书。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pPr>
      <w:r>
        <w:rPr>
          <w:b/>
          <w:sz w:val="28"/>
        </w:rPr>
        <w:t>2.6签订及履行合同和验收</w:t>
      </w:r>
    </w:p>
    <w:p>
      <w:pPr>
        <w:pStyle w:val="nul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二、采购人和成交供应商签订的采购合同不得对询价通知书确定的事项以及成交供应商的响应文件作实质性修改。</w:t>
      </w:r>
    </w:p>
    <w:p>
      <w:pPr>
        <w:pStyle w:val="null3"/>
      </w:pPr>
      <w:r>
        <w:rPr>
          <w:b/>
          <w:sz w:val="24"/>
        </w:rPr>
        <w:t>2.6.2合同分包和转包（实质性要求）</w:t>
      </w:r>
    </w:p>
    <w:p>
      <w:pPr>
        <w:pStyle w:val="null3"/>
      </w:pPr>
      <w:r>
        <w:rPr>
          <w:b/>
          <w:sz w:val="24"/>
        </w:rPr>
        <w:t>2.6.2.1合同分包</w:t>
      </w:r>
    </w:p>
    <w:p>
      <w:pPr>
        <w:pStyle w:val="null3"/>
        <w:ind w:firstLine="480"/>
      </w:pPr>
      <w:r>
        <w:rPr/>
        <w:t>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pPr>
    </w:p>
    <w:p>
      <w:pPr>
        <w:pStyle w:val="null3"/>
      </w:pPr>
      <w:r>
        <w:rPr/>
        <w:t>采购包2：不允许合同分包；</w:t>
      </w:r>
    </w:p>
    <w:p>
      <w:pPr>
        <w:pStyle w:val="null3"/>
      </w:pPr>
      <w:r>
        <w:rPr>
          <w:b/>
          <w:sz w:val="24"/>
        </w:rPr>
        <w:t>2.6.2.2合同转包</w:t>
      </w:r>
    </w:p>
    <w:p>
      <w:pPr>
        <w:pStyle w:val="null3"/>
        <w:ind w:firstLine="480"/>
      </w:pPr>
      <w:r>
        <w:rPr/>
        <w:t>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pPr>
      <w:r>
        <w:rPr>
          <w:b/>
          <w:sz w:val="24"/>
        </w:rPr>
        <w:t>2.6.3采购人增加合同标的的权利</w:t>
      </w:r>
    </w:p>
    <w:p>
      <w:pPr>
        <w:pStyle w:val="null3"/>
        <w:ind w:firstLine="480"/>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b/>
          <w:sz w:val="28"/>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7</w:t>
      </w:r>
      <w:r>
        <w:rPr/>
        <w:t>日内组织验收</w:t>
      </w:r>
    </w:p>
    <w:p>
      <w:pPr>
        <w:pStyle w:val="null3"/>
        <w:ind w:firstLine="840"/>
      </w:pPr>
      <w:r>
        <w:rPr/>
        <w:t>8）验收组织的其他事项：</w:t>
      </w:r>
      <w:r>
        <w:rPr/>
        <w:t>无</w:t>
      </w:r>
    </w:p>
    <w:p>
      <w:pPr>
        <w:pStyle w:val="null3"/>
        <w:ind w:firstLine="840"/>
      </w:pPr>
      <w:r>
        <w:rPr/>
        <w:t>9）技术履约验收内容：</w:t>
      </w:r>
      <w:r>
        <w:rPr/>
        <w:t>根据采购文件中技术参数以及采购合同约定</w:t>
      </w:r>
    </w:p>
    <w:p>
      <w:pPr>
        <w:pStyle w:val="null3"/>
        <w:ind w:firstLine="840"/>
      </w:pPr>
      <w:r>
        <w:rPr/>
        <w:t>10）商务履约验收内容：</w:t>
      </w:r>
      <w:r>
        <w:rPr/>
        <w:t>根据采购文件中商务要求以及采购合同约定</w:t>
      </w:r>
    </w:p>
    <w:p>
      <w:pPr>
        <w:pStyle w:val="null3"/>
        <w:ind w:firstLine="840"/>
      </w:pPr>
      <w:r>
        <w:rPr/>
        <w:t>11）履约验收标准：</w:t>
      </w:r>
    </w:p>
    <w:p>
      <w:pPr>
        <w:pStyle w:val="null3"/>
      </w:pPr>
    </w:p>
    <w:p>
      <w:pPr>
        <w:pStyle w:val="null3"/>
        <w:ind w:firstLine="1200"/>
      </w:pPr>
      <w:r>
        <w:rPr/>
        <w:t>根据采购合同约定</w:t>
      </w:r>
    </w:p>
    <w:p>
      <w:pPr>
        <w:pStyle w:val="null3"/>
        <w:ind w:firstLine="840"/>
      </w:pPr>
      <w:r>
        <w:rPr/>
        <w:t>12）履约验收其他事项：</w:t>
      </w:r>
      <w:r>
        <w:rPr/>
        <w:t>无</w:t>
      </w:r>
    </w:p>
    <w:p>
      <w:pPr>
        <w:pStyle w:val="null3"/>
      </w:pPr>
    </w:p>
    <w:p>
      <w:pPr>
        <w:pStyle w:val="null3"/>
      </w:pPr>
      <w:r>
        <w:rPr/>
        <w:t>采购包2：</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7</w:t>
      </w:r>
      <w:r>
        <w:rPr/>
        <w:t>日内组织验收</w:t>
      </w:r>
    </w:p>
    <w:p>
      <w:pPr>
        <w:pStyle w:val="null3"/>
        <w:ind w:firstLine="840"/>
      </w:pPr>
      <w:r>
        <w:rPr/>
        <w:t>8）验收组织的其他事项：</w:t>
      </w:r>
      <w:r>
        <w:rPr/>
        <w:t>无</w:t>
      </w:r>
    </w:p>
    <w:p>
      <w:pPr>
        <w:pStyle w:val="null3"/>
        <w:ind w:firstLine="840"/>
      </w:pPr>
      <w:r>
        <w:rPr/>
        <w:t>9）技术履约验收内容：</w:t>
      </w:r>
      <w:r>
        <w:rPr/>
        <w:t>根据采购文件中技术参数以及采购合同约定</w:t>
      </w:r>
    </w:p>
    <w:p>
      <w:pPr>
        <w:pStyle w:val="null3"/>
        <w:ind w:firstLine="840"/>
      </w:pPr>
      <w:r>
        <w:rPr/>
        <w:t>10）商务履约验收内容：</w:t>
      </w:r>
      <w:r>
        <w:rPr/>
        <w:t>根据采购文件中商务要求以及采购合同约定</w:t>
      </w:r>
    </w:p>
    <w:p>
      <w:pPr>
        <w:pStyle w:val="null3"/>
        <w:ind w:firstLine="840"/>
      </w:pPr>
      <w:r>
        <w:rPr/>
        <w:t>11）履约验收标准：</w:t>
      </w:r>
    </w:p>
    <w:p>
      <w:pPr>
        <w:pStyle w:val="null3"/>
      </w:pPr>
    </w:p>
    <w:p>
      <w:pPr>
        <w:pStyle w:val="null3"/>
        <w:ind w:firstLine="1200"/>
      </w:pPr>
      <w:r>
        <w:rPr/>
        <w:t>根据采购合同约定</w:t>
      </w:r>
    </w:p>
    <w:p>
      <w:pPr>
        <w:pStyle w:val="null3"/>
        <w:ind w:firstLine="840"/>
      </w:pPr>
      <w:r>
        <w:rPr/>
        <w:t>12）履约验收其他事项：</w:t>
      </w:r>
      <w:r>
        <w:rPr/>
        <w:t>无</w:t>
      </w:r>
    </w:p>
    <w:p>
      <w:pPr>
        <w:pStyle w:val="null3"/>
      </w:pPr>
      <w:r>
        <w:rPr>
          <w:b/>
          <w:sz w:val="28"/>
        </w:rPr>
        <w:t>2.6.6资金支付</w:t>
      </w:r>
    </w:p>
    <w:p>
      <w:pPr>
        <w:pStyle w:val="null3"/>
        <w:ind w:firstLine="480"/>
      </w:pPr>
      <w:r>
        <w:rPr/>
        <w:t>采购人按财政部门的相关规定及采购合同的约定进行支付。</w:t>
      </w:r>
    </w:p>
    <w:p>
      <w:pPr>
        <w:pStyle w:val="null3"/>
      </w:pPr>
      <w:r>
        <w:rPr>
          <w:b/>
          <w:sz w:val="28"/>
        </w:rPr>
        <w:t>2.7询价采购工作纪律及要求</w:t>
      </w:r>
    </w:p>
    <w:p>
      <w:pPr>
        <w:pStyle w:val="null3"/>
      </w:pPr>
      <w:r>
        <w:rPr>
          <w:b/>
          <w:sz w:val="24"/>
        </w:rPr>
        <w:t>2.7.1供应商不得具有的情形（实质性要求）</w:t>
      </w:r>
    </w:p>
    <w:p>
      <w:pPr>
        <w:pStyle w:val="null3"/>
        <w:ind w:firstLine="480"/>
      </w:pPr>
      <w:r>
        <w:rPr/>
        <w:t>供应商参加询价不得有下列情形：</w:t>
      </w:r>
    </w:p>
    <w:p>
      <w:pPr>
        <w:pStyle w:val="null3"/>
        <w:ind w:firstLine="480"/>
      </w:pPr>
      <w:r>
        <w:rPr/>
        <w:t>一、有下列情形之一的，视为供应商串通询价：</w:t>
      </w:r>
    </w:p>
    <w:p>
      <w:pPr>
        <w:pStyle w:val="null3"/>
        <w:ind w:firstLine="480"/>
      </w:pPr>
      <w:r>
        <w:rPr/>
        <w:t>（一）不同供应商的响应文件由同一单位或者个人编制；</w:t>
      </w:r>
    </w:p>
    <w:p>
      <w:pPr>
        <w:pStyle w:val="null3"/>
        <w:ind w:firstLine="480"/>
      </w:pPr>
      <w:r>
        <w:rPr/>
        <w:t>（二）不同供应商委托同一单位或者个人办理询价事宜；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五、向采购人或代理机构、询价小组成员行贿或者提供其他不正当利益；</w:t>
      </w:r>
    </w:p>
    <w:p>
      <w:pPr>
        <w:pStyle w:val="null3"/>
        <w:ind w:firstLine="480"/>
      </w:pPr>
      <w:r>
        <w:rPr/>
        <w:t>六、在询价过程中与采购人或代理机构进行协商谈判；</w:t>
      </w:r>
    </w:p>
    <w:p>
      <w:pPr>
        <w:pStyle w:val="null3"/>
        <w:ind w:firstLine="480"/>
      </w:pPr>
      <w:r>
        <w:rPr/>
        <w:t>七、成交后无正当理由拒不与采购人签订政府采购合同；</w:t>
      </w:r>
    </w:p>
    <w:p>
      <w:pPr>
        <w:pStyle w:val="null3"/>
        <w:ind w:firstLine="480"/>
      </w:pPr>
      <w:r>
        <w:rPr/>
        <w:t>八、未按照询价通知书确定的事项签订政府采购合同；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供应商有上述情形的，按照规定追究法律责任，具有前述一至十三条情形之一的，其响应文件无效，或取消被确认为成交供应商的资格或认定成交无效。</w:t>
      </w:r>
    </w:p>
    <w:p>
      <w:pPr>
        <w:pStyle w:val="null3"/>
      </w:pPr>
      <w:r>
        <w:rPr>
          <w:b/>
          <w:sz w:val="28"/>
        </w:rPr>
        <w:t>2.8询问、质疑和投诉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根据委托代理协议约定，供应商对询价通知书的询问、质疑由</w:t>
      </w:r>
      <w:r>
        <w:rPr/>
        <w:t>成都航空职业技术学院</w:t>
      </w:r>
      <w:r>
        <w:rPr/>
        <w:t>负责答复；供应商对采购过程的询问、质疑由</w:t>
      </w:r>
      <w:r>
        <w:rPr/>
        <w:t>四川省政府采购中心</w:t>
      </w:r>
      <w:r>
        <w:rPr/>
        <w:t>负责答复；供应商对采购结果的询问、质疑由</w:t>
      </w:r>
      <w:r>
        <w:rPr/>
        <w:t>四川省政府采购中心</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（五）针对质疑事项必要的证明材料（针对询价通知书提出的质疑，需提交从项目电子化交易系统获取的询价通知书回执函）。</w:t>
      </w:r>
    </w:p>
    <w:p>
      <w:pPr>
        <w:pStyle w:val="null3"/>
      </w:pPr>
    </w:p>
    <w:p>
      <w:pPr>
        <w:pStyle w:val="null3"/>
      </w:pPr>
    </w:p>
    <w:p>
      <w:pPr>
        <w:pStyle w:val="null3"/>
      </w:pPr>
      <w:r>
        <w:rPr/>
        <w:t>答复主体：采购单位</w:t>
      </w:r>
    </w:p>
    <w:p>
      <w:pPr>
        <w:pStyle w:val="null3"/>
      </w:pPr>
      <w:r>
        <w:rPr/>
        <w:t>联系人：卢老师</w:t>
      </w:r>
    </w:p>
    <w:p>
      <w:pPr>
        <w:pStyle w:val="null3"/>
      </w:pPr>
      <w:r>
        <w:rPr/>
        <w:t>联系电话：028-88459327</w:t>
      </w:r>
    </w:p>
    <w:p>
      <w:pPr>
        <w:pStyle w:val="null3"/>
      </w:pPr>
      <w:r>
        <w:rPr/>
        <w:t>地址：四川省成都市龙泉驿区车城东七路699号</w:t>
      </w:r>
    </w:p>
    <w:p>
      <w:pPr>
        <w:pStyle w:val="null3"/>
      </w:pPr>
      <w:r>
        <w:rPr/>
        <w:t>邮编：614000</w:t>
      </w:r>
    </w:p>
    <w:p>
      <w:pPr>
        <w:pStyle w:val="null3"/>
      </w:pPr>
      <w:r>
        <w:rPr/>
        <w:t>答复主体：代理机构</w:t>
      </w:r>
    </w:p>
    <w:p>
      <w:pPr>
        <w:pStyle w:val="null3"/>
      </w:pPr>
      <w:r>
        <w:rPr/>
        <w:t>联系人：张老师</w:t>
      </w:r>
    </w:p>
    <w:p>
      <w:pPr>
        <w:pStyle w:val="null3"/>
      </w:pPr>
      <w:r>
        <w:rPr/>
        <w:t>联系电话：028-86924339</w:t>
      </w:r>
    </w:p>
    <w:p>
      <w:pPr>
        <w:pStyle w:val="null3"/>
      </w:pPr>
      <w:r>
        <w:rPr/>
        <w:t>地址：四川省成都市青羊区顺城大街222号或鼓楼南街101号（丰德成达中心10层）</w:t>
      </w:r>
    </w:p>
    <w:p>
      <w:pPr>
        <w:pStyle w:val="null3"/>
      </w:pPr>
      <w:r>
        <w:rPr/>
        <w:t>邮编：614000</w:t>
      </w:r>
    </w:p>
    <w:p>
      <w:pPr>
        <w:pStyle w:val="null3"/>
        <w:ind w:firstLine="480"/>
      </w:pPr>
      <w:r>
        <w:rPr/>
        <w:t>注：根据《中华人民共和国政府采购法》的规定，供应商质疑不得超出询价通知书、询价过程、成交结果的范围。</w:t>
      </w:r>
    </w:p>
    <w:p>
      <w:pPr>
        <w:pStyle w:val="null3"/>
        <w:ind w:firstLine="480"/>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pPr>
      <w:r>
        <w:rPr>
          <w:b/>
          <w:sz w:val="36"/>
        </w:rPr>
        <w:t>第三章 采购项目技术、服务、商务及其他要求</w:t>
      </w:r>
    </w:p>
    <w:p>
      <w:pPr>
        <w:pStyle w:val="null3"/>
        <w:ind w:firstLine="480"/>
      </w:pPr>
      <w:r>
        <w:rPr/>
        <w:t>（带“★”的参数需求为实质性要求，供应商必须响应并满足的参数需求，采购人、采购代理机构应当根据项目实际需求合理设定，并明确具体要求。）</w:t>
      </w:r>
    </w:p>
    <w:p>
      <w:pPr>
        <w:pStyle w:val="null3"/>
      </w:pPr>
      <w:r>
        <w:rPr>
          <w:b/>
          <w:sz w:val="28"/>
        </w:rPr>
        <w:t>3.1项目概况</w:t>
      </w:r>
    </w:p>
    <w:p>
      <w:pPr>
        <w:pStyle w:val="null3"/>
      </w:pPr>
    </w:p>
    <w:p>
      <w:pPr>
        <w:pStyle w:val="null3"/>
      </w:pPr>
      <w:r>
        <w:rPr/>
        <w:t>为了更好的提高服务水平，成都航空职业技术学院拟采购一批LED显示屏。</w:t>
      </w:r>
    </w:p>
    <w:p>
      <w:pPr>
        <w:pStyle w:val="null3"/>
      </w:pPr>
      <w:r>
        <w:rPr>
          <w:b/>
          <w:sz w:val="28"/>
        </w:rPr>
        <w:t>3.2采购内容</w:t>
      </w:r>
    </w:p>
    <w:p>
      <w:pPr>
        <w:pStyle w:val="null3"/>
      </w:pPr>
    </w:p>
    <w:p>
      <w:pPr>
        <w:pStyle w:val="null3"/>
      </w:pPr>
    </w:p>
    <w:p>
      <w:pPr>
        <w:pStyle w:val="null3"/>
      </w:pPr>
    </w:p>
    <w:p>
      <w:pPr>
        <w:pStyle w:val="null3"/>
      </w:pPr>
      <w:r>
        <w:rPr/>
        <w:t>采购包1：</w:t>
      </w:r>
    </w:p>
    <w:p>
      <w:pPr>
        <w:pStyle w:val="null3"/>
      </w:pPr>
      <w:r>
        <w:rPr/>
        <w:t>采购包预算金额（元）: 90,000.00</w:t>
      </w:r>
    </w:p>
    <w:p>
      <w:pPr>
        <w:pStyle w:val="null3"/>
      </w:pPr>
      <w:r>
        <w:rPr/>
        <w:t>采购包最高限价（元）: 89,999.00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序号</w:t>
            </w:r>
          </w:p>
        </w:tc>
        <w:tc>
          <w:tcPr>
            <w:tcW w:type="dxa" w:w="831"/>
          </w:tcPr>
          <w:p>
            <w:r>
              <w:rPr/>
              <w:t>标的名称</w:t>
            </w:r>
          </w:p>
        </w:tc>
        <w:tc>
          <w:tcPr>
            <w:tcW w:type="dxa" w:w="831"/>
          </w:tcPr>
          <w:p>
            <w:r>
              <w:rPr/>
              <w:t>数量</w:t>
            </w:r>
          </w:p>
        </w:tc>
        <w:tc>
          <w:tcPr>
            <w:tcW w:type="dxa" w:w="831"/>
          </w:tcPr>
          <w:p>
            <w:r>
              <w:rPr/>
              <w:t>标的金额 （元）</w:t>
            </w:r>
          </w:p>
        </w:tc>
        <w:tc>
          <w:tcPr>
            <w:tcW w:type="dxa" w:w="831"/>
          </w:tcPr>
          <w:p>
            <w:r>
              <w:rPr/>
              <w:t>计量单位</w:t>
            </w:r>
          </w:p>
        </w:tc>
        <w:tc>
          <w:tcPr>
            <w:tcW w:type="dxa" w:w="831"/>
          </w:tcPr>
          <w:p>
            <w:r>
              <w:rPr/>
              <w:t>所属行业</w:t>
            </w:r>
          </w:p>
        </w:tc>
        <w:tc>
          <w:tcPr>
            <w:tcW w:type="dxa" w:w="831"/>
          </w:tcPr>
          <w:p>
            <w:r>
              <w:rPr/>
              <w:t>是否核心产品</w:t>
            </w:r>
          </w:p>
        </w:tc>
        <w:tc>
          <w:tcPr>
            <w:tcW w:type="dxa" w:w="831"/>
          </w:tcPr>
          <w:p>
            <w:r>
              <w:rPr/>
              <w:t>是否允许进口产品</w:t>
            </w:r>
          </w:p>
        </w:tc>
        <w:tc>
          <w:tcPr>
            <w:tcW w:type="dxa" w:w="831"/>
          </w:tcPr>
          <w:p>
            <w:r>
              <w:rPr/>
              <w:t>是否属于节能产品</w:t>
            </w:r>
          </w:p>
        </w:tc>
        <w:tc>
          <w:tcPr>
            <w:tcW w:type="dxa" w:w="831"/>
          </w:tcPr>
          <w:p>
            <w:r>
              <w:rPr/>
              <w:t>是否属于环境标志产品</w:t>
            </w:r>
          </w:p>
        </w:tc>
      </w:tr>
      <w:tr>
        <w:tc>
          <w:tcPr>
            <w:tcW w:type="dxa" w:w="831"/>
          </w:tcPr>
          <w:p>
            <w:r>
              <w:rPr/>
              <w:t>1</w:t>
            </w:r>
          </w:p>
        </w:tc>
        <w:tc>
          <w:tcPr>
            <w:tcW w:type="dxa" w:w="831"/>
          </w:tcPr>
          <w:p>
            <w:r>
              <w:rPr/>
              <w:t>室内LED全彩显示屏</w:t>
            </w:r>
          </w:p>
        </w:tc>
        <w:tc>
          <w:tcPr>
            <w:tcW w:type="dxa" w:w="831"/>
          </w:tcPr>
          <w:p>
            <w:pPr>
              <w:jc w:val="right"/>
            </w:pPr>
            <w:r>
              <w:rPr/>
              <w:t>13.82</w:t>
            </w:r>
          </w:p>
        </w:tc>
        <w:tc>
          <w:tcPr>
            <w:tcW w:type="dxa" w:w="831"/>
          </w:tcPr>
          <w:p>
            <w:pPr>
              <w:jc w:val="right"/>
            </w:pPr>
            <w:r>
              <w:rPr/>
              <w:t>62,420.00</w:t>
            </w:r>
          </w:p>
        </w:tc>
        <w:tc>
          <w:tcPr>
            <w:tcW w:type="dxa" w:w="831"/>
          </w:tcPr>
          <w:p>
            <w:r>
              <w:rPr/>
              <w:t>平方米</w:t>
            </w:r>
          </w:p>
        </w:tc>
        <w:tc>
          <w:tcPr>
            <w:tcW w:type="dxa" w:w="831"/>
          </w:tcPr>
          <w:p>
            <w:r>
              <w:rPr/>
              <w:t>工业</w:t>
            </w:r>
          </w:p>
        </w:tc>
        <w:tc>
          <w:tcPr>
            <w:tcW w:type="dxa" w:w="831"/>
          </w:tcPr>
          <w:p>
            <w:r>
              <w:rPr/>
              <w:t>是</w:t>
            </w:r>
          </w:p>
        </w:tc>
        <w:tc>
          <w:tcPr>
            <w:tcW w:type="dxa" w:w="831"/>
          </w:tcPr>
          <w:p>
            <w:r>
              <w:rPr/>
              <w:t>否</w:t>
            </w:r>
          </w:p>
        </w:tc>
        <w:tc>
          <w:tcPr>
            <w:tcW w:type="dxa" w:w="831"/>
          </w:tcPr>
          <w:p>
            <w:r>
              <w:rPr/>
              <w:t>否</w:t>
            </w:r>
          </w:p>
        </w:tc>
        <w:tc>
          <w:tcPr>
            <w:tcW w:type="dxa" w:w="831"/>
          </w:tcPr>
          <w:p>
            <w:r>
              <w:rPr/>
              <w:t>否</w:t>
            </w:r>
          </w:p>
        </w:tc>
      </w:tr>
      <w:tr>
        <w:tc>
          <w:tcPr>
            <w:tcW w:type="dxa" w:w="831"/>
          </w:tcPr>
          <w:p>
            <w:r>
              <w:rPr/>
              <w:t>2</w:t>
            </w:r>
          </w:p>
        </w:tc>
        <w:tc>
          <w:tcPr>
            <w:tcW w:type="dxa" w:w="831"/>
          </w:tcPr>
          <w:p>
            <w:r>
              <w:rPr/>
              <w:t>视频控制器</w:t>
            </w:r>
          </w:p>
        </w:tc>
        <w:tc>
          <w:tcPr>
            <w:tcW w:type="dxa" w:w="831"/>
          </w:tcPr>
          <w:p>
            <w:pPr>
              <w:jc w:val="right"/>
            </w:pPr>
            <w:r>
              <w:rPr/>
              <w:t>1.00</w:t>
            </w:r>
          </w:p>
        </w:tc>
        <w:tc>
          <w:tcPr>
            <w:tcW w:type="dxa" w:w="831"/>
          </w:tcPr>
          <w:p>
            <w:pPr>
              <w:jc w:val="right"/>
            </w:pPr>
            <w:r>
              <w:rPr/>
              <w:t>1,941.00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3</w:t>
            </w:r>
          </w:p>
        </w:tc>
        <w:tc>
          <w:tcPr>
            <w:tcW w:type="dxa" w:w="831"/>
          </w:tcPr>
          <w:p>
            <w:r>
              <w:rPr/>
              <w:t>LED显示屏接收卡</w:t>
            </w:r>
          </w:p>
        </w:tc>
        <w:tc>
          <w:tcPr>
            <w:tcW w:type="dxa" w:w="831"/>
          </w:tcPr>
          <w:p>
            <w:pPr>
              <w:jc w:val="right"/>
            </w:pPr>
            <w:r>
              <w:rPr/>
              <w:t>30.00</w:t>
            </w:r>
          </w:p>
        </w:tc>
        <w:tc>
          <w:tcPr>
            <w:tcW w:type="dxa" w:w="831"/>
          </w:tcPr>
          <w:p>
            <w:pPr>
              <w:jc w:val="right"/>
            </w:pPr>
            <w:r>
              <w:rPr/>
              <w:t>4,278.00</w:t>
            </w:r>
          </w:p>
        </w:tc>
        <w:tc>
          <w:tcPr>
            <w:tcW w:type="dxa" w:w="831"/>
          </w:tcPr>
          <w:p>
            <w:r>
              <w:rPr/>
              <w:t>块</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4</w:t>
            </w:r>
          </w:p>
        </w:tc>
        <w:tc>
          <w:tcPr>
            <w:tcW w:type="dxa" w:w="831"/>
          </w:tcPr>
          <w:p>
            <w:r>
              <w:rPr/>
              <w:t>LED显示屏播控软件</w:t>
            </w:r>
          </w:p>
        </w:tc>
        <w:tc>
          <w:tcPr>
            <w:tcW w:type="dxa" w:w="831"/>
          </w:tcPr>
          <w:p>
            <w:pPr>
              <w:jc w:val="right"/>
            </w:pPr>
            <w:r>
              <w:rPr/>
              <w:t>1.00</w:t>
            </w:r>
          </w:p>
        </w:tc>
        <w:tc>
          <w:tcPr>
            <w:tcW w:type="dxa" w:w="831"/>
          </w:tcPr>
          <w:p>
            <w:pPr>
              <w:jc w:val="right"/>
            </w:pPr>
            <w:r>
              <w:rPr/>
              <w:t>238.00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5</w:t>
            </w:r>
          </w:p>
        </w:tc>
        <w:tc>
          <w:tcPr>
            <w:tcW w:type="dxa" w:w="831"/>
          </w:tcPr>
          <w:p>
            <w:r>
              <w:rPr/>
              <w:t>钢结构及装饰</w:t>
            </w:r>
          </w:p>
        </w:tc>
        <w:tc>
          <w:tcPr>
            <w:tcW w:type="dxa" w:w="831"/>
          </w:tcPr>
          <w:p>
            <w:pPr>
              <w:jc w:val="right"/>
            </w:pPr>
            <w:r>
              <w:rPr/>
              <w:t>22.00</w:t>
            </w:r>
          </w:p>
        </w:tc>
        <w:tc>
          <w:tcPr>
            <w:tcW w:type="dxa" w:w="831"/>
          </w:tcPr>
          <w:p>
            <w:pPr>
              <w:jc w:val="right"/>
            </w:pPr>
            <w:r>
              <w:rPr/>
              <w:t>12,201.00</w:t>
            </w:r>
          </w:p>
        </w:tc>
        <w:tc>
          <w:tcPr>
            <w:tcW w:type="dxa" w:w="831"/>
          </w:tcPr>
          <w:p>
            <w:r>
              <w:rPr/>
              <w:t>平方米</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6</w:t>
            </w:r>
          </w:p>
        </w:tc>
        <w:tc>
          <w:tcPr>
            <w:tcW w:type="dxa" w:w="831"/>
          </w:tcPr>
          <w:p>
            <w:r>
              <w:rPr/>
              <w:t>配电柜</w:t>
            </w:r>
          </w:p>
        </w:tc>
        <w:tc>
          <w:tcPr>
            <w:tcW w:type="dxa" w:w="831"/>
          </w:tcPr>
          <w:p>
            <w:pPr>
              <w:jc w:val="right"/>
            </w:pPr>
            <w:r>
              <w:rPr/>
              <w:t>1.00</w:t>
            </w:r>
          </w:p>
        </w:tc>
        <w:tc>
          <w:tcPr>
            <w:tcW w:type="dxa" w:w="831"/>
          </w:tcPr>
          <w:p>
            <w:pPr>
              <w:jc w:val="right"/>
            </w:pPr>
            <w:r>
              <w:rPr/>
              <w:t>2,456.00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7</w:t>
            </w:r>
          </w:p>
        </w:tc>
        <w:tc>
          <w:tcPr>
            <w:tcW w:type="dxa" w:w="831"/>
          </w:tcPr>
          <w:p>
            <w:r>
              <w:rPr/>
              <w:t>工作站</w:t>
            </w:r>
          </w:p>
        </w:tc>
        <w:tc>
          <w:tcPr>
            <w:tcW w:type="dxa" w:w="831"/>
          </w:tcPr>
          <w:p>
            <w:pPr>
              <w:jc w:val="right"/>
            </w:pPr>
            <w:r>
              <w:rPr/>
              <w:t>1.00</w:t>
            </w:r>
          </w:p>
        </w:tc>
        <w:tc>
          <w:tcPr>
            <w:tcW w:type="dxa" w:w="831"/>
          </w:tcPr>
          <w:p>
            <w:pPr>
              <w:jc w:val="right"/>
            </w:pPr>
            <w:r>
              <w:rPr/>
              <w:t>4,120.00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8</w:t>
            </w:r>
          </w:p>
        </w:tc>
        <w:tc>
          <w:tcPr>
            <w:tcW w:type="dxa" w:w="831"/>
          </w:tcPr>
          <w:p>
            <w:r>
              <w:rPr/>
              <w:t>信息盒地插</w:t>
            </w:r>
          </w:p>
        </w:tc>
        <w:tc>
          <w:tcPr>
            <w:tcW w:type="dxa" w:w="831"/>
          </w:tcPr>
          <w:p>
            <w:pPr>
              <w:jc w:val="right"/>
            </w:pPr>
            <w:r>
              <w:rPr/>
              <w:t>1.00</w:t>
            </w:r>
          </w:p>
        </w:tc>
        <w:tc>
          <w:tcPr>
            <w:tcW w:type="dxa" w:w="831"/>
          </w:tcPr>
          <w:p>
            <w:pPr>
              <w:jc w:val="right"/>
            </w:pPr>
            <w:r>
              <w:rPr/>
              <w:t>285.00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9</w:t>
            </w:r>
          </w:p>
        </w:tc>
        <w:tc>
          <w:tcPr>
            <w:tcW w:type="dxa" w:w="831"/>
          </w:tcPr>
          <w:p>
            <w:r>
              <w:rPr/>
              <w:t>配套辅材</w:t>
            </w:r>
          </w:p>
        </w:tc>
        <w:tc>
          <w:tcPr>
            <w:tcW w:type="dxa" w:w="831"/>
          </w:tcPr>
          <w:p>
            <w:pPr>
              <w:jc w:val="right"/>
            </w:pPr>
            <w:r>
              <w:rPr/>
              <w:t>1.00</w:t>
            </w:r>
          </w:p>
        </w:tc>
        <w:tc>
          <w:tcPr>
            <w:tcW w:type="dxa" w:w="831"/>
          </w:tcPr>
          <w:p>
            <w:pPr>
              <w:jc w:val="right"/>
            </w:pPr>
            <w:r>
              <w:rPr/>
              <w:t>2,060.00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bl>
    <w:p>
      <w:pPr>
        <w:pStyle w:val="null3"/>
      </w:pPr>
    </w:p>
    <w:p>
      <w:pPr>
        <w:pStyle w:val="null3"/>
      </w:pPr>
      <w:r>
        <w:rPr/>
        <w:t>采购包2：</w:t>
      </w:r>
    </w:p>
    <w:p>
      <w:pPr>
        <w:pStyle w:val="null3"/>
      </w:pPr>
      <w:r>
        <w:rPr/>
        <w:t>采购包预算金额（元）: 280,000.00</w:t>
      </w:r>
    </w:p>
    <w:p>
      <w:pPr>
        <w:pStyle w:val="null3"/>
      </w:pPr>
      <w:r>
        <w:rPr/>
        <w:t>采购包最高限价（元）: 279,745.00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序号</w:t>
            </w:r>
          </w:p>
        </w:tc>
        <w:tc>
          <w:tcPr>
            <w:tcW w:type="dxa" w:w="831"/>
          </w:tcPr>
          <w:p>
            <w:r>
              <w:rPr/>
              <w:t>标的名称</w:t>
            </w:r>
          </w:p>
        </w:tc>
        <w:tc>
          <w:tcPr>
            <w:tcW w:type="dxa" w:w="831"/>
          </w:tcPr>
          <w:p>
            <w:r>
              <w:rPr/>
              <w:t>数量</w:t>
            </w:r>
          </w:p>
        </w:tc>
        <w:tc>
          <w:tcPr>
            <w:tcW w:type="dxa" w:w="831"/>
          </w:tcPr>
          <w:p>
            <w:r>
              <w:rPr/>
              <w:t>标的金额 （元）</w:t>
            </w:r>
          </w:p>
        </w:tc>
        <w:tc>
          <w:tcPr>
            <w:tcW w:type="dxa" w:w="831"/>
          </w:tcPr>
          <w:p>
            <w:r>
              <w:rPr/>
              <w:t>计量单位</w:t>
            </w:r>
          </w:p>
        </w:tc>
        <w:tc>
          <w:tcPr>
            <w:tcW w:type="dxa" w:w="831"/>
          </w:tcPr>
          <w:p>
            <w:r>
              <w:rPr/>
              <w:t>所属行业</w:t>
            </w:r>
          </w:p>
        </w:tc>
        <w:tc>
          <w:tcPr>
            <w:tcW w:type="dxa" w:w="831"/>
          </w:tcPr>
          <w:p>
            <w:r>
              <w:rPr/>
              <w:t>是否核心产品</w:t>
            </w:r>
          </w:p>
        </w:tc>
        <w:tc>
          <w:tcPr>
            <w:tcW w:type="dxa" w:w="831"/>
          </w:tcPr>
          <w:p>
            <w:r>
              <w:rPr/>
              <w:t>是否允许进口产品</w:t>
            </w:r>
          </w:p>
        </w:tc>
        <w:tc>
          <w:tcPr>
            <w:tcW w:type="dxa" w:w="831"/>
          </w:tcPr>
          <w:p>
            <w:r>
              <w:rPr/>
              <w:t>是否属于节能产品</w:t>
            </w:r>
          </w:p>
        </w:tc>
        <w:tc>
          <w:tcPr>
            <w:tcW w:type="dxa" w:w="831"/>
          </w:tcPr>
          <w:p>
            <w:r>
              <w:rPr/>
              <w:t>是否属于环境标志产品</w:t>
            </w:r>
          </w:p>
        </w:tc>
      </w:tr>
      <w:tr>
        <w:tc>
          <w:tcPr>
            <w:tcW w:type="dxa" w:w="831"/>
          </w:tcPr>
          <w:p>
            <w:r>
              <w:rPr/>
              <w:t>1</w:t>
            </w:r>
          </w:p>
        </w:tc>
        <w:tc>
          <w:tcPr>
            <w:tcW w:type="dxa" w:w="831"/>
          </w:tcPr>
          <w:p>
            <w:r>
              <w:rPr/>
              <w:t>LED显示屏</w:t>
            </w:r>
          </w:p>
        </w:tc>
        <w:tc>
          <w:tcPr>
            <w:tcW w:type="dxa" w:w="831"/>
          </w:tcPr>
          <w:p>
            <w:pPr>
              <w:jc w:val="right"/>
            </w:pPr>
            <w:r>
              <w:rPr/>
              <w:t>13.52</w:t>
            </w:r>
          </w:p>
        </w:tc>
        <w:tc>
          <w:tcPr>
            <w:tcW w:type="dxa" w:w="831"/>
          </w:tcPr>
          <w:p>
            <w:pPr>
              <w:jc w:val="right"/>
            </w:pPr>
            <w:r>
              <w:rPr/>
              <w:t>223,080.00</w:t>
            </w:r>
          </w:p>
        </w:tc>
        <w:tc>
          <w:tcPr>
            <w:tcW w:type="dxa" w:w="831"/>
          </w:tcPr>
          <w:p>
            <w:r>
              <w:rPr/>
              <w:t>平方米</w:t>
            </w:r>
          </w:p>
        </w:tc>
        <w:tc>
          <w:tcPr>
            <w:tcW w:type="dxa" w:w="831"/>
          </w:tcPr>
          <w:p>
            <w:r>
              <w:rPr/>
              <w:t>工业</w:t>
            </w:r>
          </w:p>
        </w:tc>
        <w:tc>
          <w:tcPr>
            <w:tcW w:type="dxa" w:w="831"/>
          </w:tcPr>
          <w:p>
            <w:r>
              <w:rPr/>
              <w:t>是</w:t>
            </w:r>
          </w:p>
        </w:tc>
        <w:tc>
          <w:tcPr>
            <w:tcW w:type="dxa" w:w="831"/>
          </w:tcPr>
          <w:p>
            <w:r>
              <w:rPr/>
              <w:t>否</w:t>
            </w:r>
          </w:p>
        </w:tc>
        <w:tc>
          <w:tcPr>
            <w:tcW w:type="dxa" w:w="831"/>
          </w:tcPr>
          <w:p>
            <w:r>
              <w:rPr/>
              <w:t>否</w:t>
            </w:r>
          </w:p>
        </w:tc>
        <w:tc>
          <w:tcPr>
            <w:tcW w:type="dxa" w:w="831"/>
          </w:tcPr>
          <w:p>
            <w:r>
              <w:rPr/>
              <w:t>否</w:t>
            </w:r>
          </w:p>
        </w:tc>
      </w:tr>
      <w:tr>
        <w:tc>
          <w:tcPr>
            <w:tcW w:type="dxa" w:w="831"/>
          </w:tcPr>
          <w:p>
            <w:r>
              <w:rPr/>
              <w:t>2</w:t>
            </w:r>
          </w:p>
        </w:tc>
        <w:tc>
          <w:tcPr>
            <w:tcW w:type="dxa" w:w="831"/>
          </w:tcPr>
          <w:p>
            <w:r>
              <w:rPr/>
              <w:t>视频控制器</w:t>
            </w:r>
          </w:p>
        </w:tc>
        <w:tc>
          <w:tcPr>
            <w:tcW w:type="dxa" w:w="831"/>
          </w:tcPr>
          <w:p>
            <w:pPr>
              <w:jc w:val="right"/>
            </w:pPr>
            <w:r>
              <w:rPr/>
              <w:t>1.00</w:t>
            </w:r>
          </w:p>
        </w:tc>
        <w:tc>
          <w:tcPr>
            <w:tcW w:type="dxa" w:w="831"/>
          </w:tcPr>
          <w:p>
            <w:pPr>
              <w:jc w:val="right"/>
            </w:pPr>
            <w:r>
              <w:rPr/>
              <w:t>5,300.00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3</w:t>
            </w:r>
          </w:p>
        </w:tc>
        <w:tc>
          <w:tcPr>
            <w:tcW w:type="dxa" w:w="831"/>
          </w:tcPr>
          <w:p>
            <w:r>
              <w:rPr/>
              <w:t>LED显示屏综合控制管理平台</w:t>
            </w:r>
          </w:p>
        </w:tc>
        <w:tc>
          <w:tcPr>
            <w:tcW w:type="dxa" w:w="831"/>
          </w:tcPr>
          <w:p>
            <w:pPr>
              <w:jc w:val="right"/>
            </w:pPr>
            <w:r>
              <w:rPr/>
              <w:t>1.00</w:t>
            </w:r>
          </w:p>
        </w:tc>
        <w:tc>
          <w:tcPr>
            <w:tcW w:type="dxa" w:w="831"/>
          </w:tcPr>
          <w:p>
            <w:pPr>
              <w:jc w:val="right"/>
            </w:pPr>
            <w:r>
              <w:rPr/>
              <w:t>1,200.00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4</w:t>
            </w:r>
          </w:p>
        </w:tc>
        <w:tc>
          <w:tcPr>
            <w:tcW w:type="dxa" w:w="831"/>
          </w:tcPr>
          <w:p>
            <w:r>
              <w:rPr/>
              <w:t>高清矩阵</w:t>
            </w:r>
          </w:p>
        </w:tc>
        <w:tc>
          <w:tcPr>
            <w:tcW w:type="dxa" w:w="831"/>
          </w:tcPr>
          <w:p>
            <w:pPr>
              <w:jc w:val="right"/>
            </w:pPr>
            <w:r>
              <w:rPr/>
              <w:t>1.00</w:t>
            </w:r>
          </w:p>
        </w:tc>
        <w:tc>
          <w:tcPr>
            <w:tcW w:type="dxa" w:w="831"/>
          </w:tcPr>
          <w:p>
            <w:pPr>
              <w:jc w:val="right"/>
            </w:pPr>
            <w:r>
              <w:rPr/>
              <w:t>20,000.00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5</w:t>
            </w:r>
          </w:p>
        </w:tc>
        <w:tc>
          <w:tcPr>
            <w:tcW w:type="dxa" w:w="831"/>
          </w:tcPr>
          <w:p>
            <w:r>
              <w:rPr/>
              <w:t>中控软件编程</w:t>
            </w:r>
          </w:p>
        </w:tc>
        <w:tc>
          <w:tcPr>
            <w:tcW w:type="dxa" w:w="831"/>
          </w:tcPr>
          <w:p>
            <w:pPr>
              <w:jc w:val="right"/>
            </w:pPr>
            <w:r>
              <w:rPr/>
              <w:t>1.00</w:t>
            </w:r>
          </w:p>
        </w:tc>
        <w:tc>
          <w:tcPr>
            <w:tcW w:type="dxa" w:w="831"/>
          </w:tcPr>
          <w:p>
            <w:pPr>
              <w:jc w:val="right"/>
            </w:pPr>
            <w:r>
              <w:rPr/>
              <w:t>500.00</w:t>
            </w:r>
          </w:p>
        </w:tc>
        <w:tc>
          <w:tcPr>
            <w:tcW w:type="dxa" w:w="831"/>
          </w:tcPr>
          <w:p>
            <w:r>
              <w:rPr/>
              <w:t>项</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6</w:t>
            </w:r>
          </w:p>
        </w:tc>
        <w:tc>
          <w:tcPr>
            <w:tcW w:type="dxa" w:w="831"/>
          </w:tcPr>
          <w:p>
            <w:r>
              <w:rPr/>
              <w:t>电源管理终端</w:t>
            </w:r>
          </w:p>
        </w:tc>
        <w:tc>
          <w:tcPr>
            <w:tcW w:type="dxa" w:w="831"/>
          </w:tcPr>
          <w:p>
            <w:pPr>
              <w:jc w:val="right"/>
            </w:pPr>
            <w:r>
              <w:rPr/>
              <w:t>1.00</w:t>
            </w:r>
          </w:p>
        </w:tc>
        <w:tc>
          <w:tcPr>
            <w:tcW w:type="dxa" w:w="831"/>
          </w:tcPr>
          <w:p>
            <w:pPr>
              <w:jc w:val="right"/>
            </w:pPr>
            <w:r>
              <w:rPr/>
              <w:t>2,400.00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7</w:t>
            </w:r>
          </w:p>
        </w:tc>
        <w:tc>
          <w:tcPr>
            <w:tcW w:type="dxa" w:w="831"/>
          </w:tcPr>
          <w:p>
            <w:r>
              <w:rPr/>
              <w:t>无线会议终端</w:t>
            </w:r>
          </w:p>
        </w:tc>
        <w:tc>
          <w:tcPr>
            <w:tcW w:type="dxa" w:w="831"/>
          </w:tcPr>
          <w:p>
            <w:pPr>
              <w:jc w:val="right"/>
            </w:pPr>
            <w:r>
              <w:rPr/>
              <w:t>1.00</w:t>
            </w:r>
          </w:p>
        </w:tc>
        <w:tc>
          <w:tcPr>
            <w:tcW w:type="dxa" w:w="831"/>
          </w:tcPr>
          <w:p>
            <w:pPr>
              <w:jc w:val="right"/>
            </w:pPr>
            <w:r>
              <w:rPr/>
              <w:t>2,800.00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8</w:t>
            </w:r>
          </w:p>
        </w:tc>
        <w:tc>
          <w:tcPr>
            <w:tcW w:type="dxa" w:w="831"/>
          </w:tcPr>
          <w:p>
            <w:r>
              <w:rPr/>
              <w:t>PLC智能配电柜</w:t>
            </w:r>
          </w:p>
        </w:tc>
        <w:tc>
          <w:tcPr>
            <w:tcW w:type="dxa" w:w="831"/>
          </w:tcPr>
          <w:p>
            <w:pPr>
              <w:jc w:val="right"/>
            </w:pPr>
            <w:r>
              <w:rPr/>
              <w:t>1.00</w:t>
            </w:r>
          </w:p>
        </w:tc>
        <w:tc>
          <w:tcPr>
            <w:tcW w:type="dxa" w:w="831"/>
          </w:tcPr>
          <w:p>
            <w:pPr>
              <w:jc w:val="right"/>
            </w:pPr>
            <w:r>
              <w:rPr/>
              <w:t>3,500.00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9</w:t>
            </w:r>
          </w:p>
        </w:tc>
        <w:tc>
          <w:tcPr>
            <w:tcW w:type="dxa" w:w="831"/>
          </w:tcPr>
          <w:p>
            <w:r>
              <w:rPr/>
              <w:t>钢结构及不锈钢装饰</w:t>
            </w:r>
          </w:p>
        </w:tc>
        <w:tc>
          <w:tcPr>
            <w:tcW w:type="dxa" w:w="831"/>
          </w:tcPr>
          <w:p>
            <w:pPr>
              <w:jc w:val="right"/>
            </w:pPr>
            <w:r>
              <w:rPr/>
              <w:t>14.62</w:t>
            </w:r>
          </w:p>
        </w:tc>
        <w:tc>
          <w:tcPr>
            <w:tcW w:type="dxa" w:w="831"/>
          </w:tcPr>
          <w:p>
            <w:pPr>
              <w:jc w:val="right"/>
            </w:pPr>
            <w:r>
              <w:rPr/>
              <w:t>10,965.00</w:t>
            </w:r>
          </w:p>
        </w:tc>
        <w:tc>
          <w:tcPr>
            <w:tcW w:type="dxa" w:w="831"/>
          </w:tcPr>
          <w:p>
            <w:r>
              <w:rPr/>
              <w:t>平方米</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r>
        <w:tc>
          <w:tcPr>
            <w:tcW w:type="dxa" w:w="831"/>
          </w:tcPr>
          <w:p>
            <w:r>
              <w:rPr/>
              <w:t>10</w:t>
            </w:r>
          </w:p>
        </w:tc>
        <w:tc>
          <w:tcPr>
            <w:tcW w:type="dxa" w:w="831"/>
          </w:tcPr>
          <w:p>
            <w:r>
              <w:rPr/>
              <w:t>综合布线及集成服务</w:t>
            </w:r>
          </w:p>
        </w:tc>
        <w:tc>
          <w:tcPr>
            <w:tcW w:type="dxa" w:w="831"/>
          </w:tcPr>
          <w:p>
            <w:pPr>
              <w:jc w:val="right"/>
            </w:pPr>
            <w:r>
              <w:rPr/>
              <w:t>1.00</w:t>
            </w:r>
          </w:p>
        </w:tc>
        <w:tc>
          <w:tcPr>
            <w:tcW w:type="dxa" w:w="831"/>
          </w:tcPr>
          <w:p>
            <w:pPr>
              <w:jc w:val="right"/>
            </w:pPr>
            <w:r>
              <w:rPr/>
              <w:t>10,000.00</w:t>
            </w:r>
          </w:p>
        </w:tc>
        <w:tc>
          <w:tcPr>
            <w:tcW w:type="dxa" w:w="831"/>
          </w:tcPr>
          <w:p>
            <w:r>
              <w:rPr/>
              <w:t>项</w:t>
            </w:r>
          </w:p>
        </w:tc>
        <w:tc>
          <w:tcPr>
            <w:tcW w:type="dxa" w:w="831"/>
          </w:tcPr>
          <w:p>
            <w:r>
              <w:rPr/>
              <w:t>工业</w:t>
            </w:r>
          </w:p>
        </w:tc>
        <w:tc>
          <w:tcPr>
            <w:tcW w:type="dxa" w:w="831"/>
          </w:tcPr>
          <w:p>
            <w:r>
              <w:rPr/>
              <w:t>否</w:t>
            </w:r>
          </w:p>
        </w:tc>
        <w:tc>
          <w:tcPr>
            <w:tcW w:type="dxa" w:w="831"/>
          </w:tcPr>
          <w:p>
            <w:r>
              <w:rPr/>
              <w:t>否</w:t>
            </w:r>
          </w:p>
        </w:tc>
        <w:tc>
          <w:tcPr>
            <w:tcW w:type="dxa" w:w="831"/>
          </w:tcPr>
          <w:p>
            <w:r>
              <w:rPr/>
              <w:t>否</w:t>
            </w:r>
          </w:p>
        </w:tc>
        <w:tc>
          <w:tcPr>
            <w:tcW w:type="dxa" w:w="831"/>
          </w:tcPr>
          <w:p>
            <w:r>
              <w:rPr/>
              <w:t>否</w:t>
            </w:r>
          </w:p>
        </w:tc>
      </w:tr>
    </w:tbl>
    <w:p>
      <w:pPr>
        <w:pStyle w:val="null3"/>
      </w:pPr>
      <w:r>
        <w:rPr>
          <w:b/>
          <w:sz w:val="28"/>
        </w:rPr>
        <w:t>3.3技术参数</w:t>
      </w:r>
    </w:p>
    <w:p>
      <w:pPr>
        <w:pStyle w:val="null3"/>
      </w:pPr>
    </w:p>
    <w:p>
      <w:pPr>
        <w:pStyle w:val="null3"/>
      </w:pPr>
    </w:p>
    <w:p>
      <w:pPr>
        <w:pStyle w:val="null3"/>
      </w:pP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p>
    <w:p>
      <w:pPr>
        <w:pStyle w:val="null3"/>
      </w:pPr>
      <w:r>
        <w:rPr/>
        <w:t>标的名称：室内LED全彩显示屏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r>
              <w:rPr/>
              <w:t>★</w:t>
            </w:r>
          </w:p>
        </w:tc>
        <w:tc>
          <w:tcPr>
            <w:tcW w:type="dxa" w:w="2769"/>
          </w:tcPr>
          <w:p>
            <w:r>
              <w:rPr/>
              <w:t>1</w:t>
            </w:r>
          </w:p>
        </w:tc>
        <w:tc>
          <w:tcPr>
            <w:tcW w:type="dxa" w:w="2769"/>
          </w:tcPr>
          <w:p>
            <w:pPr>
              <w:pStyle w:val="null3"/>
              <w:spacing w:before="120" w:after="120"/>
              <w:ind w:firstLine="420"/>
              <w:jc w:val="both"/>
            </w:pPr>
            <w:r>
              <w:rPr>
                <w:rFonts w:ascii="华文楷体" w:hAnsi="华文楷体" w:cs="华文楷体" w:eastAsia="华文楷体"/>
                <w:b/>
                <w:sz w:val="24"/>
              </w:rPr>
              <w:t>1.1技术要求</w:t>
            </w:r>
          </w:p>
          <w:p>
            <w:pPr>
              <w:pStyle w:val="null3"/>
              <w:numPr>
                <w:ilvl w:val="0"/>
                <w:numId w:val="1"/>
              </w:numPr>
              <w:spacing w:before="120" w:after="120"/>
              <w:ind w:left="675"/>
            </w:pPr>
            <w:r>
              <w:rPr>
                <w:rFonts w:ascii="华文楷体" w:hAnsi="华文楷体" w:cs="华文楷体" w:eastAsia="华文楷体"/>
                <w:sz w:val="21"/>
              </w:rPr>
              <w:t>大屏显示尺寸应不低于</w:t>
            </w:r>
            <w:r>
              <w:rPr>
                <w:rFonts w:ascii="华文楷体" w:hAnsi="华文楷体" w:cs="华文楷体" w:eastAsia="华文楷体"/>
                <w:sz w:val="21"/>
              </w:rPr>
              <w:t>4800mm*2880mm；</w:t>
            </w:r>
          </w:p>
          <w:p>
            <w:pPr>
              <w:pStyle w:val="null3"/>
              <w:numPr>
                <w:ilvl w:val="0"/>
                <w:numId w:val="1"/>
              </w:numPr>
              <w:spacing w:before="120" w:after="120"/>
              <w:ind w:left="675"/>
            </w:pPr>
            <w:r>
              <w:rPr>
                <w:rFonts w:ascii="华文楷体" w:hAnsi="华文楷体" w:cs="华文楷体" w:eastAsia="华文楷体"/>
                <w:sz w:val="21"/>
              </w:rPr>
              <w:t>大屏整体分辨率不低于</w:t>
            </w:r>
            <w:r>
              <w:rPr>
                <w:rFonts w:ascii="华文楷体" w:hAnsi="华文楷体" w:cs="华文楷体" w:eastAsia="华文楷体"/>
                <w:sz w:val="21"/>
              </w:rPr>
              <w:t>1920*1152；</w:t>
            </w:r>
          </w:p>
          <w:p>
            <w:pPr>
              <w:pStyle w:val="null3"/>
              <w:numPr>
                <w:ilvl w:val="0"/>
                <w:numId w:val="1"/>
              </w:numPr>
              <w:spacing w:before="120" w:after="120"/>
              <w:ind w:left="675"/>
            </w:pPr>
            <w:r>
              <w:rPr>
                <w:rFonts w:ascii="华文楷体" w:hAnsi="华文楷体" w:cs="华文楷体" w:eastAsia="华文楷体"/>
                <w:sz w:val="21"/>
              </w:rPr>
              <w:t>像素间距不大于</w:t>
            </w:r>
            <w:r>
              <w:rPr>
                <w:rFonts w:ascii="华文楷体" w:hAnsi="华文楷体" w:cs="华文楷体" w:eastAsia="华文楷体"/>
                <w:sz w:val="21"/>
              </w:rPr>
              <w:t>2.5mm；</w:t>
            </w:r>
          </w:p>
          <w:p>
            <w:pPr>
              <w:pStyle w:val="null3"/>
              <w:numPr>
                <w:ilvl w:val="0"/>
                <w:numId w:val="1"/>
              </w:numPr>
              <w:spacing w:before="120" w:after="120"/>
              <w:ind w:left="675"/>
            </w:pPr>
            <w:r>
              <w:rPr>
                <w:rFonts w:ascii="华文楷体" w:hAnsi="华文楷体" w:cs="华文楷体" w:eastAsia="华文楷体"/>
                <w:sz w:val="21"/>
              </w:rPr>
              <w:t>平整度：</w:t>
            </w:r>
            <w:r>
              <w:rPr>
                <w:rFonts w:ascii="华文楷体" w:hAnsi="华文楷体" w:cs="华文楷体" w:eastAsia="华文楷体"/>
                <w:sz w:val="21"/>
              </w:rPr>
              <w:t>≤0.15mm；</w:t>
            </w:r>
          </w:p>
          <w:p>
            <w:pPr>
              <w:pStyle w:val="null3"/>
              <w:numPr>
                <w:ilvl w:val="0"/>
                <w:numId w:val="1"/>
              </w:numPr>
              <w:spacing w:before="120" w:after="120"/>
              <w:ind w:left="675"/>
            </w:pPr>
            <w:r>
              <w:rPr>
                <w:rFonts w:ascii="华文楷体" w:hAnsi="华文楷体" w:cs="华文楷体" w:eastAsia="华文楷体"/>
                <w:sz w:val="21"/>
              </w:rPr>
              <w:t>显示屏亮度（校正后）：</w:t>
            </w:r>
            <w:r>
              <w:rPr>
                <w:rFonts w:ascii="华文楷体" w:hAnsi="华文楷体" w:cs="华文楷体" w:eastAsia="华文楷体"/>
                <w:sz w:val="21"/>
              </w:rPr>
              <w:t>≥550nits;亮度均匀度：≥98%；</w:t>
            </w:r>
          </w:p>
          <w:p>
            <w:pPr>
              <w:pStyle w:val="null3"/>
              <w:numPr>
                <w:ilvl w:val="0"/>
                <w:numId w:val="1"/>
              </w:numPr>
              <w:spacing w:before="120" w:after="120"/>
              <w:ind w:left="675"/>
            </w:pPr>
            <w:r>
              <w:rPr>
                <w:rFonts w:ascii="华文楷体" w:hAnsi="华文楷体" w:cs="华文楷体" w:eastAsia="华文楷体"/>
                <w:sz w:val="21"/>
              </w:rPr>
              <w:t>大屏可以同步显示工作站电脑的内容和，也可以显示演讲席笔记本的内容；</w:t>
            </w:r>
          </w:p>
          <w:p>
            <w:pPr>
              <w:pStyle w:val="null3"/>
              <w:numPr>
                <w:ilvl w:val="0"/>
                <w:numId w:val="1"/>
              </w:numPr>
              <w:spacing w:before="120" w:after="120"/>
              <w:ind w:left="675"/>
            </w:pPr>
            <w:r>
              <w:rPr>
                <w:rFonts w:ascii="华文楷体" w:hAnsi="华文楷体" w:cs="华文楷体" w:eastAsia="华文楷体"/>
                <w:sz w:val="21"/>
              </w:rPr>
              <w:t>显示系统支持不低于</w:t>
            </w:r>
            <w:r>
              <w:rPr>
                <w:rFonts w:ascii="华文楷体" w:hAnsi="华文楷体" w:cs="华文楷体" w:eastAsia="华文楷体"/>
                <w:sz w:val="21"/>
              </w:rPr>
              <w:t>1路DVI，1路HDMI，信号输入。</w:t>
            </w:r>
          </w:p>
          <w:p>
            <w:pPr>
              <w:pStyle w:val="null3"/>
              <w:spacing w:before="120" w:after="120"/>
              <w:ind w:firstLine="420"/>
              <w:jc w:val="both"/>
            </w:pPr>
            <w:r>
              <w:rPr>
                <w:rFonts w:ascii="华文楷体" w:hAnsi="华文楷体" w:cs="华文楷体" w:eastAsia="华文楷体"/>
                <w:b/>
                <w:sz w:val="24"/>
              </w:rPr>
              <w:t>1.2服务要求</w:t>
            </w:r>
          </w:p>
          <w:p>
            <w:pPr>
              <w:pStyle w:val="null3"/>
              <w:numPr>
                <w:ilvl w:val="0"/>
                <w:numId w:val="1"/>
              </w:numPr>
              <w:spacing w:before="120" w:after="120"/>
              <w:ind w:left="675"/>
            </w:pPr>
            <w:r>
              <w:rPr>
                <w:rFonts w:ascii="华文楷体" w:hAnsi="华文楷体" w:cs="华文楷体" w:eastAsia="华文楷体"/>
                <w:sz w:val="21"/>
              </w:rPr>
              <w:t>质保期一年：项目竣工验收合格之日起一年。</w:t>
            </w:r>
          </w:p>
          <w:p>
            <w:pPr>
              <w:pStyle w:val="null3"/>
              <w:numPr>
                <w:ilvl w:val="0"/>
                <w:numId w:val="1"/>
              </w:numPr>
              <w:spacing w:before="120" w:after="120"/>
              <w:ind w:left="675"/>
            </w:pPr>
            <w:r>
              <w:rPr>
                <w:rFonts w:ascii="华文楷体" w:hAnsi="华文楷体" w:cs="华文楷体" w:eastAsia="华文楷体"/>
                <w:sz w:val="21"/>
              </w:rPr>
              <w:t>投标人提供的售后服务承诺及方案应包括培训方案、售后人员、技术支持与服务方案、项目后续保障计划、保修方案。</w:t>
            </w:r>
          </w:p>
          <w:p>
            <w:pPr>
              <w:pStyle w:val="null3"/>
              <w:numPr>
                <w:ilvl w:val="0"/>
                <w:numId w:val="1"/>
              </w:numPr>
              <w:spacing w:before="120" w:after="120"/>
              <w:ind w:left="675"/>
            </w:pPr>
            <w:r>
              <w:rPr>
                <w:rFonts w:ascii="华文楷体" w:hAnsi="华文楷体" w:cs="华文楷体" w:eastAsia="华文楷体"/>
                <w:sz w:val="21"/>
              </w:rPr>
              <w:t>投标人应有完善的技术支持与服务体系，专人负责与采购人联系售后服务事宜，必要的售后机具配置、具有专门固定的售后服务电话。</w:t>
            </w:r>
          </w:p>
          <w:p>
            <w:pPr>
              <w:pStyle w:val="null3"/>
              <w:numPr>
                <w:ilvl w:val="0"/>
                <w:numId w:val="1"/>
              </w:numPr>
              <w:spacing w:before="120" w:after="120"/>
              <w:ind w:left="675"/>
            </w:pPr>
            <w:r>
              <w:rPr>
                <w:rFonts w:ascii="华文楷体" w:hAnsi="华文楷体" w:cs="华文楷体" w:eastAsia="华文楷体"/>
                <w:sz w:val="21"/>
              </w:rPr>
              <w:t>在保修期内设备出现质量问题，投标人应在接到通知后</w:t>
            </w:r>
            <w:r>
              <w:rPr>
                <w:rFonts w:ascii="华文楷体" w:hAnsi="华文楷体" w:cs="华文楷体" w:eastAsia="华文楷体"/>
                <w:sz w:val="21"/>
              </w:rPr>
              <w:t>5分钟内作出相应，若需上门维修，须在2小时内到达现场，及时排除故障；如发生安全隐患必须在24小时内排除。产品出现问题且在24小时内无法修复，须提供相应的备机备件服务。</w:t>
            </w:r>
          </w:p>
          <w:p>
            <w:pPr>
              <w:pStyle w:val="null3"/>
              <w:numPr>
                <w:ilvl w:val="0"/>
                <w:numId w:val="1"/>
              </w:numPr>
              <w:spacing w:before="120" w:after="120"/>
              <w:ind w:left="675"/>
            </w:pPr>
            <w:r>
              <w:rPr>
                <w:rFonts w:ascii="华文楷体" w:hAnsi="华文楷体" w:cs="华文楷体" w:eastAsia="华文楷体"/>
                <w:sz w:val="21"/>
              </w:rPr>
              <w:t>在保修期内每年至少提供两次巡检服务；</w:t>
            </w:r>
          </w:p>
        </w:tc>
      </w:tr>
    </w:tbl>
    <w:p>
      <w:pPr>
        <w:pStyle w:val="null3"/>
      </w:pPr>
    </w:p>
    <w:p>
      <w:pPr>
        <w:pStyle w:val="null3"/>
      </w:pPr>
      <w:r>
        <w:rPr/>
        <w:t>标的名称：视频控制器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r>
              <w:rPr/>
              <w:t>★</w:t>
            </w:r>
          </w:p>
        </w:tc>
        <w:tc>
          <w:tcPr>
            <w:tcW w:type="dxa" w:w="2769"/>
          </w:tcPr>
          <w:p>
            <w:r>
              <w:rPr/>
              <w:t>1</w:t>
            </w:r>
          </w:p>
        </w:tc>
        <w:tc>
          <w:tcPr>
            <w:tcW w:type="dxa" w:w="2769"/>
          </w:tcPr>
          <w:p>
            <w:pPr>
              <w:pStyle w:val="null3"/>
              <w:spacing w:before="120" w:after="120"/>
              <w:ind w:firstLine="420"/>
              <w:jc w:val="both"/>
            </w:pPr>
            <w:r>
              <w:rPr>
                <w:rFonts w:ascii="华文楷体" w:hAnsi="华文楷体" w:cs="华文楷体" w:eastAsia="华文楷体"/>
                <w:b/>
                <w:sz w:val="24"/>
              </w:rPr>
              <w:t>1.1技术要求</w:t>
            </w:r>
          </w:p>
          <w:p>
            <w:pPr>
              <w:pStyle w:val="null3"/>
              <w:numPr>
                <w:ilvl w:val="0"/>
                <w:numId w:val="1"/>
              </w:numPr>
              <w:spacing w:before="120" w:after="120"/>
              <w:ind w:left="675"/>
            </w:pPr>
            <w:r>
              <w:rPr>
                <w:rFonts w:ascii="华文楷体" w:hAnsi="华文楷体" w:cs="华文楷体" w:eastAsia="华文楷体"/>
                <w:sz w:val="21"/>
              </w:rPr>
              <w:t>大屏显示尺寸应不低于</w:t>
            </w:r>
            <w:r>
              <w:rPr>
                <w:rFonts w:ascii="华文楷体" w:hAnsi="华文楷体" w:cs="华文楷体" w:eastAsia="华文楷体"/>
                <w:sz w:val="21"/>
              </w:rPr>
              <w:t>4800mm*2880mm；</w:t>
            </w:r>
          </w:p>
          <w:p>
            <w:pPr>
              <w:pStyle w:val="null3"/>
              <w:numPr>
                <w:ilvl w:val="0"/>
                <w:numId w:val="1"/>
              </w:numPr>
              <w:spacing w:before="120" w:after="120"/>
              <w:ind w:left="675"/>
            </w:pPr>
            <w:r>
              <w:rPr>
                <w:rFonts w:ascii="华文楷体" w:hAnsi="华文楷体" w:cs="华文楷体" w:eastAsia="华文楷体"/>
                <w:sz w:val="21"/>
              </w:rPr>
              <w:t>大屏整体分辨率不低于</w:t>
            </w:r>
            <w:r>
              <w:rPr>
                <w:rFonts w:ascii="华文楷体" w:hAnsi="华文楷体" w:cs="华文楷体" w:eastAsia="华文楷体"/>
                <w:sz w:val="21"/>
              </w:rPr>
              <w:t>1920*1152；</w:t>
            </w:r>
          </w:p>
          <w:p>
            <w:pPr>
              <w:pStyle w:val="null3"/>
              <w:numPr>
                <w:ilvl w:val="0"/>
                <w:numId w:val="1"/>
              </w:numPr>
              <w:spacing w:before="120" w:after="120"/>
              <w:ind w:left="675"/>
            </w:pPr>
            <w:r>
              <w:rPr>
                <w:rFonts w:ascii="华文楷体" w:hAnsi="华文楷体" w:cs="华文楷体" w:eastAsia="华文楷体"/>
                <w:sz w:val="21"/>
              </w:rPr>
              <w:t>像素间距不大于</w:t>
            </w:r>
            <w:r>
              <w:rPr>
                <w:rFonts w:ascii="华文楷体" w:hAnsi="华文楷体" w:cs="华文楷体" w:eastAsia="华文楷体"/>
                <w:sz w:val="21"/>
              </w:rPr>
              <w:t>2.5mm；</w:t>
            </w:r>
          </w:p>
          <w:p>
            <w:pPr>
              <w:pStyle w:val="null3"/>
              <w:numPr>
                <w:ilvl w:val="0"/>
                <w:numId w:val="1"/>
              </w:numPr>
              <w:spacing w:before="120" w:after="120"/>
              <w:ind w:left="675"/>
            </w:pPr>
            <w:r>
              <w:rPr>
                <w:rFonts w:ascii="华文楷体" w:hAnsi="华文楷体" w:cs="华文楷体" w:eastAsia="华文楷体"/>
                <w:sz w:val="21"/>
              </w:rPr>
              <w:t>平整度：</w:t>
            </w:r>
            <w:r>
              <w:rPr>
                <w:rFonts w:ascii="华文楷体" w:hAnsi="华文楷体" w:cs="华文楷体" w:eastAsia="华文楷体"/>
                <w:sz w:val="21"/>
              </w:rPr>
              <w:t>≤0.15mm；</w:t>
            </w:r>
          </w:p>
          <w:p>
            <w:pPr>
              <w:pStyle w:val="null3"/>
              <w:numPr>
                <w:ilvl w:val="0"/>
                <w:numId w:val="1"/>
              </w:numPr>
              <w:spacing w:before="120" w:after="120"/>
              <w:ind w:left="675"/>
            </w:pPr>
            <w:r>
              <w:rPr>
                <w:rFonts w:ascii="华文楷体" w:hAnsi="华文楷体" w:cs="华文楷体" w:eastAsia="华文楷体"/>
                <w:sz w:val="21"/>
              </w:rPr>
              <w:t>显示屏亮度（校正后）：</w:t>
            </w:r>
            <w:r>
              <w:rPr>
                <w:rFonts w:ascii="华文楷体" w:hAnsi="华文楷体" w:cs="华文楷体" w:eastAsia="华文楷体"/>
                <w:sz w:val="21"/>
              </w:rPr>
              <w:t>≥550nits;亮度均匀度：≥98%；</w:t>
            </w:r>
          </w:p>
          <w:p>
            <w:pPr>
              <w:pStyle w:val="null3"/>
              <w:numPr>
                <w:ilvl w:val="0"/>
                <w:numId w:val="1"/>
              </w:numPr>
              <w:spacing w:before="120" w:after="120"/>
              <w:ind w:left="675"/>
            </w:pPr>
            <w:r>
              <w:rPr>
                <w:rFonts w:ascii="华文楷体" w:hAnsi="华文楷体" w:cs="华文楷体" w:eastAsia="华文楷体"/>
                <w:sz w:val="21"/>
              </w:rPr>
              <w:t>大屏可以同步显示工作站电脑的内容和，也可以显示演讲席笔记本的内容；</w:t>
            </w:r>
          </w:p>
          <w:p>
            <w:pPr>
              <w:pStyle w:val="null3"/>
              <w:numPr>
                <w:ilvl w:val="0"/>
                <w:numId w:val="1"/>
              </w:numPr>
              <w:spacing w:before="120" w:after="120"/>
              <w:ind w:left="675"/>
            </w:pPr>
            <w:r>
              <w:rPr>
                <w:rFonts w:ascii="华文楷体" w:hAnsi="华文楷体" w:cs="华文楷体" w:eastAsia="华文楷体"/>
                <w:sz w:val="21"/>
              </w:rPr>
              <w:t>显示系统支持不低于</w:t>
            </w:r>
            <w:r>
              <w:rPr>
                <w:rFonts w:ascii="华文楷体" w:hAnsi="华文楷体" w:cs="华文楷体" w:eastAsia="华文楷体"/>
                <w:sz w:val="21"/>
              </w:rPr>
              <w:t>1路DVI，1路HDMI，信号输入。</w:t>
            </w:r>
          </w:p>
          <w:p>
            <w:pPr>
              <w:pStyle w:val="null3"/>
              <w:spacing w:before="120" w:after="120"/>
              <w:ind w:firstLine="420"/>
              <w:jc w:val="both"/>
            </w:pPr>
            <w:r>
              <w:rPr>
                <w:rFonts w:ascii="华文楷体" w:hAnsi="华文楷体" w:cs="华文楷体" w:eastAsia="华文楷体"/>
                <w:b/>
                <w:sz w:val="24"/>
              </w:rPr>
              <w:t>1.2服务要求</w:t>
            </w:r>
          </w:p>
          <w:p>
            <w:pPr>
              <w:pStyle w:val="null3"/>
              <w:numPr>
                <w:ilvl w:val="0"/>
                <w:numId w:val="1"/>
              </w:numPr>
              <w:spacing w:before="120" w:after="120"/>
              <w:ind w:left="675"/>
            </w:pPr>
            <w:r>
              <w:rPr>
                <w:rFonts w:ascii="华文楷体" w:hAnsi="华文楷体" w:cs="华文楷体" w:eastAsia="华文楷体"/>
                <w:sz w:val="21"/>
              </w:rPr>
              <w:t>质保期一年：项目竣工验收合格之日起一年。</w:t>
            </w:r>
          </w:p>
          <w:p>
            <w:pPr>
              <w:pStyle w:val="null3"/>
              <w:numPr>
                <w:ilvl w:val="0"/>
                <w:numId w:val="1"/>
              </w:numPr>
              <w:spacing w:before="120" w:after="120"/>
              <w:ind w:left="675"/>
            </w:pPr>
            <w:r>
              <w:rPr>
                <w:rFonts w:ascii="华文楷体" w:hAnsi="华文楷体" w:cs="华文楷体" w:eastAsia="华文楷体"/>
                <w:sz w:val="21"/>
              </w:rPr>
              <w:t>投标人提供的售后服务承诺及方案应包括培训方案、售后人员、技术支持与服务方案、项目后续保障计划、保修方案。</w:t>
            </w:r>
          </w:p>
          <w:p>
            <w:pPr>
              <w:pStyle w:val="null3"/>
              <w:numPr>
                <w:ilvl w:val="0"/>
                <w:numId w:val="1"/>
              </w:numPr>
              <w:spacing w:before="120" w:after="120"/>
              <w:ind w:left="675"/>
            </w:pPr>
            <w:r>
              <w:rPr>
                <w:rFonts w:ascii="华文楷体" w:hAnsi="华文楷体" w:cs="华文楷体" w:eastAsia="华文楷体"/>
                <w:sz w:val="21"/>
              </w:rPr>
              <w:t>投标人应有完善的技术支持与服务体系，专人负责与采购人联系售后服务事宜，必要的售后机具配置、具有专门固定的售后服务电话。</w:t>
            </w:r>
          </w:p>
          <w:p>
            <w:pPr>
              <w:pStyle w:val="null3"/>
              <w:numPr>
                <w:ilvl w:val="0"/>
                <w:numId w:val="1"/>
              </w:numPr>
              <w:spacing w:before="120" w:after="120"/>
              <w:ind w:left="675"/>
            </w:pPr>
            <w:r>
              <w:rPr>
                <w:rFonts w:ascii="华文楷体" w:hAnsi="华文楷体" w:cs="华文楷体" w:eastAsia="华文楷体"/>
                <w:sz w:val="21"/>
              </w:rPr>
              <w:t>在保修期内设备出现质量问题，投标人应在接到通知后</w:t>
            </w:r>
            <w:r>
              <w:rPr>
                <w:rFonts w:ascii="华文楷体" w:hAnsi="华文楷体" w:cs="华文楷体" w:eastAsia="华文楷体"/>
                <w:sz w:val="21"/>
              </w:rPr>
              <w:t>5分钟内作出相应，若需上门维修，须在2小时内到达现场，及时排除故障；如发生安全隐患必须在24小时内排除。产品出现问题且在24小时内无法修复，须提供相应的备机备件服务。</w:t>
            </w:r>
          </w:p>
          <w:p>
            <w:pPr>
              <w:pStyle w:val="null3"/>
              <w:numPr>
                <w:ilvl w:val="0"/>
                <w:numId w:val="1"/>
              </w:numPr>
              <w:spacing w:before="120" w:after="120"/>
              <w:ind w:left="675"/>
            </w:pPr>
            <w:r>
              <w:rPr>
                <w:rFonts w:ascii="华文楷体" w:hAnsi="华文楷体" w:cs="华文楷体" w:eastAsia="华文楷体"/>
                <w:sz w:val="21"/>
              </w:rPr>
              <w:t>在保修期内每年至少提供两次巡检服务；</w:t>
            </w:r>
          </w:p>
        </w:tc>
      </w:tr>
    </w:tbl>
    <w:p>
      <w:pPr>
        <w:pStyle w:val="null3"/>
      </w:pPr>
    </w:p>
    <w:p>
      <w:pPr>
        <w:pStyle w:val="null3"/>
      </w:pPr>
      <w:r>
        <w:rPr/>
        <w:t>标的名称：LED显示屏接收卡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r>
              <w:rPr/>
              <w:t>★</w:t>
            </w:r>
          </w:p>
        </w:tc>
        <w:tc>
          <w:tcPr>
            <w:tcW w:type="dxa" w:w="2769"/>
          </w:tcPr>
          <w:p>
            <w:r>
              <w:rPr/>
              <w:t>1</w:t>
            </w:r>
          </w:p>
        </w:tc>
        <w:tc>
          <w:tcPr>
            <w:tcW w:type="dxa" w:w="2769"/>
          </w:tcPr>
          <w:p>
            <w:pPr>
              <w:pStyle w:val="null3"/>
              <w:spacing w:before="120" w:after="120"/>
              <w:ind w:firstLine="420"/>
              <w:jc w:val="both"/>
            </w:pPr>
            <w:r>
              <w:rPr>
                <w:rFonts w:ascii="华文楷体" w:hAnsi="华文楷体" w:cs="华文楷体" w:eastAsia="华文楷体"/>
                <w:b/>
                <w:sz w:val="24"/>
              </w:rPr>
              <w:t>1.1技术要求</w:t>
            </w:r>
          </w:p>
          <w:p>
            <w:pPr>
              <w:pStyle w:val="null3"/>
              <w:numPr>
                <w:ilvl w:val="0"/>
                <w:numId w:val="1"/>
              </w:numPr>
              <w:spacing w:before="120" w:after="120"/>
              <w:ind w:left="675"/>
            </w:pPr>
            <w:r>
              <w:rPr>
                <w:rFonts w:ascii="华文楷体" w:hAnsi="华文楷体" w:cs="华文楷体" w:eastAsia="华文楷体"/>
                <w:sz w:val="21"/>
              </w:rPr>
              <w:t>大屏显示尺寸应不低于</w:t>
            </w:r>
            <w:r>
              <w:rPr>
                <w:rFonts w:ascii="华文楷体" w:hAnsi="华文楷体" w:cs="华文楷体" w:eastAsia="华文楷体"/>
                <w:sz w:val="21"/>
              </w:rPr>
              <w:t>4800mm*2880mm；</w:t>
            </w:r>
          </w:p>
          <w:p>
            <w:pPr>
              <w:pStyle w:val="null3"/>
              <w:numPr>
                <w:ilvl w:val="0"/>
                <w:numId w:val="1"/>
              </w:numPr>
              <w:spacing w:before="120" w:after="120"/>
              <w:ind w:left="675"/>
            </w:pPr>
            <w:r>
              <w:rPr>
                <w:rFonts w:ascii="华文楷体" w:hAnsi="华文楷体" w:cs="华文楷体" w:eastAsia="华文楷体"/>
                <w:sz w:val="21"/>
              </w:rPr>
              <w:t>大屏整体分辨率不低于</w:t>
            </w:r>
            <w:r>
              <w:rPr>
                <w:rFonts w:ascii="华文楷体" w:hAnsi="华文楷体" w:cs="华文楷体" w:eastAsia="华文楷体"/>
                <w:sz w:val="21"/>
              </w:rPr>
              <w:t>1920*1152；</w:t>
            </w:r>
          </w:p>
          <w:p>
            <w:pPr>
              <w:pStyle w:val="null3"/>
              <w:numPr>
                <w:ilvl w:val="0"/>
                <w:numId w:val="1"/>
              </w:numPr>
              <w:spacing w:before="120" w:after="120"/>
              <w:ind w:left="675"/>
            </w:pPr>
            <w:r>
              <w:rPr>
                <w:rFonts w:ascii="华文楷体" w:hAnsi="华文楷体" w:cs="华文楷体" w:eastAsia="华文楷体"/>
                <w:sz w:val="21"/>
              </w:rPr>
              <w:t>像素间距不大于</w:t>
            </w:r>
            <w:r>
              <w:rPr>
                <w:rFonts w:ascii="华文楷体" w:hAnsi="华文楷体" w:cs="华文楷体" w:eastAsia="华文楷体"/>
                <w:sz w:val="21"/>
              </w:rPr>
              <w:t>2.5mm；</w:t>
            </w:r>
          </w:p>
          <w:p>
            <w:pPr>
              <w:pStyle w:val="null3"/>
              <w:numPr>
                <w:ilvl w:val="0"/>
                <w:numId w:val="1"/>
              </w:numPr>
              <w:spacing w:before="120" w:after="120"/>
              <w:ind w:left="675"/>
            </w:pPr>
            <w:r>
              <w:rPr>
                <w:rFonts w:ascii="华文楷体" w:hAnsi="华文楷体" w:cs="华文楷体" w:eastAsia="华文楷体"/>
                <w:sz w:val="21"/>
              </w:rPr>
              <w:t>平整度：</w:t>
            </w:r>
            <w:r>
              <w:rPr>
                <w:rFonts w:ascii="华文楷体" w:hAnsi="华文楷体" w:cs="华文楷体" w:eastAsia="华文楷体"/>
                <w:sz w:val="21"/>
              </w:rPr>
              <w:t>≤0.15mm；</w:t>
            </w:r>
          </w:p>
          <w:p>
            <w:pPr>
              <w:pStyle w:val="null3"/>
              <w:numPr>
                <w:ilvl w:val="0"/>
                <w:numId w:val="1"/>
              </w:numPr>
              <w:spacing w:before="120" w:after="120"/>
              <w:ind w:left="675"/>
            </w:pPr>
            <w:r>
              <w:rPr>
                <w:rFonts w:ascii="华文楷体" w:hAnsi="华文楷体" w:cs="华文楷体" w:eastAsia="华文楷体"/>
                <w:sz w:val="21"/>
              </w:rPr>
              <w:t>显示屏亮度（校正后）：</w:t>
            </w:r>
            <w:r>
              <w:rPr>
                <w:rFonts w:ascii="华文楷体" w:hAnsi="华文楷体" w:cs="华文楷体" w:eastAsia="华文楷体"/>
                <w:sz w:val="21"/>
              </w:rPr>
              <w:t>≥550nits;亮度均匀度：≥98%；</w:t>
            </w:r>
          </w:p>
          <w:p>
            <w:pPr>
              <w:pStyle w:val="null3"/>
              <w:numPr>
                <w:ilvl w:val="0"/>
                <w:numId w:val="1"/>
              </w:numPr>
              <w:spacing w:before="120" w:after="120"/>
              <w:ind w:left="675"/>
            </w:pPr>
            <w:r>
              <w:rPr>
                <w:rFonts w:ascii="华文楷体" w:hAnsi="华文楷体" w:cs="华文楷体" w:eastAsia="华文楷体"/>
                <w:sz w:val="21"/>
              </w:rPr>
              <w:t>大屏可以同步显示工作站电脑的内容和，也可以显示演讲席笔记本的内容；</w:t>
            </w:r>
          </w:p>
          <w:p>
            <w:pPr>
              <w:pStyle w:val="null3"/>
              <w:numPr>
                <w:ilvl w:val="0"/>
                <w:numId w:val="1"/>
              </w:numPr>
              <w:spacing w:before="120" w:after="120"/>
              <w:ind w:left="675"/>
            </w:pPr>
            <w:r>
              <w:rPr>
                <w:rFonts w:ascii="华文楷体" w:hAnsi="华文楷体" w:cs="华文楷体" w:eastAsia="华文楷体"/>
                <w:sz w:val="21"/>
              </w:rPr>
              <w:t>显示系统支持不低于</w:t>
            </w:r>
            <w:r>
              <w:rPr>
                <w:rFonts w:ascii="华文楷体" w:hAnsi="华文楷体" w:cs="华文楷体" w:eastAsia="华文楷体"/>
                <w:sz w:val="21"/>
              </w:rPr>
              <w:t>1路DVI，1路HDMI，信号输入。</w:t>
            </w:r>
          </w:p>
          <w:p>
            <w:pPr>
              <w:pStyle w:val="null3"/>
              <w:spacing w:before="120" w:after="120"/>
              <w:ind w:firstLine="420"/>
              <w:jc w:val="both"/>
            </w:pPr>
            <w:r>
              <w:rPr>
                <w:rFonts w:ascii="华文楷体" w:hAnsi="华文楷体" w:cs="华文楷体" w:eastAsia="华文楷体"/>
                <w:b/>
                <w:sz w:val="24"/>
              </w:rPr>
              <w:t>1.2服务要求</w:t>
            </w:r>
          </w:p>
          <w:p>
            <w:pPr>
              <w:pStyle w:val="null3"/>
              <w:numPr>
                <w:ilvl w:val="0"/>
                <w:numId w:val="1"/>
              </w:numPr>
              <w:spacing w:before="120" w:after="120"/>
              <w:ind w:left="675"/>
            </w:pPr>
            <w:r>
              <w:rPr>
                <w:rFonts w:ascii="华文楷体" w:hAnsi="华文楷体" w:cs="华文楷体" w:eastAsia="华文楷体"/>
                <w:sz w:val="21"/>
              </w:rPr>
              <w:t>质保期一年：项目竣工验收合格之日起一年。</w:t>
            </w:r>
          </w:p>
          <w:p>
            <w:pPr>
              <w:pStyle w:val="null3"/>
              <w:numPr>
                <w:ilvl w:val="0"/>
                <w:numId w:val="1"/>
              </w:numPr>
              <w:spacing w:before="120" w:after="120"/>
              <w:ind w:left="675"/>
            </w:pPr>
            <w:r>
              <w:rPr>
                <w:rFonts w:ascii="华文楷体" w:hAnsi="华文楷体" w:cs="华文楷体" w:eastAsia="华文楷体"/>
                <w:sz w:val="21"/>
              </w:rPr>
              <w:t>投标人提供的售后服务承诺及方案应包括培训方案、售后人员、技术支持与服务方案、项目后续保障计划、保修方案。</w:t>
            </w:r>
          </w:p>
          <w:p>
            <w:pPr>
              <w:pStyle w:val="null3"/>
              <w:numPr>
                <w:ilvl w:val="0"/>
                <w:numId w:val="1"/>
              </w:numPr>
              <w:spacing w:before="120" w:after="120"/>
              <w:ind w:left="675"/>
            </w:pPr>
            <w:r>
              <w:rPr>
                <w:rFonts w:ascii="华文楷体" w:hAnsi="华文楷体" w:cs="华文楷体" w:eastAsia="华文楷体"/>
                <w:sz w:val="21"/>
              </w:rPr>
              <w:t>投标人应有完善的技术支持与服务体系，专人负责与采购人联系售后服务事宜，必要的售后机具配置、具有专门固定的售后服务电话。</w:t>
            </w:r>
          </w:p>
          <w:p>
            <w:pPr>
              <w:pStyle w:val="null3"/>
              <w:numPr>
                <w:ilvl w:val="0"/>
                <w:numId w:val="1"/>
              </w:numPr>
              <w:spacing w:before="120" w:after="120"/>
              <w:ind w:left="675"/>
            </w:pPr>
            <w:r>
              <w:rPr>
                <w:rFonts w:ascii="华文楷体" w:hAnsi="华文楷体" w:cs="华文楷体" w:eastAsia="华文楷体"/>
                <w:sz w:val="21"/>
              </w:rPr>
              <w:t>在保修期内设备出现质量问题，投标人应在接到通知后</w:t>
            </w:r>
            <w:r>
              <w:rPr>
                <w:rFonts w:ascii="华文楷体" w:hAnsi="华文楷体" w:cs="华文楷体" w:eastAsia="华文楷体"/>
                <w:sz w:val="21"/>
              </w:rPr>
              <w:t>5分钟内作出相应，若需上门维修，须在2小时内到达现场，及时排除故障；如发生安全隐患必须在24小时内排除。产品出现问题且在24小时内无法修复，须提供相应的备机备件服务。</w:t>
            </w:r>
          </w:p>
          <w:p>
            <w:pPr>
              <w:pStyle w:val="null3"/>
              <w:numPr>
                <w:ilvl w:val="0"/>
                <w:numId w:val="1"/>
              </w:numPr>
              <w:spacing w:before="120" w:after="120"/>
              <w:ind w:left="675"/>
            </w:pPr>
            <w:r>
              <w:rPr>
                <w:rFonts w:ascii="华文楷体" w:hAnsi="华文楷体" w:cs="华文楷体" w:eastAsia="华文楷体"/>
                <w:sz w:val="21"/>
              </w:rPr>
              <w:t>在保修期内每年至少提供两次巡检服务；</w:t>
            </w:r>
          </w:p>
        </w:tc>
      </w:tr>
    </w:tbl>
    <w:p>
      <w:pPr>
        <w:pStyle w:val="null3"/>
      </w:pPr>
    </w:p>
    <w:p>
      <w:pPr>
        <w:pStyle w:val="null3"/>
      </w:pPr>
      <w:r>
        <w:rPr/>
        <w:t>标的名称：LED显示屏播控软件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r>
              <w:rPr/>
              <w:t>★</w:t>
            </w:r>
          </w:p>
        </w:tc>
        <w:tc>
          <w:tcPr>
            <w:tcW w:type="dxa" w:w="2769"/>
          </w:tcPr>
          <w:p>
            <w:r>
              <w:rPr/>
              <w:t>1</w:t>
            </w:r>
          </w:p>
        </w:tc>
        <w:tc>
          <w:tcPr>
            <w:tcW w:type="dxa" w:w="2769"/>
          </w:tcPr>
          <w:p>
            <w:pPr>
              <w:pStyle w:val="null3"/>
              <w:spacing w:before="120" w:after="120"/>
              <w:ind w:firstLine="420"/>
              <w:jc w:val="both"/>
            </w:pPr>
            <w:r>
              <w:rPr>
                <w:rFonts w:ascii="华文楷体" w:hAnsi="华文楷体" w:cs="华文楷体" w:eastAsia="华文楷体"/>
                <w:b/>
                <w:sz w:val="24"/>
              </w:rPr>
              <w:t>1.1技术要求</w:t>
            </w:r>
          </w:p>
          <w:p>
            <w:pPr>
              <w:pStyle w:val="null3"/>
              <w:numPr>
                <w:ilvl w:val="0"/>
                <w:numId w:val="1"/>
              </w:numPr>
              <w:spacing w:before="120" w:after="120"/>
              <w:ind w:left="675"/>
            </w:pPr>
            <w:r>
              <w:rPr>
                <w:rFonts w:ascii="华文楷体" w:hAnsi="华文楷体" w:cs="华文楷体" w:eastAsia="华文楷体"/>
                <w:sz w:val="21"/>
              </w:rPr>
              <w:t>大屏显示尺寸应不低于</w:t>
            </w:r>
            <w:r>
              <w:rPr>
                <w:rFonts w:ascii="华文楷体" w:hAnsi="华文楷体" w:cs="华文楷体" w:eastAsia="华文楷体"/>
                <w:sz w:val="21"/>
              </w:rPr>
              <w:t>4800mm*2880mm；</w:t>
            </w:r>
          </w:p>
          <w:p>
            <w:pPr>
              <w:pStyle w:val="null3"/>
              <w:numPr>
                <w:ilvl w:val="0"/>
                <w:numId w:val="1"/>
              </w:numPr>
              <w:spacing w:before="120" w:after="120"/>
              <w:ind w:left="675"/>
            </w:pPr>
            <w:r>
              <w:rPr>
                <w:rFonts w:ascii="华文楷体" w:hAnsi="华文楷体" w:cs="华文楷体" w:eastAsia="华文楷体"/>
                <w:sz w:val="21"/>
              </w:rPr>
              <w:t>大屏整体分辨率不低于</w:t>
            </w:r>
            <w:r>
              <w:rPr>
                <w:rFonts w:ascii="华文楷体" w:hAnsi="华文楷体" w:cs="华文楷体" w:eastAsia="华文楷体"/>
                <w:sz w:val="21"/>
              </w:rPr>
              <w:t>1920*1152；</w:t>
            </w:r>
          </w:p>
          <w:p>
            <w:pPr>
              <w:pStyle w:val="null3"/>
              <w:numPr>
                <w:ilvl w:val="0"/>
                <w:numId w:val="1"/>
              </w:numPr>
              <w:spacing w:before="120" w:after="120"/>
              <w:ind w:left="675"/>
            </w:pPr>
            <w:r>
              <w:rPr>
                <w:rFonts w:ascii="华文楷体" w:hAnsi="华文楷体" w:cs="华文楷体" w:eastAsia="华文楷体"/>
                <w:sz w:val="21"/>
              </w:rPr>
              <w:t>像素间距不大于</w:t>
            </w:r>
            <w:r>
              <w:rPr>
                <w:rFonts w:ascii="华文楷体" w:hAnsi="华文楷体" w:cs="华文楷体" w:eastAsia="华文楷体"/>
                <w:sz w:val="21"/>
              </w:rPr>
              <w:t>2.5mm；</w:t>
            </w:r>
          </w:p>
          <w:p>
            <w:pPr>
              <w:pStyle w:val="null3"/>
              <w:numPr>
                <w:ilvl w:val="0"/>
                <w:numId w:val="1"/>
              </w:numPr>
              <w:spacing w:before="120" w:after="120"/>
              <w:ind w:left="675"/>
            </w:pPr>
            <w:r>
              <w:rPr>
                <w:rFonts w:ascii="华文楷体" w:hAnsi="华文楷体" w:cs="华文楷体" w:eastAsia="华文楷体"/>
                <w:sz w:val="21"/>
              </w:rPr>
              <w:t>平整度：</w:t>
            </w:r>
            <w:r>
              <w:rPr>
                <w:rFonts w:ascii="华文楷体" w:hAnsi="华文楷体" w:cs="华文楷体" w:eastAsia="华文楷体"/>
                <w:sz w:val="21"/>
              </w:rPr>
              <w:t>≤0.15mm；</w:t>
            </w:r>
          </w:p>
          <w:p>
            <w:pPr>
              <w:pStyle w:val="null3"/>
              <w:numPr>
                <w:ilvl w:val="0"/>
                <w:numId w:val="1"/>
              </w:numPr>
              <w:spacing w:before="120" w:after="120"/>
              <w:ind w:left="675"/>
            </w:pPr>
            <w:r>
              <w:rPr>
                <w:rFonts w:ascii="华文楷体" w:hAnsi="华文楷体" w:cs="华文楷体" w:eastAsia="华文楷体"/>
                <w:sz w:val="21"/>
              </w:rPr>
              <w:t>显示屏亮度（校正后）：</w:t>
            </w:r>
            <w:r>
              <w:rPr>
                <w:rFonts w:ascii="华文楷体" w:hAnsi="华文楷体" w:cs="华文楷体" w:eastAsia="华文楷体"/>
                <w:sz w:val="21"/>
              </w:rPr>
              <w:t>≥550nits;亮度均匀度：≥98%；</w:t>
            </w:r>
          </w:p>
          <w:p>
            <w:pPr>
              <w:pStyle w:val="null3"/>
              <w:numPr>
                <w:ilvl w:val="0"/>
                <w:numId w:val="1"/>
              </w:numPr>
              <w:spacing w:before="120" w:after="120"/>
              <w:ind w:left="675"/>
            </w:pPr>
            <w:r>
              <w:rPr>
                <w:rFonts w:ascii="华文楷体" w:hAnsi="华文楷体" w:cs="华文楷体" w:eastAsia="华文楷体"/>
                <w:sz w:val="21"/>
              </w:rPr>
              <w:t>大屏可以同步显示工作站电脑的内容和，也可以显示演讲席笔记本的内容；</w:t>
            </w:r>
          </w:p>
          <w:p>
            <w:pPr>
              <w:pStyle w:val="null3"/>
              <w:numPr>
                <w:ilvl w:val="0"/>
                <w:numId w:val="1"/>
              </w:numPr>
              <w:spacing w:before="120" w:after="120"/>
              <w:ind w:left="675"/>
            </w:pPr>
            <w:r>
              <w:rPr>
                <w:rFonts w:ascii="华文楷体" w:hAnsi="华文楷体" w:cs="华文楷体" w:eastAsia="华文楷体"/>
                <w:sz w:val="21"/>
              </w:rPr>
              <w:t>显示系统支持不低于</w:t>
            </w:r>
            <w:r>
              <w:rPr>
                <w:rFonts w:ascii="华文楷体" w:hAnsi="华文楷体" w:cs="华文楷体" w:eastAsia="华文楷体"/>
                <w:sz w:val="21"/>
              </w:rPr>
              <w:t>1路DVI，1路HDMI，信号输入。</w:t>
            </w:r>
          </w:p>
          <w:p>
            <w:pPr>
              <w:pStyle w:val="null3"/>
              <w:spacing w:before="120" w:after="120"/>
              <w:ind w:firstLine="420"/>
              <w:jc w:val="both"/>
            </w:pPr>
            <w:r>
              <w:rPr>
                <w:rFonts w:ascii="华文楷体" w:hAnsi="华文楷体" w:cs="华文楷体" w:eastAsia="华文楷体"/>
                <w:b/>
                <w:sz w:val="24"/>
              </w:rPr>
              <w:t>1.2服务要求</w:t>
            </w:r>
          </w:p>
          <w:p>
            <w:pPr>
              <w:pStyle w:val="null3"/>
              <w:numPr>
                <w:ilvl w:val="0"/>
                <w:numId w:val="1"/>
              </w:numPr>
              <w:spacing w:before="120" w:after="120"/>
              <w:ind w:left="675"/>
            </w:pPr>
            <w:r>
              <w:rPr>
                <w:rFonts w:ascii="华文楷体" w:hAnsi="华文楷体" w:cs="华文楷体" w:eastAsia="华文楷体"/>
                <w:sz w:val="21"/>
              </w:rPr>
              <w:t>质保期一年：项目竣工验收合格之日起一年。</w:t>
            </w:r>
          </w:p>
          <w:p>
            <w:pPr>
              <w:pStyle w:val="null3"/>
              <w:numPr>
                <w:ilvl w:val="0"/>
                <w:numId w:val="1"/>
              </w:numPr>
              <w:spacing w:before="120" w:after="120"/>
              <w:ind w:left="675"/>
            </w:pPr>
            <w:r>
              <w:rPr>
                <w:rFonts w:ascii="华文楷体" w:hAnsi="华文楷体" w:cs="华文楷体" w:eastAsia="华文楷体"/>
                <w:sz w:val="21"/>
              </w:rPr>
              <w:t>投标人提供的售后服务承诺及方案应包括培训方案、售后人员、技术支持与服务方案、项目后续保障计划、保修方案。</w:t>
            </w:r>
          </w:p>
          <w:p>
            <w:pPr>
              <w:pStyle w:val="null3"/>
              <w:numPr>
                <w:ilvl w:val="0"/>
                <w:numId w:val="1"/>
              </w:numPr>
              <w:spacing w:before="120" w:after="120"/>
              <w:ind w:left="675"/>
            </w:pPr>
            <w:r>
              <w:rPr>
                <w:rFonts w:ascii="华文楷体" w:hAnsi="华文楷体" w:cs="华文楷体" w:eastAsia="华文楷体"/>
                <w:sz w:val="21"/>
              </w:rPr>
              <w:t>投标人应有完善的技术支持与服务体系，专人负责与采购人联系售后服务事宜，必要的售后机具配置、具有专门固定的售后服务电话。</w:t>
            </w:r>
          </w:p>
          <w:p>
            <w:pPr>
              <w:pStyle w:val="null3"/>
              <w:numPr>
                <w:ilvl w:val="0"/>
                <w:numId w:val="1"/>
              </w:numPr>
              <w:spacing w:before="120" w:after="120"/>
              <w:ind w:left="675"/>
            </w:pPr>
            <w:r>
              <w:rPr>
                <w:rFonts w:ascii="华文楷体" w:hAnsi="华文楷体" w:cs="华文楷体" w:eastAsia="华文楷体"/>
                <w:sz w:val="21"/>
              </w:rPr>
              <w:t>在保修期内设备出现质量问题，投标人应在接到通知后</w:t>
            </w:r>
            <w:r>
              <w:rPr>
                <w:rFonts w:ascii="华文楷体" w:hAnsi="华文楷体" w:cs="华文楷体" w:eastAsia="华文楷体"/>
                <w:sz w:val="21"/>
              </w:rPr>
              <w:t>5分钟内作出相应，若需上门维修，须在2小时内到达现场，及时排除故障；如发生安全隐患必须在24小时内排除。产品出现问题且在24小时内无法修复，须提供相应的备机备件服务。</w:t>
            </w:r>
          </w:p>
          <w:p>
            <w:pPr>
              <w:pStyle w:val="null3"/>
              <w:numPr>
                <w:ilvl w:val="0"/>
                <w:numId w:val="1"/>
              </w:numPr>
              <w:spacing w:before="120" w:after="120"/>
              <w:ind w:left="675"/>
            </w:pPr>
            <w:r>
              <w:rPr>
                <w:rFonts w:ascii="华文楷体" w:hAnsi="华文楷体" w:cs="华文楷体" w:eastAsia="华文楷体"/>
                <w:sz w:val="21"/>
              </w:rPr>
              <w:t>在保修期内每年至少提供两次巡检服务；</w:t>
            </w:r>
          </w:p>
        </w:tc>
      </w:tr>
    </w:tbl>
    <w:p>
      <w:pPr>
        <w:pStyle w:val="null3"/>
      </w:pPr>
    </w:p>
    <w:p>
      <w:pPr>
        <w:pStyle w:val="null3"/>
      </w:pPr>
      <w:r>
        <w:rPr/>
        <w:t>标的名称：钢结构及装饰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r>
              <w:rPr/>
              <w:t>★</w:t>
            </w:r>
          </w:p>
        </w:tc>
        <w:tc>
          <w:tcPr>
            <w:tcW w:type="dxa" w:w="2769"/>
          </w:tcPr>
          <w:p>
            <w:r>
              <w:rPr/>
              <w:t>1</w:t>
            </w:r>
          </w:p>
        </w:tc>
        <w:tc>
          <w:tcPr>
            <w:tcW w:type="dxa" w:w="2769"/>
          </w:tcPr>
          <w:p>
            <w:pPr>
              <w:pStyle w:val="null3"/>
              <w:spacing w:before="120" w:after="120"/>
              <w:ind w:firstLine="420"/>
              <w:jc w:val="both"/>
            </w:pPr>
            <w:r>
              <w:rPr>
                <w:rFonts w:ascii="华文楷体" w:hAnsi="华文楷体" w:cs="华文楷体" w:eastAsia="华文楷体"/>
                <w:b/>
                <w:sz w:val="24"/>
              </w:rPr>
              <w:t>1.1技术要求</w:t>
            </w:r>
          </w:p>
          <w:p>
            <w:pPr>
              <w:pStyle w:val="null3"/>
              <w:numPr>
                <w:ilvl w:val="0"/>
                <w:numId w:val="1"/>
              </w:numPr>
              <w:spacing w:before="120" w:after="120"/>
              <w:ind w:left="675"/>
            </w:pPr>
            <w:r>
              <w:rPr>
                <w:rFonts w:ascii="华文楷体" w:hAnsi="华文楷体" w:cs="华文楷体" w:eastAsia="华文楷体"/>
                <w:sz w:val="21"/>
              </w:rPr>
              <w:t>大屏显示尺寸应不低于</w:t>
            </w:r>
            <w:r>
              <w:rPr>
                <w:rFonts w:ascii="华文楷体" w:hAnsi="华文楷体" w:cs="华文楷体" w:eastAsia="华文楷体"/>
                <w:sz w:val="21"/>
              </w:rPr>
              <w:t>4800mm*2880mm；</w:t>
            </w:r>
          </w:p>
          <w:p>
            <w:pPr>
              <w:pStyle w:val="null3"/>
              <w:numPr>
                <w:ilvl w:val="0"/>
                <w:numId w:val="1"/>
              </w:numPr>
              <w:spacing w:before="120" w:after="120"/>
              <w:ind w:left="675"/>
            </w:pPr>
            <w:r>
              <w:rPr>
                <w:rFonts w:ascii="华文楷体" w:hAnsi="华文楷体" w:cs="华文楷体" w:eastAsia="华文楷体"/>
                <w:sz w:val="21"/>
              </w:rPr>
              <w:t>大屏整体分辨率不低于</w:t>
            </w:r>
            <w:r>
              <w:rPr>
                <w:rFonts w:ascii="华文楷体" w:hAnsi="华文楷体" w:cs="华文楷体" w:eastAsia="华文楷体"/>
                <w:sz w:val="21"/>
              </w:rPr>
              <w:t>1920*1152；</w:t>
            </w:r>
          </w:p>
          <w:p>
            <w:pPr>
              <w:pStyle w:val="null3"/>
              <w:numPr>
                <w:ilvl w:val="0"/>
                <w:numId w:val="1"/>
              </w:numPr>
              <w:spacing w:before="120" w:after="120"/>
              <w:ind w:left="675"/>
            </w:pPr>
            <w:r>
              <w:rPr>
                <w:rFonts w:ascii="华文楷体" w:hAnsi="华文楷体" w:cs="华文楷体" w:eastAsia="华文楷体"/>
                <w:sz w:val="21"/>
              </w:rPr>
              <w:t>像素间距不大于</w:t>
            </w:r>
            <w:r>
              <w:rPr>
                <w:rFonts w:ascii="华文楷体" w:hAnsi="华文楷体" w:cs="华文楷体" w:eastAsia="华文楷体"/>
                <w:sz w:val="21"/>
              </w:rPr>
              <w:t>2.5mm；</w:t>
            </w:r>
          </w:p>
          <w:p>
            <w:pPr>
              <w:pStyle w:val="null3"/>
              <w:numPr>
                <w:ilvl w:val="0"/>
                <w:numId w:val="1"/>
              </w:numPr>
              <w:spacing w:before="120" w:after="120"/>
              <w:ind w:left="675"/>
            </w:pPr>
            <w:r>
              <w:rPr>
                <w:rFonts w:ascii="华文楷体" w:hAnsi="华文楷体" w:cs="华文楷体" w:eastAsia="华文楷体"/>
                <w:sz w:val="21"/>
              </w:rPr>
              <w:t>平整度：</w:t>
            </w:r>
            <w:r>
              <w:rPr>
                <w:rFonts w:ascii="华文楷体" w:hAnsi="华文楷体" w:cs="华文楷体" w:eastAsia="华文楷体"/>
                <w:sz w:val="21"/>
              </w:rPr>
              <w:t>≤0.15mm；</w:t>
            </w:r>
          </w:p>
          <w:p>
            <w:pPr>
              <w:pStyle w:val="null3"/>
              <w:numPr>
                <w:ilvl w:val="0"/>
                <w:numId w:val="1"/>
              </w:numPr>
              <w:spacing w:before="120" w:after="120"/>
              <w:ind w:left="675"/>
            </w:pPr>
            <w:r>
              <w:rPr>
                <w:rFonts w:ascii="华文楷体" w:hAnsi="华文楷体" w:cs="华文楷体" w:eastAsia="华文楷体"/>
                <w:sz w:val="21"/>
              </w:rPr>
              <w:t>显示屏亮度（校正后）：</w:t>
            </w:r>
            <w:r>
              <w:rPr>
                <w:rFonts w:ascii="华文楷体" w:hAnsi="华文楷体" w:cs="华文楷体" w:eastAsia="华文楷体"/>
                <w:sz w:val="21"/>
              </w:rPr>
              <w:t>≥550nits;亮度均匀度：≥98%；</w:t>
            </w:r>
          </w:p>
          <w:p>
            <w:pPr>
              <w:pStyle w:val="null3"/>
              <w:numPr>
                <w:ilvl w:val="0"/>
                <w:numId w:val="1"/>
              </w:numPr>
              <w:spacing w:before="120" w:after="120"/>
              <w:ind w:left="675"/>
            </w:pPr>
            <w:r>
              <w:rPr>
                <w:rFonts w:ascii="华文楷体" w:hAnsi="华文楷体" w:cs="华文楷体" w:eastAsia="华文楷体"/>
                <w:sz w:val="21"/>
              </w:rPr>
              <w:t>大屏可以同步显示工作站电脑的内容和，也可以显示演讲席笔记本的内容；</w:t>
            </w:r>
          </w:p>
          <w:p>
            <w:pPr>
              <w:pStyle w:val="null3"/>
              <w:numPr>
                <w:ilvl w:val="0"/>
                <w:numId w:val="1"/>
              </w:numPr>
              <w:spacing w:before="120" w:after="120"/>
              <w:ind w:left="675"/>
            </w:pPr>
            <w:r>
              <w:rPr>
                <w:rFonts w:ascii="华文楷体" w:hAnsi="华文楷体" w:cs="华文楷体" w:eastAsia="华文楷体"/>
                <w:sz w:val="21"/>
              </w:rPr>
              <w:t>显示系统支持不低于</w:t>
            </w:r>
            <w:r>
              <w:rPr>
                <w:rFonts w:ascii="华文楷体" w:hAnsi="华文楷体" w:cs="华文楷体" w:eastAsia="华文楷体"/>
                <w:sz w:val="21"/>
              </w:rPr>
              <w:t>1路DVI，1路HDMI，信号输入。</w:t>
            </w:r>
          </w:p>
          <w:p>
            <w:pPr>
              <w:pStyle w:val="null3"/>
              <w:spacing w:before="120" w:after="120"/>
              <w:ind w:firstLine="420"/>
              <w:jc w:val="both"/>
            </w:pPr>
            <w:r>
              <w:rPr>
                <w:rFonts w:ascii="华文楷体" w:hAnsi="华文楷体" w:cs="华文楷体" w:eastAsia="华文楷体"/>
                <w:b/>
                <w:sz w:val="24"/>
              </w:rPr>
              <w:t>1.2服务要求</w:t>
            </w:r>
          </w:p>
          <w:p>
            <w:pPr>
              <w:pStyle w:val="null3"/>
              <w:numPr>
                <w:ilvl w:val="0"/>
                <w:numId w:val="1"/>
              </w:numPr>
              <w:spacing w:before="120" w:after="120"/>
              <w:ind w:left="675"/>
            </w:pPr>
            <w:r>
              <w:rPr>
                <w:rFonts w:ascii="华文楷体" w:hAnsi="华文楷体" w:cs="华文楷体" w:eastAsia="华文楷体"/>
                <w:sz w:val="21"/>
              </w:rPr>
              <w:t>质保期一年：项目竣工验收合格之日起一年。</w:t>
            </w:r>
          </w:p>
          <w:p>
            <w:pPr>
              <w:pStyle w:val="null3"/>
              <w:numPr>
                <w:ilvl w:val="0"/>
                <w:numId w:val="1"/>
              </w:numPr>
              <w:spacing w:before="120" w:after="120"/>
              <w:ind w:left="675"/>
            </w:pPr>
            <w:r>
              <w:rPr>
                <w:rFonts w:ascii="华文楷体" w:hAnsi="华文楷体" w:cs="华文楷体" w:eastAsia="华文楷体"/>
                <w:sz w:val="21"/>
              </w:rPr>
              <w:t>投标人提供的售后服务承诺及方案应包括培训方案、售后人员、技术支持与服务方案、项目后续保障计划、保修方案。</w:t>
            </w:r>
          </w:p>
          <w:p>
            <w:pPr>
              <w:pStyle w:val="null3"/>
              <w:numPr>
                <w:ilvl w:val="0"/>
                <w:numId w:val="1"/>
              </w:numPr>
              <w:spacing w:before="120" w:after="120"/>
              <w:ind w:left="675"/>
            </w:pPr>
            <w:r>
              <w:rPr>
                <w:rFonts w:ascii="华文楷体" w:hAnsi="华文楷体" w:cs="华文楷体" w:eastAsia="华文楷体"/>
                <w:sz w:val="21"/>
              </w:rPr>
              <w:t>投标人应有完善的技术支持与服务体系，专人负责与采购人联系售后服务事宜，必要的售后机具配置、具有专门固定的售后服务电话。</w:t>
            </w:r>
          </w:p>
          <w:p>
            <w:pPr>
              <w:pStyle w:val="null3"/>
              <w:numPr>
                <w:ilvl w:val="0"/>
                <w:numId w:val="1"/>
              </w:numPr>
              <w:spacing w:before="120" w:after="120"/>
              <w:ind w:left="675"/>
            </w:pPr>
            <w:r>
              <w:rPr>
                <w:rFonts w:ascii="华文楷体" w:hAnsi="华文楷体" w:cs="华文楷体" w:eastAsia="华文楷体"/>
                <w:sz w:val="21"/>
              </w:rPr>
              <w:t>在保修期内设备出现质量问题，投标人应在接到通知后</w:t>
            </w:r>
            <w:r>
              <w:rPr>
                <w:rFonts w:ascii="华文楷体" w:hAnsi="华文楷体" w:cs="华文楷体" w:eastAsia="华文楷体"/>
                <w:sz w:val="21"/>
              </w:rPr>
              <w:t>5分钟内作出相应，若需上门维修，须在2小时内到达现场，及时排除故障；如发生安全隐患必须在24小时内排除。产品出现问题且在24小时内无法修复，须提供相应的备机备件服务。</w:t>
            </w:r>
          </w:p>
          <w:p>
            <w:pPr>
              <w:pStyle w:val="null3"/>
              <w:numPr>
                <w:ilvl w:val="0"/>
                <w:numId w:val="1"/>
              </w:numPr>
              <w:spacing w:before="120" w:after="120"/>
              <w:ind w:left="675"/>
            </w:pPr>
            <w:r>
              <w:rPr>
                <w:rFonts w:ascii="华文楷体" w:hAnsi="华文楷体" w:cs="华文楷体" w:eastAsia="华文楷体"/>
                <w:sz w:val="21"/>
              </w:rPr>
              <w:t>在保修期内每年至少提供两次巡检服务；</w:t>
            </w:r>
          </w:p>
        </w:tc>
      </w:tr>
    </w:tbl>
    <w:p>
      <w:pPr>
        <w:pStyle w:val="null3"/>
      </w:pPr>
    </w:p>
    <w:p>
      <w:pPr>
        <w:pStyle w:val="null3"/>
      </w:pPr>
      <w:r>
        <w:rPr/>
        <w:t>标的名称：配电柜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r>
              <w:rPr/>
              <w:t>★</w:t>
            </w:r>
          </w:p>
        </w:tc>
        <w:tc>
          <w:tcPr>
            <w:tcW w:type="dxa" w:w="2769"/>
          </w:tcPr>
          <w:p>
            <w:r>
              <w:rPr/>
              <w:t>1</w:t>
            </w:r>
          </w:p>
        </w:tc>
        <w:tc>
          <w:tcPr>
            <w:tcW w:type="dxa" w:w="2769"/>
          </w:tcPr>
          <w:p>
            <w:pPr>
              <w:pStyle w:val="null3"/>
              <w:spacing w:before="120" w:after="120"/>
              <w:ind w:firstLine="420"/>
              <w:jc w:val="both"/>
            </w:pPr>
            <w:r>
              <w:rPr>
                <w:rFonts w:ascii="华文楷体" w:hAnsi="华文楷体" w:cs="华文楷体" w:eastAsia="华文楷体"/>
                <w:b/>
                <w:sz w:val="24"/>
              </w:rPr>
              <w:t>1.1技术要求</w:t>
            </w:r>
          </w:p>
          <w:p>
            <w:pPr>
              <w:pStyle w:val="null3"/>
              <w:numPr>
                <w:ilvl w:val="0"/>
                <w:numId w:val="1"/>
              </w:numPr>
              <w:spacing w:before="120" w:after="120"/>
              <w:ind w:left="675"/>
            </w:pPr>
            <w:r>
              <w:rPr>
                <w:rFonts w:ascii="华文楷体" w:hAnsi="华文楷体" w:cs="华文楷体" w:eastAsia="华文楷体"/>
                <w:sz w:val="21"/>
              </w:rPr>
              <w:t>大屏显示尺寸应不低于</w:t>
            </w:r>
            <w:r>
              <w:rPr>
                <w:rFonts w:ascii="华文楷体" w:hAnsi="华文楷体" w:cs="华文楷体" w:eastAsia="华文楷体"/>
                <w:sz w:val="21"/>
              </w:rPr>
              <w:t>4800mm*2880mm；</w:t>
            </w:r>
          </w:p>
          <w:p>
            <w:pPr>
              <w:pStyle w:val="null3"/>
              <w:numPr>
                <w:ilvl w:val="0"/>
                <w:numId w:val="1"/>
              </w:numPr>
              <w:spacing w:before="120" w:after="120"/>
              <w:ind w:left="675"/>
            </w:pPr>
            <w:r>
              <w:rPr>
                <w:rFonts w:ascii="华文楷体" w:hAnsi="华文楷体" w:cs="华文楷体" w:eastAsia="华文楷体"/>
                <w:sz w:val="21"/>
              </w:rPr>
              <w:t>大屏整体分辨率不低于</w:t>
            </w:r>
            <w:r>
              <w:rPr>
                <w:rFonts w:ascii="华文楷体" w:hAnsi="华文楷体" w:cs="华文楷体" w:eastAsia="华文楷体"/>
                <w:sz w:val="21"/>
              </w:rPr>
              <w:t>1920*1152；</w:t>
            </w:r>
          </w:p>
          <w:p>
            <w:pPr>
              <w:pStyle w:val="null3"/>
              <w:numPr>
                <w:ilvl w:val="0"/>
                <w:numId w:val="1"/>
              </w:numPr>
              <w:spacing w:before="120" w:after="120"/>
              <w:ind w:left="675"/>
            </w:pPr>
            <w:r>
              <w:rPr>
                <w:rFonts w:ascii="华文楷体" w:hAnsi="华文楷体" w:cs="华文楷体" w:eastAsia="华文楷体"/>
                <w:sz w:val="21"/>
              </w:rPr>
              <w:t>像素间距不大于</w:t>
            </w:r>
            <w:r>
              <w:rPr>
                <w:rFonts w:ascii="华文楷体" w:hAnsi="华文楷体" w:cs="华文楷体" w:eastAsia="华文楷体"/>
                <w:sz w:val="21"/>
              </w:rPr>
              <w:t>2.5mm；</w:t>
            </w:r>
          </w:p>
          <w:p>
            <w:pPr>
              <w:pStyle w:val="null3"/>
              <w:numPr>
                <w:ilvl w:val="0"/>
                <w:numId w:val="1"/>
              </w:numPr>
              <w:spacing w:before="120" w:after="120"/>
              <w:ind w:left="675"/>
            </w:pPr>
            <w:r>
              <w:rPr>
                <w:rFonts w:ascii="华文楷体" w:hAnsi="华文楷体" w:cs="华文楷体" w:eastAsia="华文楷体"/>
                <w:sz w:val="21"/>
              </w:rPr>
              <w:t>平整度：</w:t>
            </w:r>
            <w:r>
              <w:rPr>
                <w:rFonts w:ascii="华文楷体" w:hAnsi="华文楷体" w:cs="华文楷体" w:eastAsia="华文楷体"/>
                <w:sz w:val="21"/>
              </w:rPr>
              <w:t>≤0.15mm；</w:t>
            </w:r>
          </w:p>
          <w:p>
            <w:pPr>
              <w:pStyle w:val="null3"/>
              <w:numPr>
                <w:ilvl w:val="0"/>
                <w:numId w:val="1"/>
              </w:numPr>
              <w:spacing w:before="120" w:after="120"/>
              <w:ind w:left="675"/>
            </w:pPr>
            <w:r>
              <w:rPr>
                <w:rFonts w:ascii="华文楷体" w:hAnsi="华文楷体" w:cs="华文楷体" w:eastAsia="华文楷体"/>
                <w:sz w:val="21"/>
              </w:rPr>
              <w:t>显示屏亮度（校正后）：</w:t>
            </w:r>
            <w:r>
              <w:rPr>
                <w:rFonts w:ascii="华文楷体" w:hAnsi="华文楷体" w:cs="华文楷体" w:eastAsia="华文楷体"/>
                <w:sz w:val="21"/>
              </w:rPr>
              <w:t>≥550nits;亮度均匀度：≥98%；</w:t>
            </w:r>
          </w:p>
          <w:p>
            <w:pPr>
              <w:pStyle w:val="null3"/>
              <w:numPr>
                <w:ilvl w:val="0"/>
                <w:numId w:val="1"/>
              </w:numPr>
              <w:spacing w:before="120" w:after="120"/>
              <w:ind w:left="675"/>
            </w:pPr>
            <w:r>
              <w:rPr>
                <w:rFonts w:ascii="华文楷体" w:hAnsi="华文楷体" w:cs="华文楷体" w:eastAsia="华文楷体"/>
                <w:sz w:val="21"/>
              </w:rPr>
              <w:t>大屏可以同步显示工作站电脑的内容和，也可以显示演讲席笔记本的内容；</w:t>
            </w:r>
          </w:p>
          <w:p>
            <w:pPr>
              <w:pStyle w:val="null3"/>
              <w:numPr>
                <w:ilvl w:val="0"/>
                <w:numId w:val="1"/>
              </w:numPr>
              <w:spacing w:before="120" w:after="120"/>
              <w:ind w:left="675"/>
            </w:pPr>
            <w:r>
              <w:rPr>
                <w:rFonts w:ascii="华文楷体" w:hAnsi="华文楷体" w:cs="华文楷体" w:eastAsia="华文楷体"/>
                <w:sz w:val="21"/>
              </w:rPr>
              <w:t>显示系统支持不低于</w:t>
            </w:r>
            <w:r>
              <w:rPr>
                <w:rFonts w:ascii="华文楷体" w:hAnsi="华文楷体" w:cs="华文楷体" w:eastAsia="华文楷体"/>
                <w:sz w:val="21"/>
              </w:rPr>
              <w:t>1路DVI，1路HDMI，信号输入。</w:t>
            </w:r>
          </w:p>
          <w:p>
            <w:pPr>
              <w:pStyle w:val="null3"/>
              <w:spacing w:before="120" w:after="120"/>
              <w:ind w:firstLine="420"/>
              <w:jc w:val="both"/>
            </w:pPr>
            <w:r>
              <w:rPr>
                <w:rFonts w:ascii="华文楷体" w:hAnsi="华文楷体" w:cs="华文楷体" w:eastAsia="华文楷体"/>
                <w:b/>
                <w:sz w:val="24"/>
              </w:rPr>
              <w:t>1.2服务要求</w:t>
            </w:r>
          </w:p>
          <w:p>
            <w:pPr>
              <w:pStyle w:val="null3"/>
              <w:numPr>
                <w:ilvl w:val="0"/>
                <w:numId w:val="1"/>
              </w:numPr>
              <w:spacing w:before="120" w:after="120"/>
              <w:ind w:left="675"/>
            </w:pPr>
            <w:r>
              <w:rPr>
                <w:rFonts w:ascii="华文楷体" w:hAnsi="华文楷体" w:cs="华文楷体" w:eastAsia="华文楷体"/>
                <w:sz w:val="21"/>
              </w:rPr>
              <w:t>质保期一年：项目竣工验收合格之日起一年。</w:t>
            </w:r>
          </w:p>
          <w:p>
            <w:pPr>
              <w:pStyle w:val="null3"/>
              <w:numPr>
                <w:ilvl w:val="0"/>
                <w:numId w:val="1"/>
              </w:numPr>
              <w:spacing w:before="120" w:after="120"/>
              <w:ind w:left="675"/>
            </w:pPr>
            <w:r>
              <w:rPr>
                <w:rFonts w:ascii="华文楷体" w:hAnsi="华文楷体" w:cs="华文楷体" w:eastAsia="华文楷体"/>
                <w:sz w:val="21"/>
              </w:rPr>
              <w:t>投标人提供的售后服务承诺及方案应包括培训方案、售后人员、技术支持与服务方案、项目后续保障计划、保修方案。</w:t>
            </w:r>
          </w:p>
          <w:p>
            <w:pPr>
              <w:pStyle w:val="null3"/>
              <w:numPr>
                <w:ilvl w:val="0"/>
                <w:numId w:val="1"/>
              </w:numPr>
              <w:spacing w:before="120" w:after="120"/>
              <w:ind w:left="675"/>
            </w:pPr>
            <w:r>
              <w:rPr>
                <w:rFonts w:ascii="华文楷体" w:hAnsi="华文楷体" w:cs="华文楷体" w:eastAsia="华文楷体"/>
                <w:sz w:val="21"/>
              </w:rPr>
              <w:t>投标人应有完善的技术支持与服务体系，专人负责与采购人联系售后服务事宜，必要的售后机具配置、具有专门固定的售后服务电话。</w:t>
            </w:r>
          </w:p>
          <w:p>
            <w:pPr>
              <w:pStyle w:val="null3"/>
              <w:numPr>
                <w:ilvl w:val="0"/>
                <w:numId w:val="1"/>
              </w:numPr>
              <w:spacing w:before="120" w:after="120"/>
              <w:ind w:left="675"/>
            </w:pPr>
            <w:r>
              <w:rPr>
                <w:rFonts w:ascii="华文楷体" w:hAnsi="华文楷体" w:cs="华文楷体" w:eastAsia="华文楷体"/>
                <w:sz w:val="21"/>
              </w:rPr>
              <w:t>在保修期内设备出现质量问题，投标人应在接到通知后</w:t>
            </w:r>
            <w:r>
              <w:rPr>
                <w:rFonts w:ascii="华文楷体" w:hAnsi="华文楷体" w:cs="华文楷体" w:eastAsia="华文楷体"/>
                <w:sz w:val="21"/>
              </w:rPr>
              <w:t>5分钟内作出相应，若需上门维修，须在2小时内到达现场，及时排除故障；如发生安全隐患必须在24小时内排除。产品出现问题且在24小时内无法修复，须提供相应的备机备件服务。</w:t>
            </w:r>
          </w:p>
          <w:p>
            <w:pPr>
              <w:pStyle w:val="null3"/>
              <w:numPr>
                <w:ilvl w:val="0"/>
                <w:numId w:val="1"/>
              </w:numPr>
              <w:spacing w:before="120" w:after="120"/>
              <w:ind w:left="675"/>
            </w:pPr>
            <w:r>
              <w:rPr>
                <w:rFonts w:ascii="华文楷体" w:hAnsi="华文楷体" w:cs="华文楷体" w:eastAsia="华文楷体"/>
                <w:sz w:val="21"/>
              </w:rPr>
              <w:t>在保修期内每年至少提供两次巡检服务；</w:t>
            </w:r>
          </w:p>
        </w:tc>
      </w:tr>
    </w:tbl>
    <w:p>
      <w:pPr>
        <w:pStyle w:val="null3"/>
      </w:pPr>
    </w:p>
    <w:p>
      <w:pPr>
        <w:pStyle w:val="null3"/>
      </w:pPr>
      <w:r>
        <w:rPr/>
        <w:t>标的名称：工作站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r>
              <w:rPr/>
              <w:t>★</w:t>
            </w:r>
          </w:p>
        </w:tc>
        <w:tc>
          <w:tcPr>
            <w:tcW w:type="dxa" w:w="2769"/>
          </w:tcPr>
          <w:p>
            <w:r>
              <w:rPr/>
              <w:t>1</w:t>
            </w:r>
          </w:p>
        </w:tc>
        <w:tc>
          <w:tcPr>
            <w:tcW w:type="dxa" w:w="2769"/>
          </w:tcPr>
          <w:p>
            <w:pPr>
              <w:pStyle w:val="null3"/>
              <w:spacing w:before="120" w:after="120"/>
              <w:ind w:firstLine="420"/>
              <w:jc w:val="both"/>
            </w:pPr>
            <w:r>
              <w:rPr>
                <w:rFonts w:ascii="华文楷体" w:hAnsi="华文楷体" w:cs="华文楷体" w:eastAsia="华文楷体"/>
                <w:b/>
                <w:sz w:val="24"/>
              </w:rPr>
              <w:t>1.1技术要求</w:t>
            </w:r>
          </w:p>
          <w:p>
            <w:pPr>
              <w:pStyle w:val="null3"/>
              <w:numPr>
                <w:ilvl w:val="0"/>
                <w:numId w:val="1"/>
              </w:numPr>
              <w:spacing w:before="120" w:after="120"/>
              <w:ind w:left="675"/>
            </w:pPr>
            <w:r>
              <w:rPr>
                <w:rFonts w:ascii="华文楷体" w:hAnsi="华文楷体" w:cs="华文楷体" w:eastAsia="华文楷体"/>
                <w:sz w:val="21"/>
              </w:rPr>
              <w:t>大屏显示尺寸应不低于</w:t>
            </w:r>
            <w:r>
              <w:rPr>
                <w:rFonts w:ascii="华文楷体" w:hAnsi="华文楷体" w:cs="华文楷体" w:eastAsia="华文楷体"/>
                <w:sz w:val="21"/>
              </w:rPr>
              <w:t>4800mm*2880mm；</w:t>
            </w:r>
          </w:p>
          <w:p>
            <w:pPr>
              <w:pStyle w:val="null3"/>
              <w:numPr>
                <w:ilvl w:val="0"/>
                <w:numId w:val="1"/>
              </w:numPr>
              <w:spacing w:before="120" w:after="120"/>
              <w:ind w:left="675"/>
            </w:pPr>
            <w:r>
              <w:rPr>
                <w:rFonts w:ascii="华文楷体" w:hAnsi="华文楷体" w:cs="华文楷体" w:eastAsia="华文楷体"/>
                <w:sz w:val="21"/>
              </w:rPr>
              <w:t>大屏整体分辨率不低于</w:t>
            </w:r>
            <w:r>
              <w:rPr>
                <w:rFonts w:ascii="华文楷体" w:hAnsi="华文楷体" w:cs="华文楷体" w:eastAsia="华文楷体"/>
                <w:sz w:val="21"/>
              </w:rPr>
              <w:t>1920*1152；</w:t>
            </w:r>
          </w:p>
          <w:p>
            <w:pPr>
              <w:pStyle w:val="null3"/>
              <w:numPr>
                <w:ilvl w:val="0"/>
                <w:numId w:val="1"/>
              </w:numPr>
              <w:spacing w:before="120" w:after="120"/>
              <w:ind w:left="675"/>
            </w:pPr>
            <w:r>
              <w:rPr>
                <w:rFonts w:ascii="华文楷体" w:hAnsi="华文楷体" w:cs="华文楷体" w:eastAsia="华文楷体"/>
                <w:sz w:val="21"/>
              </w:rPr>
              <w:t>像素间距不大于</w:t>
            </w:r>
            <w:r>
              <w:rPr>
                <w:rFonts w:ascii="华文楷体" w:hAnsi="华文楷体" w:cs="华文楷体" w:eastAsia="华文楷体"/>
                <w:sz w:val="21"/>
              </w:rPr>
              <w:t>2.5mm；</w:t>
            </w:r>
          </w:p>
          <w:p>
            <w:pPr>
              <w:pStyle w:val="null3"/>
              <w:numPr>
                <w:ilvl w:val="0"/>
                <w:numId w:val="1"/>
              </w:numPr>
              <w:spacing w:before="120" w:after="120"/>
              <w:ind w:left="675"/>
            </w:pPr>
            <w:r>
              <w:rPr>
                <w:rFonts w:ascii="华文楷体" w:hAnsi="华文楷体" w:cs="华文楷体" w:eastAsia="华文楷体"/>
                <w:sz w:val="21"/>
              </w:rPr>
              <w:t>平整度：</w:t>
            </w:r>
            <w:r>
              <w:rPr>
                <w:rFonts w:ascii="华文楷体" w:hAnsi="华文楷体" w:cs="华文楷体" w:eastAsia="华文楷体"/>
                <w:sz w:val="21"/>
              </w:rPr>
              <w:t>≤0.15mm；</w:t>
            </w:r>
          </w:p>
          <w:p>
            <w:pPr>
              <w:pStyle w:val="null3"/>
              <w:numPr>
                <w:ilvl w:val="0"/>
                <w:numId w:val="1"/>
              </w:numPr>
              <w:spacing w:before="120" w:after="120"/>
              <w:ind w:left="675"/>
            </w:pPr>
            <w:r>
              <w:rPr>
                <w:rFonts w:ascii="华文楷体" w:hAnsi="华文楷体" w:cs="华文楷体" w:eastAsia="华文楷体"/>
                <w:sz w:val="21"/>
              </w:rPr>
              <w:t>显示屏亮度（校正后）：</w:t>
            </w:r>
            <w:r>
              <w:rPr>
                <w:rFonts w:ascii="华文楷体" w:hAnsi="华文楷体" w:cs="华文楷体" w:eastAsia="华文楷体"/>
                <w:sz w:val="21"/>
              </w:rPr>
              <w:t>≥550nits;亮度均匀度：≥98%；</w:t>
            </w:r>
          </w:p>
          <w:p>
            <w:pPr>
              <w:pStyle w:val="null3"/>
              <w:numPr>
                <w:ilvl w:val="0"/>
                <w:numId w:val="1"/>
              </w:numPr>
              <w:spacing w:before="120" w:after="120"/>
              <w:ind w:left="675"/>
            </w:pPr>
            <w:r>
              <w:rPr>
                <w:rFonts w:ascii="华文楷体" w:hAnsi="华文楷体" w:cs="华文楷体" w:eastAsia="华文楷体"/>
                <w:sz w:val="21"/>
              </w:rPr>
              <w:t>大屏可以同步显示工作站电脑的内容和，也可以显示演讲席笔记本的内容；</w:t>
            </w:r>
          </w:p>
          <w:p>
            <w:pPr>
              <w:pStyle w:val="null3"/>
              <w:numPr>
                <w:ilvl w:val="0"/>
                <w:numId w:val="1"/>
              </w:numPr>
              <w:spacing w:before="120" w:after="120"/>
              <w:ind w:left="675"/>
            </w:pPr>
            <w:r>
              <w:rPr>
                <w:rFonts w:ascii="华文楷体" w:hAnsi="华文楷体" w:cs="华文楷体" w:eastAsia="华文楷体"/>
                <w:sz w:val="21"/>
              </w:rPr>
              <w:t>显示系统支持不低于</w:t>
            </w:r>
            <w:r>
              <w:rPr>
                <w:rFonts w:ascii="华文楷体" w:hAnsi="华文楷体" w:cs="华文楷体" w:eastAsia="华文楷体"/>
                <w:sz w:val="21"/>
              </w:rPr>
              <w:t>1路DVI，1路HDMI，信号输入。</w:t>
            </w:r>
          </w:p>
          <w:p>
            <w:pPr>
              <w:pStyle w:val="null3"/>
              <w:spacing w:before="120" w:after="120"/>
              <w:ind w:firstLine="420"/>
              <w:jc w:val="both"/>
            </w:pPr>
            <w:r>
              <w:rPr>
                <w:rFonts w:ascii="华文楷体" w:hAnsi="华文楷体" w:cs="华文楷体" w:eastAsia="华文楷体"/>
                <w:b/>
                <w:sz w:val="24"/>
              </w:rPr>
              <w:t>1.2服务要求</w:t>
            </w:r>
          </w:p>
          <w:p>
            <w:pPr>
              <w:pStyle w:val="null3"/>
              <w:numPr>
                <w:ilvl w:val="0"/>
                <w:numId w:val="1"/>
              </w:numPr>
              <w:spacing w:before="120" w:after="120"/>
              <w:ind w:left="675"/>
            </w:pPr>
            <w:r>
              <w:rPr>
                <w:rFonts w:ascii="华文楷体" w:hAnsi="华文楷体" w:cs="华文楷体" w:eastAsia="华文楷体"/>
                <w:sz w:val="21"/>
              </w:rPr>
              <w:t>质保期一年：项目竣工验收合格之日起一年。</w:t>
            </w:r>
          </w:p>
          <w:p>
            <w:pPr>
              <w:pStyle w:val="null3"/>
              <w:numPr>
                <w:ilvl w:val="0"/>
                <w:numId w:val="1"/>
              </w:numPr>
              <w:spacing w:before="120" w:after="120"/>
              <w:ind w:left="675"/>
            </w:pPr>
            <w:r>
              <w:rPr>
                <w:rFonts w:ascii="华文楷体" w:hAnsi="华文楷体" w:cs="华文楷体" w:eastAsia="华文楷体"/>
                <w:sz w:val="21"/>
              </w:rPr>
              <w:t>投标人提供的售后服务承诺及方案应包括培训方案、售后人员、技术支持与服务方案、项目后续保障计划、保修方案。</w:t>
            </w:r>
          </w:p>
          <w:p>
            <w:pPr>
              <w:pStyle w:val="null3"/>
              <w:numPr>
                <w:ilvl w:val="0"/>
                <w:numId w:val="1"/>
              </w:numPr>
              <w:spacing w:before="120" w:after="120"/>
              <w:ind w:left="675"/>
            </w:pPr>
            <w:r>
              <w:rPr>
                <w:rFonts w:ascii="华文楷体" w:hAnsi="华文楷体" w:cs="华文楷体" w:eastAsia="华文楷体"/>
                <w:sz w:val="21"/>
              </w:rPr>
              <w:t>投标人应有完善的技术支持与服务体系，专人负责与采购人联系售后服务事宜，必要的售后机具配置、具有专门固定的售后服务电话。</w:t>
            </w:r>
          </w:p>
          <w:p>
            <w:pPr>
              <w:pStyle w:val="null3"/>
              <w:numPr>
                <w:ilvl w:val="0"/>
                <w:numId w:val="1"/>
              </w:numPr>
              <w:spacing w:before="120" w:after="120"/>
              <w:ind w:left="675"/>
            </w:pPr>
            <w:r>
              <w:rPr>
                <w:rFonts w:ascii="华文楷体" w:hAnsi="华文楷体" w:cs="华文楷体" w:eastAsia="华文楷体"/>
                <w:sz w:val="21"/>
              </w:rPr>
              <w:t>在保修期内设备出现质量问题，投标人应在接到通知后</w:t>
            </w:r>
            <w:r>
              <w:rPr>
                <w:rFonts w:ascii="华文楷体" w:hAnsi="华文楷体" w:cs="华文楷体" w:eastAsia="华文楷体"/>
                <w:sz w:val="21"/>
              </w:rPr>
              <w:t>5分钟内作出相应，若需上门维修，须在2小时内到达现场，及时排除故障；如发生安全隐患必须在24小时内排除。产品出现问题且在24小时内无法修复，须提供相应的备机备件服务。</w:t>
            </w:r>
          </w:p>
          <w:p>
            <w:pPr>
              <w:pStyle w:val="null3"/>
              <w:numPr>
                <w:ilvl w:val="0"/>
                <w:numId w:val="1"/>
              </w:numPr>
              <w:spacing w:before="120" w:after="120"/>
              <w:ind w:left="675"/>
            </w:pPr>
            <w:r>
              <w:rPr>
                <w:rFonts w:ascii="华文楷体" w:hAnsi="华文楷体" w:cs="华文楷体" w:eastAsia="华文楷体"/>
                <w:sz w:val="21"/>
              </w:rPr>
              <w:t>在保修期内每年至少提供两次巡检服务；</w:t>
            </w:r>
          </w:p>
        </w:tc>
      </w:tr>
    </w:tbl>
    <w:p>
      <w:pPr>
        <w:pStyle w:val="null3"/>
      </w:pPr>
    </w:p>
    <w:p>
      <w:pPr>
        <w:pStyle w:val="null3"/>
      </w:pPr>
      <w:r>
        <w:rPr/>
        <w:t>标的名称：信息盒地插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r>
              <w:rPr/>
              <w:t>★</w:t>
            </w:r>
          </w:p>
        </w:tc>
        <w:tc>
          <w:tcPr>
            <w:tcW w:type="dxa" w:w="2769"/>
          </w:tcPr>
          <w:p>
            <w:r>
              <w:rPr/>
              <w:t>1</w:t>
            </w:r>
          </w:p>
        </w:tc>
        <w:tc>
          <w:tcPr>
            <w:tcW w:type="dxa" w:w="2769"/>
          </w:tcPr>
          <w:p>
            <w:pPr>
              <w:pStyle w:val="null3"/>
              <w:spacing w:before="120" w:after="120"/>
              <w:ind w:firstLine="420"/>
              <w:jc w:val="both"/>
            </w:pPr>
            <w:r>
              <w:rPr>
                <w:rFonts w:ascii="华文楷体" w:hAnsi="华文楷体" w:cs="华文楷体" w:eastAsia="华文楷体"/>
                <w:b/>
                <w:sz w:val="24"/>
              </w:rPr>
              <w:t>1.1技术要求</w:t>
            </w:r>
          </w:p>
          <w:p>
            <w:pPr>
              <w:pStyle w:val="null3"/>
              <w:numPr>
                <w:ilvl w:val="0"/>
                <w:numId w:val="1"/>
              </w:numPr>
              <w:spacing w:before="120" w:after="120"/>
              <w:ind w:left="675"/>
            </w:pPr>
            <w:r>
              <w:rPr>
                <w:rFonts w:ascii="华文楷体" w:hAnsi="华文楷体" w:cs="华文楷体" w:eastAsia="华文楷体"/>
                <w:sz w:val="21"/>
              </w:rPr>
              <w:t>大屏显示尺寸应不低于</w:t>
            </w:r>
            <w:r>
              <w:rPr>
                <w:rFonts w:ascii="华文楷体" w:hAnsi="华文楷体" w:cs="华文楷体" w:eastAsia="华文楷体"/>
                <w:sz w:val="21"/>
              </w:rPr>
              <w:t>4800mm*2880mm；</w:t>
            </w:r>
          </w:p>
          <w:p>
            <w:pPr>
              <w:pStyle w:val="null3"/>
              <w:numPr>
                <w:ilvl w:val="0"/>
                <w:numId w:val="1"/>
              </w:numPr>
              <w:spacing w:before="120" w:after="120"/>
              <w:ind w:left="675"/>
            </w:pPr>
            <w:r>
              <w:rPr>
                <w:rFonts w:ascii="华文楷体" w:hAnsi="华文楷体" w:cs="华文楷体" w:eastAsia="华文楷体"/>
                <w:sz w:val="21"/>
              </w:rPr>
              <w:t>大屏整体分辨率不低于</w:t>
            </w:r>
            <w:r>
              <w:rPr>
                <w:rFonts w:ascii="华文楷体" w:hAnsi="华文楷体" w:cs="华文楷体" w:eastAsia="华文楷体"/>
                <w:sz w:val="21"/>
              </w:rPr>
              <w:t>1920*1152；</w:t>
            </w:r>
          </w:p>
          <w:p>
            <w:pPr>
              <w:pStyle w:val="null3"/>
              <w:numPr>
                <w:ilvl w:val="0"/>
                <w:numId w:val="1"/>
              </w:numPr>
              <w:spacing w:before="120" w:after="120"/>
              <w:ind w:left="675"/>
            </w:pPr>
            <w:r>
              <w:rPr>
                <w:rFonts w:ascii="华文楷体" w:hAnsi="华文楷体" w:cs="华文楷体" w:eastAsia="华文楷体"/>
                <w:sz w:val="21"/>
              </w:rPr>
              <w:t>像素间距不大于</w:t>
            </w:r>
            <w:r>
              <w:rPr>
                <w:rFonts w:ascii="华文楷体" w:hAnsi="华文楷体" w:cs="华文楷体" w:eastAsia="华文楷体"/>
                <w:sz w:val="21"/>
              </w:rPr>
              <w:t>2.5mm；</w:t>
            </w:r>
          </w:p>
          <w:p>
            <w:pPr>
              <w:pStyle w:val="null3"/>
              <w:numPr>
                <w:ilvl w:val="0"/>
                <w:numId w:val="1"/>
              </w:numPr>
              <w:spacing w:before="120" w:after="120"/>
              <w:ind w:left="675"/>
            </w:pPr>
            <w:r>
              <w:rPr>
                <w:rFonts w:ascii="华文楷体" w:hAnsi="华文楷体" w:cs="华文楷体" w:eastAsia="华文楷体"/>
                <w:sz w:val="21"/>
              </w:rPr>
              <w:t>平整度：</w:t>
            </w:r>
            <w:r>
              <w:rPr>
                <w:rFonts w:ascii="华文楷体" w:hAnsi="华文楷体" w:cs="华文楷体" w:eastAsia="华文楷体"/>
                <w:sz w:val="21"/>
              </w:rPr>
              <w:t>≤0.15mm；</w:t>
            </w:r>
          </w:p>
          <w:p>
            <w:pPr>
              <w:pStyle w:val="null3"/>
              <w:numPr>
                <w:ilvl w:val="0"/>
                <w:numId w:val="1"/>
              </w:numPr>
              <w:spacing w:before="120" w:after="120"/>
              <w:ind w:left="675"/>
            </w:pPr>
            <w:r>
              <w:rPr>
                <w:rFonts w:ascii="华文楷体" w:hAnsi="华文楷体" w:cs="华文楷体" w:eastAsia="华文楷体"/>
                <w:sz w:val="21"/>
              </w:rPr>
              <w:t>显示屏亮度（校正后）：</w:t>
            </w:r>
            <w:r>
              <w:rPr>
                <w:rFonts w:ascii="华文楷体" w:hAnsi="华文楷体" w:cs="华文楷体" w:eastAsia="华文楷体"/>
                <w:sz w:val="21"/>
              </w:rPr>
              <w:t>≥550nits;亮度均匀度：≥98%；</w:t>
            </w:r>
          </w:p>
          <w:p>
            <w:pPr>
              <w:pStyle w:val="null3"/>
              <w:numPr>
                <w:ilvl w:val="0"/>
                <w:numId w:val="1"/>
              </w:numPr>
              <w:spacing w:before="120" w:after="120"/>
              <w:ind w:left="675"/>
            </w:pPr>
            <w:r>
              <w:rPr>
                <w:rFonts w:ascii="华文楷体" w:hAnsi="华文楷体" w:cs="华文楷体" w:eastAsia="华文楷体"/>
                <w:sz w:val="21"/>
              </w:rPr>
              <w:t>大屏可以同步显示工作站电脑的内容和，也可以显示演讲席笔记本的内容；</w:t>
            </w:r>
          </w:p>
          <w:p>
            <w:pPr>
              <w:pStyle w:val="null3"/>
              <w:numPr>
                <w:ilvl w:val="0"/>
                <w:numId w:val="1"/>
              </w:numPr>
              <w:spacing w:before="120" w:after="120"/>
              <w:ind w:left="675"/>
            </w:pPr>
            <w:r>
              <w:rPr>
                <w:rFonts w:ascii="华文楷体" w:hAnsi="华文楷体" w:cs="华文楷体" w:eastAsia="华文楷体"/>
                <w:sz w:val="21"/>
              </w:rPr>
              <w:t>显示系统支持不低于</w:t>
            </w:r>
            <w:r>
              <w:rPr>
                <w:rFonts w:ascii="华文楷体" w:hAnsi="华文楷体" w:cs="华文楷体" w:eastAsia="华文楷体"/>
                <w:sz w:val="21"/>
              </w:rPr>
              <w:t>1路DVI，1路HDMI，信号输入。</w:t>
            </w:r>
          </w:p>
          <w:p>
            <w:pPr>
              <w:pStyle w:val="null3"/>
              <w:spacing w:before="120" w:after="120"/>
              <w:ind w:firstLine="420"/>
              <w:jc w:val="both"/>
            </w:pPr>
            <w:r>
              <w:rPr>
                <w:rFonts w:ascii="华文楷体" w:hAnsi="华文楷体" w:cs="华文楷体" w:eastAsia="华文楷体"/>
                <w:b/>
                <w:sz w:val="24"/>
              </w:rPr>
              <w:t>1.2服务要求</w:t>
            </w:r>
          </w:p>
          <w:p>
            <w:pPr>
              <w:pStyle w:val="null3"/>
              <w:numPr>
                <w:ilvl w:val="0"/>
                <w:numId w:val="1"/>
              </w:numPr>
              <w:spacing w:before="120" w:after="120"/>
              <w:ind w:left="675"/>
            </w:pPr>
            <w:r>
              <w:rPr>
                <w:rFonts w:ascii="华文楷体" w:hAnsi="华文楷体" w:cs="华文楷体" w:eastAsia="华文楷体"/>
                <w:sz w:val="21"/>
              </w:rPr>
              <w:t>质保期一年：项目竣工验收合格之日起一年。</w:t>
            </w:r>
          </w:p>
          <w:p>
            <w:pPr>
              <w:pStyle w:val="null3"/>
              <w:numPr>
                <w:ilvl w:val="0"/>
                <w:numId w:val="1"/>
              </w:numPr>
              <w:spacing w:before="120" w:after="120"/>
              <w:ind w:left="675"/>
            </w:pPr>
            <w:r>
              <w:rPr>
                <w:rFonts w:ascii="华文楷体" w:hAnsi="华文楷体" w:cs="华文楷体" w:eastAsia="华文楷体"/>
                <w:sz w:val="21"/>
              </w:rPr>
              <w:t>投标人提供的售后服务承诺及方案应包括培训方案、售后人员、技术支持与服务方案、项目后续保障计划、保修方案。</w:t>
            </w:r>
          </w:p>
          <w:p>
            <w:pPr>
              <w:pStyle w:val="null3"/>
              <w:numPr>
                <w:ilvl w:val="0"/>
                <w:numId w:val="1"/>
              </w:numPr>
              <w:spacing w:before="120" w:after="120"/>
              <w:ind w:left="675"/>
            </w:pPr>
            <w:r>
              <w:rPr>
                <w:rFonts w:ascii="华文楷体" w:hAnsi="华文楷体" w:cs="华文楷体" w:eastAsia="华文楷体"/>
                <w:sz w:val="21"/>
              </w:rPr>
              <w:t>投标人应有完善的技术支持与服务体系，专人负责与采购人联系售后服务事宜，必要的售后机具配置、具有专门固定的售后服务电话。</w:t>
            </w:r>
          </w:p>
          <w:p>
            <w:pPr>
              <w:pStyle w:val="null3"/>
              <w:numPr>
                <w:ilvl w:val="0"/>
                <w:numId w:val="1"/>
              </w:numPr>
              <w:spacing w:before="120" w:after="120"/>
              <w:ind w:left="675"/>
            </w:pPr>
            <w:r>
              <w:rPr>
                <w:rFonts w:ascii="华文楷体" w:hAnsi="华文楷体" w:cs="华文楷体" w:eastAsia="华文楷体"/>
                <w:sz w:val="21"/>
              </w:rPr>
              <w:t>在保修期内设备出现质量问题，投标人应在接到通知后</w:t>
            </w:r>
            <w:r>
              <w:rPr>
                <w:rFonts w:ascii="华文楷体" w:hAnsi="华文楷体" w:cs="华文楷体" w:eastAsia="华文楷体"/>
                <w:sz w:val="21"/>
              </w:rPr>
              <w:t>5分钟内作出相应，若需上门维修，须在2小时内到达现场，及时排除故障；如发生安全隐患必须在24小时内排除。产品出现问题且在24小时内无法修复，须提供相应的备机备件服务。</w:t>
            </w:r>
          </w:p>
          <w:p>
            <w:pPr>
              <w:pStyle w:val="null3"/>
              <w:numPr>
                <w:ilvl w:val="0"/>
                <w:numId w:val="1"/>
              </w:numPr>
              <w:spacing w:before="120" w:after="120"/>
              <w:ind w:left="675"/>
            </w:pPr>
            <w:r>
              <w:rPr>
                <w:rFonts w:ascii="华文楷体" w:hAnsi="华文楷体" w:cs="华文楷体" w:eastAsia="华文楷体"/>
                <w:sz w:val="21"/>
              </w:rPr>
              <w:t>在保修期内每年至少提供两次巡检服务；</w:t>
            </w:r>
          </w:p>
        </w:tc>
      </w:tr>
    </w:tbl>
    <w:p>
      <w:pPr>
        <w:pStyle w:val="null3"/>
      </w:pPr>
    </w:p>
    <w:p>
      <w:pPr>
        <w:pStyle w:val="null3"/>
      </w:pPr>
      <w:r>
        <w:rPr/>
        <w:t>标的名称：配套辅材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r>
              <w:rPr/>
              <w:t>★</w:t>
            </w:r>
          </w:p>
        </w:tc>
        <w:tc>
          <w:tcPr>
            <w:tcW w:type="dxa" w:w="2769"/>
          </w:tcPr>
          <w:p>
            <w:r>
              <w:rPr/>
              <w:t>1</w:t>
            </w:r>
          </w:p>
        </w:tc>
        <w:tc>
          <w:tcPr>
            <w:tcW w:type="dxa" w:w="2769"/>
          </w:tcPr>
          <w:p>
            <w:pPr>
              <w:pStyle w:val="null3"/>
              <w:spacing w:before="120" w:after="120"/>
              <w:ind w:firstLine="420"/>
              <w:jc w:val="both"/>
            </w:pPr>
            <w:r>
              <w:rPr>
                <w:rFonts w:ascii="华文楷体" w:hAnsi="华文楷体" w:cs="华文楷体" w:eastAsia="华文楷体"/>
                <w:b/>
                <w:sz w:val="24"/>
              </w:rPr>
              <w:t>1.1技术要求</w:t>
            </w:r>
          </w:p>
          <w:p>
            <w:pPr>
              <w:pStyle w:val="null3"/>
              <w:numPr>
                <w:ilvl w:val="0"/>
                <w:numId w:val="1"/>
              </w:numPr>
              <w:spacing w:before="120" w:after="120"/>
              <w:ind w:left="675"/>
            </w:pPr>
            <w:r>
              <w:rPr>
                <w:rFonts w:ascii="华文楷体" w:hAnsi="华文楷体" w:cs="华文楷体" w:eastAsia="华文楷体"/>
                <w:sz w:val="21"/>
              </w:rPr>
              <w:t>大屏显示尺寸应不低于</w:t>
            </w:r>
            <w:r>
              <w:rPr>
                <w:rFonts w:ascii="华文楷体" w:hAnsi="华文楷体" w:cs="华文楷体" w:eastAsia="华文楷体"/>
                <w:sz w:val="21"/>
              </w:rPr>
              <w:t>4800mm*2880mm；</w:t>
            </w:r>
          </w:p>
          <w:p>
            <w:pPr>
              <w:pStyle w:val="null3"/>
              <w:numPr>
                <w:ilvl w:val="0"/>
                <w:numId w:val="1"/>
              </w:numPr>
              <w:spacing w:before="120" w:after="120"/>
              <w:ind w:left="675"/>
            </w:pPr>
            <w:r>
              <w:rPr>
                <w:rFonts w:ascii="华文楷体" w:hAnsi="华文楷体" w:cs="华文楷体" w:eastAsia="华文楷体"/>
                <w:sz w:val="21"/>
              </w:rPr>
              <w:t>大屏整体分辨率不低于</w:t>
            </w:r>
            <w:r>
              <w:rPr>
                <w:rFonts w:ascii="华文楷体" w:hAnsi="华文楷体" w:cs="华文楷体" w:eastAsia="华文楷体"/>
                <w:sz w:val="21"/>
              </w:rPr>
              <w:t>1920*1152；</w:t>
            </w:r>
          </w:p>
          <w:p>
            <w:pPr>
              <w:pStyle w:val="null3"/>
              <w:numPr>
                <w:ilvl w:val="0"/>
                <w:numId w:val="1"/>
              </w:numPr>
              <w:spacing w:before="120" w:after="120"/>
              <w:ind w:left="675"/>
            </w:pPr>
            <w:r>
              <w:rPr>
                <w:rFonts w:ascii="华文楷体" w:hAnsi="华文楷体" w:cs="华文楷体" w:eastAsia="华文楷体"/>
                <w:sz w:val="21"/>
              </w:rPr>
              <w:t>像素间距不大于</w:t>
            </w:r>
            <w:r>
              <w:rPr>
                <w:rFonts w:ascii="华文楷体" w:hAnsi="华文楷体" w:cs="华文楷体" w:eastAsia="华文楷体"/>
                <w:sz w:val="21"/>
              </w:rPr>
              <w:t>2.5mm；</w:t>
            </w:r>
          </w:p>
          <w:p>
            <w:pPr>
              <w:pStyle w:val="null3"/>
              <w:numPr>
                <w:ilvl w:val="0"/>
                <w:numId w:val="1"/>
              </w:numPr>
              <w:spacing w:before="120" w:after="120"/>
              <w:ind w:left="675"/>
            </w:pPr>
            <w:r>
              <w:rPr>
                <w:rFonts w:ascii="华文楷体" w:hAnsi="华文楷体" w:cs="华文楷体" w:eastAsia="华文楷体"/>
                <w:sz w:val="21"/>
              </w:rPr>
              <w:t>平整度：</w:t>
            </w:r>
            <w:r>
              <w:rPr>
                <w:rFonts w:ascii="华文楷体" w:hAnsi="华文楷体" w:cs="华文楷体" w:eastAsia="华文楷体"/>
                <w:sz w:val="21"/>
              </w:rPr>
              <w:t>≤0.15mm；</w:t>
            </w:r>
          </w:p>
          <w:p>
            <w:pPr>
              <w:pStyle w:val="null3"/>
              <w:numPr>
                <w:ilvl w:val="0"/>
                <w:numId w:val="1"/>
              </w:numPr>
              <w:spacing w:before="120" w:after="120"/>
              <w:ind w:left="675"/>
            </w:pPr>
            <w:r>
              <w:rPr>
                <w:rFonts w:ascii="华文楷体" w:hAnsi="华文楷体" w:cs="华文楷体" w:eastAsia="华文楷体"/>
                <w:sz w:val="21"/>
              </w:rPr>
              <w:t>显示屏亮度（校正后）：</w:t>
            </w:r>
            <w:r>
              <w:rPr>
                <w:rFonts w:ascii="华文楷体" w:hAnsi="华文楷体" w:cs="华文楷体" w:eastAsia="华文楷体"/>
                <w:sz w:val="21"/>
              </w:rPr>
              <w:t>≥550nits;亮度均匀度：≥98%；</w:t>
            </w:r>
          </w:p>
          <w:p>
            <w:pPr>
              <w:pStyle w:val="null3"/>
              <w:numPr>
                <w:ilvl w:val="0"/>
                <w:numId w:val="1"/>
              </w:numPr>
              <w:spacing w:before="120" w:after="120"/>
              <w:ind w:left="675"/>
            </w:pPr>
            <w:r>
              <w:rPr>
                <w:rFonts w:ascii="华文楷体" w:hAnsi="华文楷体" w:cs="华文楷体" w:eastAsia="华文楷体"/>
                <w:sz w:val="21"/>
              </w:rPr>
              <w:t>大屏可以同步显示工作站电脑的内容和，也可以显示演讲席笔记本的内容；</w:t>
            </w:r>
          </w:p>
          <w:p>
            <w:pPr>
              <w:pStyle w:val="null3"/>
              <w:numPr>
                <w:ilvl w:val="0"/>
                <w:numId w:val="1"/>
              </w:numPr>
              <w:spacing w:before="120" w:after="120"/>
              <w:ind w:left="675"/>
            </w:pPr>
            <w:r>
              <w:rPr>
                <w:rFonts w:ascii="华文楷体" w:hAnsi="华文楷体" w:cs="华文楷体" w:eastAsia="华文楷体"/>
                <w:sz w:val="21"/>
              </w:rPr>
              <w:t>显示系统支持不低于</w:t>
            </w:r>
            <w:r>
              <w:rPr>
                <w:rFonts w:ascii="华文楷体" w:hAnsi="华文楷体" w:cs="华文楷体" w:eastAsia="华文楷体"/>
                <w:sz w:val="21"/>
              </w:rPr>
              <w:t>1路DVI，1路HDMI，信号输入。</w:t>
            </w:r>
          </w:p>
          <w:p>
            <w:pPr>
              <w:pStyle w:val="null3"/>
              <w:spacing w:before="120" w:after="120"/>
              <w:ind w:firstLine="420"/>
              <w:jc w:val="both"/>
            </w:pPr>
            <w:r>
              <w:rPr>
                <w:rFonts w:ascii="华文楷体" w:hAnsi="华文楷体" w:cs="华文楷体" w:eastAsia="华文楷体"/>
                <w:b/>
                <w:sz w:val="24"/>
              </w:rPr>
              <w:t>1.2服务要求</w:t>
            </w:r>
          </w:p>
          <w:p>
            <w:pPr>
              <w:pStyle w:val="null3"/>
              <w:numPr>
                <w:ilvl w:val="0"/>
                <w:numId w:val="1"/>
              </w:numPr>
              <w:spacing w:before="120" w:after="120"/>
              <w:ind w:left="675"/>
            </w:pPr>
            <w:r>
              <w:rPr>
                <w:rFonts w:ascii="华文楷体" w:hAnsi="华文楷体" w:cs="华文楷体" w:eastAsia="华文楷体"/>
                <w:sz w:val="21"/>
              </w:rPr>
              <w:t>质保期一年：项目竣工验收合格之日起一年。</w:t>
            </w:r>
          </w:p>
          <w:p>
            <w:pPr>
              <w:pStyle w:val="null3"/>
              <w:numPr>
                <w:ilvl w:val="0"/>
                <w:numId w:val="1"/>
              </w:numPr>
              <w:spacing w:before="120" w:after="120"/>
              <w:ind w:left="675"/>
            </w:pPr>
            <w:r>
              <w:rPr>
                <w:rFonts w:ascii="华文楷体" w:hAnsi="华文楷体" w:cs="华文楷体" w:eastAsia="华文楷体"/>
                <w:sz w:val="21"/>
              </w:rPr>
              <w:t>投标人提供的售后服务承诺及方案应包括培训方案、售后人员、技术支持与服务方案、项目后续保障计划、保修方案。</w:t>
            </w:r>
          </w:p>
          <w:p>
            <w:pPr>
              <w:pStyle w:val="null3"/>
              <w:numPr>
                <w:ilvl w:val="0"/>
                <w:numId w:val="1"/>
              </w:numPr>
              <w:spacing w:before="120" w:after="120"/>
              <w:ind w:left="675"/>
            </w:pPr>
            <w:r>
              <w:rPr>
                <w:rFonts w:ascii="华文楷体" w:hAnsi="华文楷体" w:cs="华文楷体" w:eastAsia="华文楷体"/>
                <w:sz w:val="21"/>
              </w:rPr>
              <w:t>投标人应有完善的技术支持与服务体系，专人负责与采购人联系售后服务事宜，必要的售后机具配置、具有专门固定的售后服务电话。</w:t>
            </w:r>
          </w:p>
          <w:p>
            <w:pPr>
              <w:pStyle w:val="null3"/>
              <w:numPr>
                <w:ilvl w:val="0"/>
                <w:numId w:val="1"/>
              </w:numPr>
              <w:spacing w:before="120" w:after="120"/>
              <w:ind w:left="675"/>
            </w:pPr>
            <w:r>
              <w:rPr>
                <w:rFonts w:ascii="华文楷体" w:hAnsi="华文楷体" w:cs="华文楷体" w:eastAsia="华文楷体"/>
                <w:sz w:val="21"/>
              </w:rPr>
              <w:t>在保修期内设备出现质量问题，投标人应在接到通知后</w:t>
            </w:r>
            <w:r>
              <w:rPr>
                <w:rFonts w:ascii="华文楷体" w:hAnsi="华文楷体" w:cs="华文楷体" w:eastAsia="华文楷体"/>
                <w:sz w:val="21"/>
              </w:rPr>
              <w:t>5分钟内作出相应，若需上门维修，须在2小时内到达现场，及时排除故障；如发生安全隐患必须在24小时内排除。产品出现问题且在24小时内无法修复，须提供相应的备机备件服务。</w:t>
            </w:r>
          </w:p>
          <w:p>
            <w:pPr>
              <w:pStyle w:val="null3"/>
              <w:numPr>
                <w:ilvl w:val="0"/>
                <w:numId w:val="1"/>
              </w:numPr>
              <w:spacing w:before="120" w:after="120"/>
              <w:ind w:left="675"/>
            </w:pPr>
            <w:r>
              <w:rPr>
                <w:rFonts w:ascii="华文楷体" w:hAnsi="华文楷体" w:cs="华文楷体" w:eastAsia="华文楷体"/>
                <w:sz w:val="21"/>
              </w:rPr>
              <w:t>在保修期内每年至少提供两次巡检服务；</w:t>
            </w:r>
          </w:p>
        </w:tc>
      </w:tr>
    </w:tbl>
    <w:p>
      <w:pPr>
        <w:pStyle w:val="null3"/>
      </w:pPr>
    </w:p>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p>
    <w:p>
      <w:pPr>
        <w:pStyle w:val="null3"/>
      </w:pPr>
      <w:r>
        <w:rPr/>
        <w:t>标的名称：LED显示屏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spacing w:before="15"/>
              <w:jc w:val="left"/>
            </w:pPr>
            <w:r>
              <w:rPr>
                <w:rFonts w:ascii="楷体" w:hAnsi="楷体" w:cs="楷体" w:eastAsia="楷体"/>
                <w:color w:val="000000"/>
                <w:sz w:val="24"/>
              </w:rPr>
              <w:t>1.LED封装：SMD1</w:t>
            </w:r>
            <w:r>
              <w:rPr>
                <w:rFonts w:ascii="楷体" w:hAnsi="楷体" w:cs="楷体" w:eastAsia="楷体"/>
                <w:color w:val="000000"/>
                <w:sz w:val="24"/>
              </w:rPr>
              <w:t>5</w:t>
            </w:r>
            <w:r>
              <w:rPr>
                <w:rFonts w:ascii="楷体" w:hAnsi="楷体" w:cs="楷体" w:eastAsia="楷体"/>
                <w:color w:val="000000"/>
                <w:sz w:val="24"/>
              </w:rPr>
              <w:t>1</w:t>
            </w:r>
            <w:r>
              <w:rPr>
                <w:rFonts w:ascii="楷体" w:hAnsi="楷体" w:cs="楷体" w:eastAsia="楷体"/>
                <w:color w:val="000000"/>
                <w:sz w:val="24"/>
              </w:rPr>
              <w:t>5</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2.像素间距：≤</w:t>
            </w:r>
            <w:r>
              <w:rPr>
                <w:rFonts w:ascii="楷体" w:hAnsi="楷体" w:cs="楷体" w:eastAsia="楷体"/>
                <w:color w:val="000000"/>
                <w:sz w:val="24"/>
              </w:rPr>
              <w:t>1.86</w:t>
            </w:r>
            <w:r>
              <w:rPr>
                <w:rFonts w:ascii="楷体" w:hAnsi="楷体" w:cs="楷体" w:eastAsia="楷体"/>
                <w:color w:val="000000"/>
                <w:sz w:val="24"/>
              </w:rPr>
              <w:t>mm；</w:t>
            </w:r>
          </w:p>
          <w:p>
            <w:pPr>
              <w:pStyle w:val="null3"/>
              <w:spacing w:before="15"/>
              <w:jc w:val="left"/>
            </w:pPr>
            <w:r>
              <w:rPr>
                <w:rFonts w:ascii="楷体" w:hAnsi="楷体" w:cs="楷体" w:eastAsia="楷体"/>
                <w:color w:val="000000"/>
                <w:sz w:val="24"/>
              </w:rPr>
              <w:t>3.</w:t>
            </w:r>
            <w:r>
              <w:rPr>
                <w:rFonts w:ascii="楷体" w:hAnsi="楷体" w:cs="楷体" w:eastAsia="楷体"/>
                <w:color w:val="000000"/>
                <w:sz w:val="24"/>
              </w:rPr>
              <w:t>显示尺寸：</w:t>
            </w:r>
            <w:r>
              <w:rPr>
                <w:rFonts w:ascii="楷体" w:hAnsi="楷体" w:cs="楷体" w:eastAsia="楷体"/>
                <w:color w:val="000000"/>
                <w:sz w:val="24"/>
              </w:rPr>
              <w:t>≥</w:t>
            </w:r>
            <w:r>
              <w:rPr>
                <w:rFonts w:ascii="楷体" w:hAnsi="楷体" w:cs="楷体" w:eastAsia="楷体"/>
                <w:color w:val="000000"/>
                <w:sz w:val="24"/>
              </w:rPr>
              <w:t>3520mm*1920mm</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4.</w:t>
            </w:r>
            <w:r>
              <w:rPr>
                <w:rFonts w:ascii="楷体" w:hAnsi="楷体" w:cs="楷体" w:eastAsia="楷体"/>
                <w:color w:val="000000"/>
                <w:sz w:val="24"/>
              </w:rPr>
              <w:t>整屏像素：</w:t>
            </w:r>
            <w:r>
              <w:rPr>
                <w:rFonts w:ascii="楷体" w:hAnsi="楷体" w:cs="楷体" w:eastAsia="楷体"/>
                <w:color w:val="000000"/>
                <w:sz w:val="24"/>
              </w:rPr>
              <w:t>≥</w:t>
            </w:r>
            <w:r>
              <w:rPr>
                <w:rFonts w:ascii="楷体" w:hAnsi="楷体" w:cs="楷体" w:eastAsia="楷体"/>
                <w:color w:val="000000"/>
                <w:sz w:val="24"/>
              </w:rPr>
              <w:t>1892</w:t>
            </w:r>
            <w:r>
              <w:rPr>
                <w:rFonts w:ascii="楷体" w:hAnsi="楷体" w:cs="楷体" w:eastAsia="楷体"/>
                <w:color w:val="000000"/>
                <w:sz w:val="24"/>
              </w:rPr>
              <w:t>点（列）</w:t>
            </w:r>
            <w:r>
              <w:rPr>
                <w:rFonts w:ascii="楷体" w:hAnsi="楷体" w:cs="楷体" w:eastAsia="楷体"/>
                <w:color w:val="000000"/>
                <w:sz w:val="24"/>
              </w:rPr>
              <w:t>*1032</w:t>
            </w:r>
            <w:r>
              <w:rPr>
                <w:rFonts w:ascii="楷体" w:hAnsi="楷体" w:cs="楷体" w:eastAsia="楷体"/>
                <w:color w:val="000000"/>
                <w:sz w:val="24"/>
              </w:rPr>
              <w:t>点（行）；</w:t>
            </w:r>
          </w:p>
          <w:p>
            <w:pPr>
              <w:pStyle w:val="null3"/>
              <w:spacing w:before="15"/>
              <w:jc w:val="left"/>
            </w:pPr>
            <w:r>
              <w:rPr>
                <w:rFonts w:ascii="楷体" w:hAnsi="楷体" w:cs="楷体" w:eastAsia="楷体"/>
                <w:color w:val="000000"/>
                <w:sz w:val="24"/>
              </w:rPr>
              <w:t>5.</w:t>
            </w:r>
            <w:r>
              <w:rPr>
                <w:rFonts w:ascii="楷体" w:hAnsi="楷体" w:cs="楷体" w:eastAsia="楷体"/>
                <w:color w:val="000000"/>
                <w:sz w:val="24"/>
              </w:rPr>
              <w:t>泄露电流：</w:t>
            </w:r>
            <w:r>
              <w:rPr>
                <w:rFonts w:ascii="楷体" w:hAnsi="楷体" w:cs="楷体" w:eastAsia="楷体"/>
                <w:color w:val="000000"/>
                <w:sz w:val="24"/>
              </w:rPr>
              <w:t>≤</w:t>
            </w:r>
            <w:r>
              <w:rPr>
                <w:rFonts w:ascii="楷体" w:hAnsi="楷体" w:cs="楷体" w:eastAsia="楷体"/>
                <w:color w:val="000000"/>
                <w:sz w:val="24"/>
              </w:rPr>
              <w:t>3mA</w:t>
            </w:r>
            <w:r>
              <w:rPr>
                <w:rFonts w:ascii="楷体" w:hAnsi="楷体" w:cs="楷体" w:eastAsia="楷体"/>
                <w:color w:val="000000"/>
                <w:sz w:val="24"/>
              </w:rPr>
              <w:t>（</w:t>
            </w:r>
            <w:r>
              <w:rPr>
                <w:rFonts w:ascii="楷体" w:hAnsi="楷体" w:cs="楷体" w:eastAsia="楷体"/>
                <w:color w:val="000000"/>
                <w:sz w:val="24"/>
              </w:rPr>
              <w:t>AC</w:t>
            </w:r>
            <w:r>
              <w:rPr>
                <w:rFonts w:ascii="楷体" w:hAnsi="楷体" w:cs="楷体" w:eastAsia="楷体"/>
                <w:color w:val="000000"/>
                <w:sz w:val="24"/>
              </w:rPr>
              <w:t>峰值）；</w:t>
            </w:r>
          </w:p>
          <w:p>
            <w:pPr>
              <w:pStyle w:val="null3"/>
              <w:spacing w:before="15"/>
              <w:jc w:val="left"/>
            </w:pPr>
            <w:r>
              <w:rPr>
                <w:rFonts w:ascii="楷体" w:hAnsi="楷体" w:cs="楷体" w:eastAsia="楷体"/>
                <w:color w:val="000000"/>
                <w:sz w:val="24"/>
              </w:rPr>
              <w:t>6.</w:t>
            </w:r>
            <w:r>
              <w:rPr>
                <w:rFonts w:ascii="楷体" w:hAnsi="楷体" w:cs="楷体" w:eastAsia="楷体"/>
                <w:color w:val="000000"/>
                <w:sz w:val="24"/>
              </w:rPr>
              <w:t>对地漏电流：</w:t>
            </w:r>
            <w:r>
              <w:rPr>
                <w:rFonts w:ascii="楷体" w:hAnsi="楷体" w:cs="楷体" w:eastAsia="楷体"/>
                <w:color w:val="000000"/>
                <w:sz w:val="24"/>
              </w:rPr>
              <w:t>LED</w:t>
            </w:r>
            <w:r>
              <w:rPr>
                <w:rFonts w:ascii="楷体" w:hAnsi="楷体" w:cs="楷体" w:eastAsia="楷体"/>
                <w:color w:val="000000"/>
                <w:sz w:val="24"/>
              </w:rPr>
              <w:t>显示屏模组对地漏电流</w:t>
            </w:r>
            <w:r>
              <w:rPr>
                <w:rFonts w:ascii="楷体" w:hAnsi="楷体" w:cs="楷体" w:eastAsia="楷体"/>
                <w:color w:val="000000"/>
                <w:sz w:val="24"/>
              </w:rPr>
              <w:t>≤</w:t>
            </w:r>
            <w:r>
              <w:rPr>
                <w:rFonts w:ascii="楷体" w:hAnsi="楷体" w:cs="楷体" w:eastAsia="楷体"/>
                <w:color w:val="000000"/>
                <w:sz w:val="24"/>
              </w:rPr>
              <w:t>1.89mA/m2</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7</w:t>
            </w:r>
            <w:r>
              <w:rPr>
                <w:rFonts w:ascii="楷体" w:hAnsi="楷体" w:cs="楷体" w:eastAsia="楷体"/>
                <w:color w:val="000000"/>
                <w:sz w:val="24"/>
              </w:rPr>
              <w:t>.最大功耗：≤</w:t>
            </w:r>
            <w:r>
              <w:rPr>
                <w:rFonts w:ascii="楷体" w:hAnsi="楷体" w:cs="楷体" w:eastAsia="楷体"/>
                <w:color w:val="000000"/>
                <w:sz w:val="24"/>
              </w:rPr>
              <w:t>488W/m2</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8</w:t>
            </w:r>
            <w:r>
              <w:rPr>
                <w:rFonts w:ascii="楷体" w:hAnsi="楷体" w:cs="楷体" w:eastAsia="楷体"/>
                <w:color w:val="000000"/>
                <w:sz w:val="24"/>
              </w:rPr>
              <w:t>.平均功耗：≤</w:t>
            </w:r>
            <w:r>
              <w:rPr>
                <w:rFonts w:ascii="楷体" w:hAnsi="楷体" w:cs="楷体" w:eastAsia="楷体"/>
                <w:color w:val="000000"/>
                <w:sz w:val="24"/>
              </w:rPr>
              <w:t>150W/m2</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9</w:t>
            </w:r>
            <w:r>
              <w:rPr>
                <w:rFonts w:ascii="楷体" w:hAnsi="楷体" w:cs="楷体" w:eastAsia="楷体"/>
                <w:color w:val="000000"/>
                <w:sz w:val="24"/>
              </w:rPr>
              <w:t>.正面</w:t>
            </w:r>
            <w:r>
              <w:rPr>
                <w:rFonts w:ascii="楷体" w:hAnsi="楷体" w:cs="楷体" w:eastAsia="楷体"/>
                <w:color w:val="000000"/>
                <w:sz w:val="24"/>
              </w:rPr>
              <w:t>IP</w:t>
            </w:r>
            <w:r>
              <w:rPr>
                <w:rFonts w:ascii="楷体" w:hAnsi="楷体" w:cs="楷体" w:eastAsia="楷体"/>
                <w:color w:val="000000"/>
                <w:sz w:val="24"/>
              </w:rPr>
              <w:t>防护等级：符合</w:t>
            </w:r>
            <w:r>
              <w:rPr>
                <w:rFonts w:ascii="楷体" w:hAnsi="楷体" w:cs="楷体" w:eastAsia="楷体"/>
                <w:color w:val="000000"/>
                <w:sz w:val="24"/>
              </w:rPr>
              <w:t>IP4X</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10</w:t>
            </w:r>
            <w:r>
              <w:rPr>
                <w:rFonts w:ascii="楷体" w:hAnsi="楷体" w:cs="楷体" w:eastAsia="楷体"/>
                <w:color w:val="000000"/>
                <w:sz w:val="24"/>
              </w:rPr>
              <w:t>.最高对比度：≥8000:1；</w:t>
            </w:r>
          </w:p>
          <w:p>
            <w:pPr>
              <w:pStyle w:val="null3"/>
              <w:spacing w:before="15"/>
              <w:jc w:val="left"/>
            </w:pPr>
            <w:r>
              <w:rPr>
                <w:rFonts w:ascii="楷体" w:hAnsi="楷体" w:cs="楷体" w:eastAsia="楷体"/>
                <w:color w:val="000000"/>
                <w:sz w:val="24"/>
              </w:rPr>
              <w:t>11</w:t>
            </w:r>
            <w:r>
              <w:rPr>
                <w:rFonts w:ascii="楷体" w:hAnsi="楷体" w:cs="楷体" w:eastAsia="楷体"/>
                <w:color w:val="000000"/>
                <w:sz w:val="24"/>
              </w:rPr>
              <w:t>.亮度衰减率：≤</w:t>
            </w:r>
            <w:r>
              <w:rPr>
                <w:rFonts w:ascii="楷体" w:hAnsi="楷体" w:cs="楷体" w:eastAsia="楷体"/>
                <w:color w:val="000000"/>
                <w:sz w:val="24"/>
              </w:rPr>
              <w:t>4.24%</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12</w:t>
            </w:r>
            <w:r>
              <w:rPr>
                <w:rFonts w:ascii="楷体" w:hAnsi="楷体" w:cs="楷体" w:eastAsia="楷体"/>
                <w:color w:val="000000"/>
                <w:sz w:val="24"/>
              </w:rPr>
              <w:t>.最大亮度：≥</w:t>
            </w:r>
            <w:r>
              <w:rPr>
                <w:rFonts w:ascii="楷体" w:hAnsi="楷体" w:cs="楷体" w:eastAsia="楷体"/>
                <w:color w:val="000000"/>
                <w:sz w:val="24"/>
              </w:rPr>
              <w:t>800cd/m</w:t>
            </w:r>
            <w:r>
              <w:rPr>
                <w:rFonts w:ascii="楷体" w:hAnsi="楷体" w:cs="楷体" w:eastAsia="楷体"/>
                <w:color w:val="000000"/>
                <w:sz w:val="24"/>
              </w:rPr>
              <w:t>2</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13</w:t>
            </w:r>
            <w:r>
              <w:rPr>
                <w:rFonts w:ascii="楷体" w:hAnsi="楷体" w:cs="楷体" w:eastAsia="楷体"/>
                <w:color w:val="000000"/>
                <w:sz w:val="24"/>
              </w:rPr>
              <w:t>.亮度均匀性：≥</w:t>
            </w:r>
            <w:r>
              <w:rPr>
                <w:rFonts w:ascii="楷体" w:hAnsi="楷体" w:cs="楷体" w:eastAsia="楷体"/>
                <w:color w:val="000000"/>
                <w:sz w:val="24"/>
              </w:rPr>
              <w:t>99.3%</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14</w:t>
            </w:r>
            <w:r>
              <w:rPr>
                <w:rFonts w:ascii="楷体" w:hAnsi="楷体" w:cs="楷体" w:eastAsia="楷体"/>
                <w:color w:val="000000"/>
                <w:sz w:val="24"/>
              </w:rPr>
              <w:t>.刷新率：≥3840Hz；</w:t>
            </w:r>
          </w:p>
          <w:p>
            <w:pPr>
              <w:pStyle w:val="null3"/>
              <w:spacing w:before="15"/>
              <w:jc w:val="left"/>
            </w:pPr>
            <w:r>
              <w:rPr>
                <w:rFonts w:ascii="楷体" w:hAnsi="楷体" w:cs="楷体" w:eastAsia="楷体"/>
                <w:color w:val="000000"/>
                <w:sz w:val="24"/>
              </w:rPr>
              <w:t>15</w:t>
            </w:r>
            <w:r>
              <w:rPr>
                <w:rFonts w:ascii="楷体" w:hAnsi="楷体" w:cs="楷体" w:eastAsia="楷体"/>
                <w:color w:val="000000"/>
                <w:sz w:val="24"/>
              </w:rPr>
              <w:t>.屏体色温：白平衡</w:t>
            </w:r>
            <w:r>
              <w:rPr>
                <w:rFonts w:ascii="楷体" w:hAnsi="楷体" w:cs="楷体" w:eastAsia="楷体"/>
                <w:color w:val="000000"/>
                <w:sz w:val="24"/>
              </w:rPr>
              <w:t>6500K</w:t>
            </w:r>
            <w:r>
              <w:rPr>
                <w:rFonts w:ascii="楷体" w:hAnsi="楷体" w:cs="楷体" w:eastAsia="楷体"/>
                <w:color w:val="000000"/>
                <w:sz w:val="24"/>
              </w:rPr>
              <w:t>±</w:t>
            </w:r>
            <w:r>
              <w:rPr>
                <w:rFonts w:ascii="楷体" w:hAnsi="楷体" w:cs="楷体" w:eastAsia="楷体"/>
                <w:color w:val="000000"/>
                <w:sz w:val="24"/>
              </w:rPr>
              <w:t>5%</w:t>
            </w:r>
            <w:r>
              <w:rPr>
                <w:rFonts w:ascii="楷体" w:hAnsi="楷体" w:cs="楷体" w:eastAsia="楷体"/>
                <w:color w:val="000000"/>
                <w:sz w:val="24"/>
              </w:rPr>
              <w:t>（</w:t>
            </w:r>
            <w:r>
              <w:rPr>
                <w:rFonts w:ascii="楷体" w:hAnsi="楷体" w:cs="楷体" w:eastAsia="楷体"/>
                <w:color w:val="000000"/>
                <w:sz w:val="24"/>
              </w:rPr>
              <w:t>1000K</w:t>
            </w:r>
            <w:r>
              <w:rPr>
                <w:rFonts w:ascii="楷体" w:hAnsi="楷体" w:cs="楷体" w:eastAsia="楷体"/>
                <w:color w:val="000000"/>
                <w:sz w:val="24"/>
              </w:rPr>
              <w:t>至</w:t>
            </w:r>
            <w:r>
              <w:rPr>
                <w:rFonts w:ascii="楷体" w:hAnsi="楷体" w:cs="楷体" w:eastAsia="楷体"/>
                <w:color w:val="000000"/>
                <w:sz w:val="24"/>
              </w:rPr>
              <w:t>20000K</w:t>
            </w:r>
            <w:r>
              <w:rPr>
                <w:rFonts w:ascii="楷体" w:hAnsi="楷体" w:cs="楷体" w:eastAsia="楷体"/>
                <w:color w:val="000000"/>
                <w:sz w:val="24"/>
              </w:rPr>
              <w:t>可调）；</w:t>
            </w:r>
          </w:p>
          <w:p>
            <w:pPr>
              <w:pStyle w:val="null3"/>
              <w:spacing w:before="15"/>
              <w:jc w:val="left"/>
            </w:pPr>
            <w:r>
              <w:rPr>
                <w:rFonts w:ascii="楷体" w:hAnsi="楷体" w:cs="楷体" w:eastAsia="楷体"/>
                <w:color w:val="000000"/>
                <w:sz w:val="24"/>
              </w:rPr>
              <w:t>以上（</w:t>
            </w:r>
            <w:r>
              <w:rPr>
                <w:rFonts w:ascii="楷体" w:hAnsi="楷体" w:cs="楷体" w:eastAsia="楷体"/>
                <w:color w:val="000000"/>
                <w:sz w:val="24"/>
              </w:rPr>
              <w:t>5-15</w:t>
            </w:r>
            <w:r>
              <w:rPr>
                <w:rFonts w:ascii="楷体" w:hAnsi="楷体" w:cs="楷体" w:eastAsia="楷体"/>
                <w:color w:val="000000"/>
                <w:sz w:val="24"/>
              </w:rPr>
              <w:t>）条均需提供第三方检测机构出具带有</w:t>
            </w:r>
            <w:r>
              <w:rPr>
                <w:rFonts w:ascii="楷体" w:hAnsi="楷体" w:cs="楷体" w:eastAsia="楷体"/>
                <w:color w:val="000000"/>
                <w:sz w:val="24"/>
              </w:rPr>
              <w:t>CNAS和CMA认证的检测报告复印件加盖投标人公章予以佐证；</w:t>
            </w:r>
            <w:r>
              <w:br/>
            </w:r>
            <w:r>
              <w:rPr>
                <w:rFonts w:ascii="楷体" w:hAnsi="楷体" w:cs="楷体" w:eastAsia="楷体"/>
                <w:color w:val="000000"/>
                <w:sz w:val="24"/>
              </w:rPr>
              <w:t>16</w:t>
            </w:r>
            <w:r>
              <w:rPr>
                <w:rFonts w:ascii="楷体" w:hAnsi="楷体" w:cs="楷体" w:eastAsia="楷体"/>
                <w:color w:val="000000"/>
                <w:sz w:val="24"/>
              </w:rPr>
              <w:t>.为保证产品的包装、运输安全性，要求所投产品应满足GB/T4587.1-2019标准的要求，提供第三方检测机构出具带有CNAS和CMA认证的检测报告复印件加盖投标人公章予以佐证；</w:t>
            </w:r>
            <w:r>
              <w:br/>
            </w:r>
            <w:r>
              <w:rPr>
                <w:rFonts w:ascii="楷体" w:hAnsi="楷体" w:cs="楷体" w:eastAsia="楷体"/>
                <w:color w:val="000000"/>
                <w:sz w:val="24"/>
              </w:rPr>
              <w:t>17</w:t>
            </w:r>
            <w:r>
              <w:rPr>
                <w:rFonts w:ascii="楷体" w:hAnsi="楷体" w:cs="楷体" w:eastAsia="楷体"/>
                <w:color w:val="000000"/>
                <w:sz w:val="24"/>
              </w:rPr>
              <w:t>.为保证屏体运行中掉电对屏体参数的影响，要求所投产品具有掉电存储功能，提供第三方检测机构出具带有CNAS和CMA认证的检测报告复印件加盖投标人公章予以佐证；</w:t>
            </w:r>
          </w:p>
          <w:p>
            <w:pPr>
              <w:pStyle w:val="null3"/>
              <w:spacing w:before="15"/>
              <w:jc w:val="left"/>
            </w:pPr>
            <w:r>
              <w:rPr>
                <w:rFonts w:ascii="楷体" w:hAnsi="楷体" w:cs="楷体" w:eastAsia="楷体"/>
                <w:color w:val="000000"/>
                <w:sz w:val="24"/>
              </w:rPr>
              <w:t>18.为保证屏体灯珠的焊接强度，不易因轻微碰撞而损伤，</w:t>
            </w:r>
            <w:r>
              <w:rPr>
                <w:rFonts w:ascii="楷体" w:hAnsi="楷体" w:cs="楷体" w:eastAsia="楷体"/>
                <w:color w:val="000000"/>
                <w:sz w:val="24"/>
              </w:rPr>
              <w:t>提供在灯珠水平夹角</w:t>
            </w:r>
            <w:r>
              <w:rPr>
                <w:rFonts w:ascii="楷体" w:hAnsi="楷体" w:cs="楷体" w:eastAsia="楷体"/>
                <w:color w:val="000000"/>
                <w:sz w:val="24"/>
              </w:rPr>
              <w:t>45</w:t>
            </w:r>
            <w:r>
              <w:rPr>
                <w:rFonts w:ascii="楷体" w:hAnsi="楷体" w:cs="楷体" w:eastAsia="楷体"/>
                <w:color w:val="000000"/>
                <w:sz w:val="24"/>
              </w:rPr>
              <w:t>°的方向施加</w:t>
            </w:r>
            <w:r>
              <w:rPr>
                <w:rFonts w:ascii="楷体" w:hAnsi="楷体" w:cs="楷体" w:eastAsia="楷体"/>
                <w:color w:val="000000"/>
                <w:sz w:val="24"/>
              </w:rPr>
              <w:t>12N</w:t>
            </w:r>
            <w:r>
              <w:rPr>
                <w:rFonts w:ascii="楷体" w:hAnsi="楷体" w:cs="楷体" w:eastAsia="楷体"/>
                <w:color w:val="000000"/>
                <w:sz w:val="24"/>
              </w:rPr>
              <w:t>的推力，灯珠未破碎和脱落，提供第三方检测机构出具带有</w:t>
            </w:r>
            <w:r>
              <w:rPr>
                <w:rFonts w:ascii="楷体" w:hAnsi="楷体" w:cs="楷体" w:eastAsia="楷体"/>
                <w:color w:val="000000"/>
                <w:sz w:val="24"/>
              </w:rPr>
              <w:t>CNAS和CMA认证的检测报告复印件加盖投标人公章予以佐证；</w:t>
            </w:r>
          </w:p>
          <w:p>
            <w:pPr>
              <w:pStyle w:val="null3"/>
              <w:spacing w:before="15"/>
              <w:jc w:val="left"/>
            </w:pPr>
            <w:r>
              <w:rPr>
                <w:rFonts w:ascii="楷体" w:hAnsi="楷体" w:cs="楷体" w:eastAsia="楷体"/>
                <w:color w:val="000000"/>
                <w:sz w:val="24"/>
              </w:rPr>
              <w:t>19.为保证LED显示屏的可靠性，LED</w:t>
            </w:r>
            <w:r>
              <w:rPr>
                <w:rFonts w:ascii="楷体" w:hAnsi="楷体" w:cs="楷体" w:eastAsia="楷体"/>
                <w:color w:val="000000"/>
                <w:sz w:val="24"/>
              </w:rPr>
              <w:t>显示屏</w:t>
            </w:r>
            <w:r>
              <w:rPr>
                <w:rFonts w:ascii="楷体" w:hAnsi="楷体" w:cs="楷体" w:eastAsia="楷体"/>
                <w:color w:val="000000"/>
                <w:sz w:val="24"/>
              </w:rPr>
              <w:t>表面硬度需要</w:t>
            </w:r>
            <w:r>
              <w:rPr>
                <w:rFonts w:ascii="楷体" w:hAnsi="楷体" w:cs="楷体" w:eastAsia="楷体"/>
                <w:color w:val="000000"/>
                <w:sz w:val="24"/>
              </w:rPr>
              <w:t>≥莫氏8级</w:t>
            </w:r>
            <w:r>
              <w:rPr>
                <w:rFonts w:ascii="楷体" w:hAnsi="楷体" w:cs="楷体" w:eastAsia="楷体"/>
                <w:color w:val="000000"/>
                <w:sz w:val="24"/>
              </w:rPr>
              <w:t>，提供第三方检测机构出具带有</w:t>
            </w:r>
            <w:r>
              <w:rPr>
                <w:rFonts w:ascii="楷体" w:hAnsi="楷体" w:cs="楷体" w:eastAsia="楷体"/>
                <w:color w:val="000000"/>
                <w:sz w:val="24"/>
              </w:rPr>
              <w:t>CNAS和CMA认证的检测报告复印件加盖投标人公章予以佐证；</w:t>
            </w:r>
            <w:r>
              <w:br/>
            </w:r>
            <w:r>
              <w:rPr>
                <w:rFonts w:ascii="楷体" w:hAnsi="楷体" w:cs="楷体" w:eastAsia="楷体"/>
                <w:color w:val="000000"/>
                <w:sz w:val="24"/>
              </w:rPr>
              <w:t>20</w:t>
            </w:r>
            <w:r>
              <w:rPr>
                <w:rFonts w:ascii="楷体" w:hAnsi="楷体" w:cs="楷体" w:eastAsia="楷体"/>
                <w:color w:val="000000"/>
                <w:sz w:val="24"/>
              </w:rPr>
              <w:t>.为保证屏体的安全性能，要求所投产品内部不得有电池使用，提供第三方检测机构出具带有CNAS和CMA认证的检测报告复印件加盖投标人公章予以佐证；</w:t>
            </w:r>
          </w:p>
          <w:p>
            <w:pPr>
              <w:pStyle w:val="null3"/>
              <w:spacing w:before="15"/>
              <w:jc w:val="left"/>
            </w:pPr>
            <w:r>
              <w:rPr>
                <w:rFonts w:ascii="楷体" w:hAnsi="楷体" w:cs="楷体" w:eastAsia="楷体"/>
                <w:color w:val="000000"/>
                <w:sz w:val="24"/>
              </w:rPr>
              <w:t>★</w:t>
            </w:r>
            <w:r>
              <w:rPr>
                <w:rFonts w:ascii="楷体" w:hAnsi="楷体" w:cs="楷体" w:eastAsia="楷体"/>
                <w:color w:val="000000"/>
                <w:sz w:val="24"/>
              </w:rPr>
              <w:t>21.</w:t>
            </w:r>
            <w:r>
              <w:rPr>
                <w:rFonts w:ascii="楷体" w:hAnsi="楷体" w:cs="楷体" w:eastAsia="楷体"/>
                <w:color w:val="000000"/>
                <w:sz w:val="24"/>
              </w:rPr>
              <w:t xml:space="preserve"> </w:t>
            </w:r>
            <w:r>
              <w:rPr>
                <w:rFonts w:ascii="楷体" w:hAnsi="楷体" w:cs="楷体" w:eastAsia="楷体"/>
                <w:color w:val="000000"/>
                <w:sz w:val="24"/>
              </w:rPr>
              <w:t>LED显示屏</w:t>
            </w:r>
            <w:r>
              <w:rPr>
                <w:rFonts w:ascii="楷体" w:hAnsi="楷体" w:cs="楷体" w:eastAsia="楷体"/>
                <w:sz w:val="24"/>
              </w:rPr>
              <w:t>须通过</w:t>
            </w:r>
            <w:r>
              <w:rPr>
                <w:rFonts w:ascii="楷体" w:hAnsi="楷体" w:cs="楷体" w:eastAsia="楷体"/>
                <w:sz w:val="24"/>
              </w:rPr>
              <w:t>3</w:t>
            </w:r>
            <w:r>
              <w:rPr>
                <w:rFonts w:ascii="楷体" w:hAnsi="楷体" w:cs="楷体" w:eastAsia="楷体"/>
                <w:sz w:val="24"/>
              </w:rPr>
              <w:t>C</w:t>
            </w:r>
            <w:r>
              <w:rPr>
                <w:rFonts w:ascii="楷体" w:hAnsi="楷体" w:cs="楷体" w:eastAsia="楷体"/>
                <w:sz w:val="24"/>
              </w:rPr>
              <w:t>认证，提供认证证书复印件或官网查询截图予以佐证</w:t>
            </w:r>
            <w:r>
              <w:rPr>
                <w:rFonts w:ascii="楷体" w:hAnsi="楷体" w:cs="楷体" w:eastAsia="楷体"/>
                <w:color w:val="000000"/>
                <w:sz w:val="24"/>
              </w:rPr>
              <w:t>。</w:t>
            </w:r>
          </w:p>
          <w:p>
            <w:pPr>
              <w:pStyle w:val="null3"/>
              <w:jc w:val="both"/>
            </w:pPr>
            <w:r>
              <w:rPr>
                <w:rFonts w:ascii="楷体" w:hAnsi="楷体" w:cs="楷体" w:eastAsia="楷体"/>
                <w:color w:val="000000"/>
                <w:sz w:val="24"/>
              </w:rPr>
              <w:t>2</w:t>
            </w:r>
            <w:r>
              <w:rPr>
                <w:rFonts w:ascii="楷体" w:hAnsi="楷体" w:cs="楷体" w:eastAsia="楷体"/>
                <w:color w:val="000000"/>
                <w:sz w:val="24"/>
              </w:rPr>
              <w:t>2.</w:t>
            </w:r>
            <w:r>
              <w:rPr>
                <w:rFonts w:ascii="楷体" w:hAnsi="楷体" w:cs="楷体" w:eastAsia="楷体"/>
                <w:color w:val="000000"/>
                <w:sz w:val="24"/>
              </w:rPr>
              <w:t>包含安装所需的接收卡和电源，以及模组之间的连接跳线</w:t>
            </w:r>
          </w:p>
        </w:tc>
      </w:tr>
    </w:tbl>
    <w:p>
      <w:pPr>
        <w:pStyle w:val="null3"/>
      </w:pPr>
    </w:p>
    <w:p>
      <w:pPr>
        <w:pStyle w:val="null3"/>
      </w:pPr>
      <w:r>
        <w:rPr/>
        <w:t>标的名称：视频控制器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spacing w:before="15"/>
              <w:jc w:val="left"/>
            </w:pPr>
            <w:r>
              <w:rPr>
                <w:rFonts w:ascii="楷体" w:hAnsi="楷体" w:cs="楷体" w:eastAsia="楷体"/>
                <w:color w:val="000000"/>
                <w:sz w:val="24"/>
              </w:rPr>
              <w:t>1.视频输入接口</w:t>
            </w:r>
            <w:r>
              <w:rPr>
                <w:rFonts w:ascii="楷体" w:hAnsi="楷体" w:cs="楷体" w:eastAsia="楷体"/>
                <w:color w:val="000000"/>
                <w:sz w:val="24"/>
              </w:rPr>
              <w:t>，</w:t>
            </w:r>
            <w:r>
              <w:rPr>
                <w:rFonts w:ascii="楷体" w:hAnsi="楷体" w:cs="楷体" w:eastAsia="楷体"/>
                <w:color w:val="000000"/>
                <w:sz w:val="24"/>
              </w:rPr>
              <w:t>1 路 HDMI 2.0，4 路 DVI，1 路 3G-SDI</w:t>
            </w:r>
            <w:r>
              <w:rPr>
                <w:rFonts w:ascii="楷体" w:hAnsi="楷体" w:cs="楷体" w:eastAsia="楷体"/>
                <w:color w:val="000000"/>
                <w:sz w:val="24"/>
              </w:rPr>
              <w:t>；</w:t>
            </w:r>
            <w:r>
              <w:br/>
            </w:r>
            <w:r>
              <w:rPr>
                <w:rFonts w:ascii="楷体" w:hAnsi="楷体" w:cs="楷体" w:eastAsia="楷体"/>
                <w:color w:val="000000"/>
                <w:sz w:val="24"/>
              </w:rPr>
              <w:t>2.</w:t>
            </w:r>
            <w:r>
              <w:rPr>
                <w:rFonts w:ascii="楷体" w:hAnsi="楷体" w:cs="楷体" w:eastAsia="楷体"/>
                <w:color w:val="000000"/>
                <w:sz w:val="24"/>
              </w:rPr>
              <w:t>支持</w:t>
            </w:r>
            <w:r>
              <w:rPr>
                <w:rFonts w:ascii="楷体" w:hAnsi="楷体" w:cs="楷体" w:eastAsia="楷体"/>
                <w:color w:val="000000"/>
                <w:sz w:val="24"/>
              </w:rPr>
              <w:t>16 路网口和 4 路光纤输出</w:t>
            </w:r>
            <w:r>
              <w:rPr>
                <w:rFonts w:ascii="楷体" w:hAnsi="楷体" w:cs="楷体" w:eastAsia="楷体"/>
                <w:color w:val="000000"/>
                <w:sz w:val="24"/>
              </w:rPr>
              <w:t>；</w:t>
            </w:r>
            <w:r>
              <w:br/>
            </w:r>
            <w:r>
              <w:rPr>
                <w:rFonts w:ascii="楷体" w:hAnsi="楷体" w:cs="楷体" w:eastAsia="楷体"/>
                <w:color w:val="000000"/>
                <w:sz w:val="24"/>
              </w:rPr>
              <w:t>3.</w:t>
            </w:r>
            <w:r>
              <w:rPr>
                <w:rFonts w:ascii="楷体" w:hAnsi="楷体" w:cs="楷体" w:eastAsia="楷体"/>
                <w:color w:val="000000"/>
                <w:sz w:val="24"/>
              </w:rPr>
              <w:t>支持预监输出画面</w:t>
            </w:r>
            <w:r>
              <w:rPr>
                <w:rFonts w:ascii="楷体" w:hAnsi="楷体" w:cs="楷体" w:eastAsia="楷体"/>
                <w:color w:val="000000"/>
                <w:sz w:val="24"/>
              </w:rPr>
              <w:t>，</w:t>
            </w:r>
            <w:r>
              <w:rPr>
                <w:rFonts w:ascii="楷体" w:hAnsi="楷体" w:cs="楷体" w:eastAsia="楷体"/>
                <w:color w:val="000000"/>
                <w:sz w:val="24"/>
              </w:rPr>
              <w:t>将预监内容通过</w:t>
            </w:r>
            <w:r>
              <w:rPr>
                <w:rFonts w:ascii="楷体" w:hAnsi="楷体" w:cs="楷体" w:eastAsia="楷体"/>
                <w:color w:val="000000"/>
                <w:sz w:val="24"/>
              </w:rPr>
              <w:t>HDMI 发送到显示器显示</w:t>
            </w:r>
            <w:r>
              <w:rPr>
                <w:rFonts w:ascii="楷体" w:hAnsi="楷体" w:cs="楷体" w:eastAsia="楷体"/>
                <w:color w:val="000000"/>
                <w:sz w:val="24"/>
              </w:rPr>
              <w:t>；</w:t>
            </w:r>
            <w:r>
              <w:br/>
            </w:r>
            <w:r>
              <w:rPr>
                <w:rFonts w:ascii="楷体" w:hAnsi="楷体" w:cs="楷体" w:eastAsia="楷体"/>
                <w:color w:val="000000"/>
                <w:sz w:val="24"/>
              </w:rPr>
              <w:t>4.</w:t>
            </w:r>
            <w:r>
              <w:rPr>
                <w:rFonts w:ascii="楷体" w:hAnsi="楷体" w:cs="楷体" w:eastAsia="楷体"/>
                <w:color w:val="000000"/>
                <w:sz w:val="24"/>
              </w:rPr>
              <w:t>支持</w:t>
            </w:r>
            <w:r>
              <w:rPr>
                <w:rFonts w:ascii="楷体" w:hAnsi="楷体" w:cs="楷体" w:eastAsia="楷体"/>
                <w:color w:val="000000"/>
                <w:sz w:val="24"/>
              </w:rPr>
              <w:t>5 窗口任意布局</w:t>
            </w:r>
            <w:r>
              <w:rPr>
                <w:rFonts w:ascii="楷体" w:hAnsi="楷体" w:cs="楷体" w:eastAsia="楷体"/>
                <w:color w:val="000000"/>
                <w:sz w:val="24"/>
              </w:rPr>
              <w:t>；</w:t>
            </w:r>
            <w:r>
              <w:rPr>
                <w:rFonts w:ascii="楷体" w:hAnsi="楷体" w:cs="楷体" w:eastAsia="楷体"/>
                <w:color w:val="000000"/>
                <w:sz w:val="24"/>
              </w:rPr>
              <w:t xml:space="preserve"> </w:t>
            </w:r>
            <w:r>
              <w:br/>
            </w:r>
            <w:r>
              <w:rPr>
                <w:rFonts w:ascii="楷体" w:hAnsi="楷体" w:cs="楷体" w:eastAsia="楷体"/>
                <w:color w:val="000000"/>
                <w:sz w:val="24"/>
              </w:rPr>
              <w:t>5.支持逐点亮色度校正技术；</w:t>
            </w:r>
          </w:p>
          <w:p>
            <w:pPr>
              <w:pStyle w:val="null3"/>
              <w:jc w:val="both"/>
            </w:pPr>
            <w:r>
              <w:rPr>
                <w:rFonts w:ascii="楷体" w:hAnsi="楷体" w:cs="楷体" w:eastAsia="楷体"/>
                <w:color w:val="000000"/>
                <w:sz w:val="24"/>
              </w:rPr>
              <w:t>6.支持 EDID 管理</w:t>
            </w:r>
            <w:r>
              <w:rPr>
                <w:rFonts w:ascii="楷体" w:hAnsi="楷体" w:cs="楷体" w:eastAsia="楷体"/>
                <w:color w:val="000000"/>
                <w:sz w:val="24"/>
              </w:rPr>
              <w:t>，</w:t>
            </w:r>
            <w:r>
              <w:rPr>
                <w:rFonts w:ascii="楷体" w:hAnsi="楷体" w:cs="楷体" w:eastAsia="楷体"/>
                <w:color w:val="000000"/>
                <w:sz w:val="24"/>
              </w:rPr>
              <w:t>支持用户自定义</w:t>
            </w:r>
            <w:r>
              <w:rPr>
                <w:rFonts w:ascii="楷体" w:hAnsi="楷体" w:cs="楷体" w:eastAsia="楷体"/>
                <w:color w:val="000000"/>
                <w:sz w:val="24"/>
              </w:rPr>
              <w:t>EDID 和预设</w:t>
            </w:r>
            <w:r>
              <w:rPr>
                <w:rFonts w:ascii="楷体" w:hAnsi="楷体" w:cs="楷体" w:eastAsia="楷体"/>
                <w:color w:val="000000"/>
                <w:sz w:val="24"/>
              </w:rPr>
              <w:t>E</w:t>
            </w:r>
            <w:r>
              <w:rPr>
                <w:rFonts w:ascii="楷体" w:hAnsi="楷体" w:cs="楷体" w:eastAsia="楷体"/>
                <w:color w:val="000000"/>
                <w:sz w:val="24"/>
              </w:rPr>
              <w:t>DID</w:t>
            </w:r>
            <w:r>
              <w:rPr>
                <w:rFonts w:ascii="楷体" w:hAnsi="楷体" w:cs="楷体" w:eastAsia="楷体"/>
                <w:color w:val="000000"/>
                <w:sz w:val="24"/>
              </w:rPr>
              <w:t>。</w:t>
            </w:r>
          </w:p>
        </w:tc>
      </w:tr>
    </w:tbl>
    <w:p>
      <w:pPr>
        <w:pStyle w:val="null3"/>
      </w:pPr>
    </w:p>
    <w:p>
      <w:pPr>
        <w:pStyle w:val="null3"/>
      </w:pPr>
      <w:r>
        <w:rPr/>
        <w:t>标的名称：LED显示屏综合控制管理平台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r>
              <w:rPr>
                <w:rFonts w:ascii="楷体" w:hAnsi="楷体" w:cs="楷体" w:eastAsia="楷体"/>
                <w:sz w:val="24"/>
              </w:rPr>
              <w:t>1.</w:t>
            </w:r>
            <w:r>
              <w:rPr>
                <w:rFonts w:ascii="楷体" w:hAnsi="楷体" w:cs="楷体" w:eastAsia="楷体"/>
                <w:sz w:val="24"/>
              </w:rPr>
              <w:t>显示屏专用软件管理平台，配合发送、接收、监控以及多功能卡，用户可以方便的实现对</w:t>
            </w:r>
            <w:r>
              <w:rPr>
                <w:rFonts w:ascii="楷体" w:hAnsi="楷体" w:cs="楷体" w:eastAsia="楷体"/>
                <w:sz w:val="24"/>
              </w:rPr>
              <w:t>LED显示屏的智能配置、参数调节、亮度控制、电源管理、屏体校正以及硬件监控。</w:t>
            </w:r>
          </w:p>
          <w:p>
            <w:pPr>
              <w:pStyle w:val="null3"/>
              <w:jc w:val="both"/>
            </w:pPr>
            <w:r>
              <w:rPr>
                <w:rFonts w:ascii="楷体" w:hAnsi="楷体" w:cs="楷体" w:eastAsia="楷体"/>
                <w:sz w:val="24"/>
              </w:rPr>
              <w:t>2.提供“综合控制管理平台”著作权登记证书复印件加盖投标人公章</w:t>
            </w:r>
            <w:r>
              <w:rPr>
                <w:rFonts w:ascii="楷体" w:hAnsi="楷体" w:cs="楷体" w:eastAsia="楷体"/>
                <w:color w:val="000000"/>
                <w:sz w:val="24"/>
              </w:rPr>
              <w:t>予以佐证</w:t>
            </w:r>
            <w:r>
              <w:rPr>
                <w:rFonts w:ascii="楷体" w:hAnsi="楷体" w:cs="楷体" w:eastAsia="楷体"/>
                <w:sz w:val="24"/>
              </w:rPr>
              <w:t>。</w:t>
            </w:r>
          </w:p>
        </w:tc>
      </w:tr>
    </w:tbl>
    <w:p>
      <w:pPr>
        <w:pStyle w:val="null3"/>
      </w:pPr>
    </w:p>
    <w:p>
      <w:pPr>
        <w:pStyle w:val="null3"/>
      </w:pPr>
      <w:r>
        <w:rPr/>
        <w:t>标的名称：高清矩阵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both"/>
            </w:pPr>
            <w:r>
              <w:rPr>
                <w:rFonts w:ascii="楷体" w:hAnsi="楷体" w:cs="楷体" w:eastAsia="楷体"/>
                <w:sz w:val="24"/>
              </w:rPr>
              <w:t>1</w:t>
            </w:r>
            <w:r>
              <w:rPr>
                <w:rFonts w:ascii="楷体" w:hAnsi="楷体" w:cs="楷体" w:eastAsia="楷体"/>
                <w:sz w:val="24"/>
              </w:rPr>
              <w:t>.</w:t>
            </w:r>
            <w:r>
              <w:rPr>
                <w:rFonts w:ascii="楷体" w:hAnsi="楷体" w:cs="楷体" w:eastAsia="楷体"/>
                <w:sz w:val="24"/>
              </w:rPr>
              <w:t>板卡式结构，自带不少于</w:t>
            </w:r>
            <w:r>
              <w:rPr>
                <w:rFonts w:ascii="楷体" w:hAnsi="楷体" w:cs="楷体" w:eastAsia="楷体"/>
                <w:sz w:val="24"/>
              </w:rPr>
              <w:t>2个输入卡槽、2个输出卡槽,设备最大支持多达8路信号输入，8路信号输出，本机配置：dvi输入接口不少于8路，DVI 输出不少于8路</w:t>
            </w:r>
            <w:r>
              <w:br/>
            </w:r>
            <w:r>
              <w:rPr>
                <w:rFonts w:ascii="楷体" w:hAnsi="楷体" w:cs="楷体" w:eastAsia="楷体"/>
                <w:sz w:val="24"/>
              </w:rPr>
              <w:t>2</w:t>
            </w:r>
            <w:r>
              <w:rPr>
                <w:rFonts w:ascii="楷体" w:hAnsi="楷体" w:cs="楷体" w:eastAsia="楷体"/>
                <w:sz w:val="24"/>
              </w:rPr>
              <w:t>.</w:t>
            </w:r>
            <w:r>
              <w:rPr>
                <w:rFonts w:ascii="楷体" w:hAnsi="楷体" w:cs="楷体" w:eastAsia="楷体"/>
                <w:sz w:val="24"/>
              </w:rPr>
              <w:t>系统为纯硬件</w:t>
            </w:r>
            <w:r>
              <w:rPr>
                <w:rFonts w:ascii="楷体" w:hAnsi="楷体" w:cs="楷体" w:eastAsia="楷体"/>
                <w:sz w:val="24"/>
              </w:rPr>
              <w:t>FPGA架构，上电即可工作，开机时间少于5秒,可24×7×365 持续无故障工作。</w:t>
            </w:r>
            <w:r>
              <w:br/>
            </w:r>
            <w:r>
              <w:rPr>
                <w:rFonts w:ascii="楷体" w:hAnsi="楷体" w:cs="楷体" w:eastAsia="楷体"/>
                <w:sz w:val="24"/>
              </w:rPr>
              <w:t>3</w:t>
            </w:r>
            <w:r>
              <w:rPr>
                <w:rFonts w:ascii="楷体" w:hAnsi="楷体" w:cs="楷体" w:eastAsia="楷体"/>
                <w:sz w:val="24"/>
              </w:rPr>
              <w:t>.</w:t>
            </w:r>
            <w:r>
              <w:rPr>
                <w:rFonts w:ascii="楷体" w:hAnsi="楷体" w:cs="楷体" w:eastAsia="楷体"/>
                <w:sz w:val="24"/>
              </w:rPr>
              <w:t>支持面板，按键，网络控制协议，配有</w:t>
            </w:r>
            <w:r>
              <w:rPr>
                <w:rFonts w:ascii="楷体" w:hAnsi="楷体" w:cs="楷体" w:eastAsia="楷体"/>
                <w:sz w:val="24"/>
              </w:rPr>
              <w:t>RS232和网络控制接口，开放控制协议，并可与各品牌中控无缝衔接，支持OSD字符叠加，系统自带TCP/IP控制卡，OSD内部自带多种颜色标识，对每个输入信号进行标识管理，以便将来自不同设备的信息进行标识分类，方便各种数据的分类管理</w:t>
            </w:r>
            <w:r>
              <w:br/>
            </w:r>
            <w:r>
              <w:rPr>
                <w:rFonts w:ascii="楷体" w:hAnsi="楷体" w:cs="楷体" w:eastAsia="楷体"/>
                <w:sz w:val="24"/>
              </w:rPr>
              <w:t>4</w:t>
            </w:r>
            <w:r>
              <w:rPr>
                <w:rFonts w:ascii="楷体" w:hAnsi="楷体" w:cs="楷体" w:eastAsia="楷体"/>
                <w:sz w:val="24"/>
              </w:rPr>
              <w:t>.</w:t>
            </w:r>
            <w:r>
              <w:rPr>
                <w:rFonts w:ascii="楷体" w:hAnsi="楷体" w:cs="楷体" w:eastAsia="楷体"/>
                <w:sz w:val="24"/>
              </w:rPr>
              <w:t>支持混合矩阵输出设备分组，支持多逻辑组合功能，可以将一台矩阵划分为多个逻辑输出同时使用，每个逻辑独立工作互不干扰，可设置不同信号的管理权限</w:t>
            </w:r>
            <w:r>
              <w:br/>
            </w:r>
            <w:r>
              <w:rPr>
                <w:rFonts w:ascii="楷体" w:hAnsi="楷体" w:cs="楷体" w:eastAsia="楷体"/>
                <w:sz w:val="24"/>
              </w:rPr>
              <w:t>5</w:t>
            </w:r>
            <w:r>
              <w:rPr>
                <w:rFonts w:ascii="楷体" w:hAnsi="楷体" w:cs="楷体" w:eastAsia="楷体"/>
                <w:sz w:val="24"/>
              </w:rPr>
              <w:t>.</w:t>
            </w:r>
            <w:r>
              <w:rPr>
                <w:rFonts w:ascii="楷体" w:hAnsi="楷体" w:cs="楷体" w:eastAsia="楷体"/>
                <w:sz w:val="24"/>
              </w:rPr>
              <w:t>内置</w:t>
            </w:r>
            <w:r>
              <w:rPr>
                <w:rFonts w:ascii="楷体" w:hAnsi="楷体" w:cs="楷体" w:eastAsia="楷体"/>
                <w:sz w:val="24"/>
              </w:rPr>
              <w:t>EDID管理，系统支持EDID的读取、修改、自定义，每路输出都经过缓冲处理，以保持原始的信号清晰度和强度；</w:t>
            </w:r>
            <w:r>
              <w:br/>
            </w:r>
            <w:r>
              <w:rPr>
                <w:rFonts w:ascii="楷体" w:hAnsi="楷体" w:cs="楷体" w:eastAsia="楷体"/>
                <w:sz w:val="24"/>
              </w:rPr>
              <w:t>6</w:t>
            </w:r>
            <w:r>
              <w:rPr>
                <w:rFonts w:ascii="楷体" w:hAnsi="楷体" w:cs="楷体" w:eastAsia="楷体"/>
                <w:sz w:val="24"/>
              </w:rPr>
              <w:t>.</w:t>
            </w:r>
            <w:r>
              <w:rPr>
                <w:rFonts w:ascii="楷体" w:hAnsi="楷体" w:cs="楷体" w:eastAsia="楷体"/>
                <w:sz w:val="24"/>
              </w:rPr>
              <w:t>场景自动轮巡，系统为便于客户随时编排大屏幕不同的显示场景，系统提供几百种典型工程场景案例，支持场景自动定时轮巡，可选择每个场景是否参与自动轮巡，方便监控领域常见的</w:t>
            </w:r>
            <w:r>
              <w:rPr>
                <w:rFonts w:ascii="楷体" w:hAnsi="楷体" w:cs="楷体" w:eastAsia="楷体"/>
                <w:sz w:val="24"/>
              </w:rPr>
              <w:t>“值班自动轮检”应用。</w:t>
            </w:r>
            <w:r>
              <w:br/>
            </w:r>
            <w:r>
              <w:rPr>
                <w:rFonts w:ascii="楷体" w:hAnsi="楷体" w:cs="楷体" w:eastAsia="楷体"/>
                <w:sz w:val="24"/>
              </w:rPr>
              <w:t>7</w:t>
            </w:r>
            <w:r>
              <w:rPr>
                <w:rFonts w:ascii="楷体" w:hAnsi="楷体" w:cs="楷体" w:eastAsia="楷体"/>
                <w:sz w:val="24"/>
              </w:rPr>
              <w:t>.</w:t>
            </w:r>
            <w:r>
              <w:rPr>
                <w:rFonts w:ascii="楷体" w:hAnsi="楷体" w:cs="楷体" w:eastAsia="楷体"/>
                <w:sz w:val="24"/>
              </w:rPr>
              <w:t>支持信号预监，可在软件或第三方设备上进行信号预览</w:t>
            </w:r>
            <w:r>
              <w:rPr>
                <w:rFonts w:ascii="楷体" w:hAnsi="楷体" w:cs="楷体" w:eastAsia="楷体"/>
                <w:sz w:val="24"/>
              </w:rPr>
              <w:t>，支持可视化平台统一管控，支持</w:t>
            </w:r>
            <w:r>
              <w:rPr>
                <w:rFonts w:ascii="楷体" w:hAnsi="楷体" w:cs="楷体" w:eastAsia="楷体"/>
                <w:sz w:val="24"/>
              </w:rPr>
              <w:t>PC客户端，WINDOWS，linux操作系统。（提供软件界面截图，加盖厂商公章予以佐证）</w:t>
            </w:r>
            <w:r>
              <w:br/>
            </w:r>
            <w:r>
              <w:rPr>
                <w:rFonts w:ascii="楷体" w:hAnsi="楷体" w:cs="楷体" w:eastAsia="楷体"/>
                <w:sz w:val="24"/>
              </w:rPr>
              <w:t>8</w:t>
            </w:r>
            <w:r>
              <w:rPr>
                <w:rFonts w:ascii="楷体" w:hAnsi="楷体" w:cs="楷体" w:eastAsia="楷体"/>
                <w:sz w:val="24"/>
              </w:rPr>
              <w:t>.</w:t>
            </w:r>
            <w:r>
              <w:rPr>
                <w:rFonts w:ascii="楷体" w:hAnsi="楷体" w:cs="楷体" w:eastAsia="楷体"/>
                <w:sz w:val="24"/>
              </w:rPr>
              <w:t>矩阵提供灵活的插卡扩展结构，输入输出卡有多种输入格式可以选择，包括</w:t>
            </w:r>
            <w:r>
              <w:rPr>
                <w:rFonts w:ascii="楷体" w:hAnsi="楷体" w:cs="楷体" w:eastAsia="楷体"/>
                <w:sz w:val="24"/>
              </w:rPr>
              <w:t>CVBS、VGA、DVI-I、DVI-D、SDI、HDBASET，双绞线CAT、YPBPR，光纤和网络视频信号等输入输出格式；</w:t>
            </w:r>
            <w:r>
              <w:br/>
            </w:r>
            <w:r>
              <w:rPr>
                <w:rFonts w:ascii="楷体" w:hAnsi="楷体" w:cs="楷体" w:eastAsia="楷体"/>
                <w:sz w:val="24"/>
              </w:rPr>
              <w:t>9</w:t>
            </w:r>
            <w:r>
              <w:rPr>
                <w:rFonts w:ascii="楷体" w:hAnsi="楷体" w:cs="楷体" w:eastAsia="楷体"/>
                <w:sz w:val="24"/>
              </w:rPr>
              <w:t>.</w:t>
            </w:r>
            <w:r>
              <w:rPr>
                <w:rFonts w:ascii="楷体" w:hAnsi="楷体" w:cs="楷体" w:eastAsia="楷体"/>
                <w:sz w:val="24"/>
              </w:rPr>
              <w:t>断电记忆保护，系统具有断电现场记忆保护、状态存储与自定义等功能，确保切换场景的自动恢复。</w:t>
            </w:r>
            <w:r>
              <w:br/>
            </w:r>
            <w:r>
              <w:rPr>
                <w:rFonts w:ascii="楷体" w:hAnsi="楷体" w:cs="楷体" w:eastAsia="楷体"/>
                <w:sz w:val="24"/>
              </w:rPr>
              <w:t>10.状态监测，系统支持输入信号状态监测，能实时监测和显示当前各输入通道是否有信号接入，支持负载接入状态监测，能实时监测和显示输出通道是否有连接负载。</w:t>
            </w:r>
          </w:p>
          <w:p>
            <w:pPr>
              <w:pStyle w:val="null3"/>
              <w:jc w:val="both"/>
            </w:pPr>
            <w:r>
              <w:rPr>
                <w:rFonts w:ascii="楷体" w:hAnsi="楷体" w:cs="楷体" w:eastAsia="楷体"/>
                <w:color w:val="000000"/>
                <w:sz w:val="24"/>
              </w:rPr>
              <w:t>★</w:t>
            </w:r>
            <w:r>
              <w:rPr>
                <w:rFonts w:ascii="楷体" w:hAnsi="楷体" w:cs="楷体" w:eastAsia="楷体"/>
                <w:sz w:val="24"/>
              </w:rPr>
              <w:t>11</w:t>
            </w:r>
            <w:r>
              <w:rPr>
                <w:rFonts w:ascii="楷体" w:hAnsi="楷体" w:cs="楷体" w:eastAsia="楷体"/>
                <w:color w:val="000000"/>
                <w:sz w:val="24"/>
              </w:rPr>
              <w:t>.</w:t>
            </w:r>
            <w:r>
              <w:rPr>
                <w:rFonts w:ascii="楷体" w:hAnsi="楷体" w:cs="楷体" w:eastAsia="楷体"/>
                <w:sz w:val="24"/>
              </w:rPr>
              <w:t>设备须通过</w:t>
            </w:r>
            <w:r>
              <w:rPr>
                <w:rFonts w:ascii="楷体" w:hAnsi="楷体" w:cs="楷体" w:eastAsia="楷体"/>
                <w:sz w:val="24"/>
              </w:rPr>
              <w:t>3</w:t>
            </w:r>
            <w:r>
              <w:rPr>
                <w:rFonts w:ascii="楷体" w:hAnsi="楷体" w:cs="楷体" w:eastAsia="楷体"/>
                <w:sz w:val="24"/>
              </w:rPr>
              <w:t>C</w:t>
            </w:r>
            <w:r>
              <w:rPr>
                <w:rFonts w:ascii="楷体" w:hAnsi="楷体" w:cs="楷体" w:eastAsia="楷体"/>
                <w:sz w:val="24"/>
              </w:rPr>
              <w:t>认证，提供认证证书复印件或官网查询截图予以佐证</w:t>
            </w:r>
          </w:p>
          <w:p>
            <w:pPr>
              <w:pStyle w:val="null3"/>
              <w:jc w:val="both"/>
            </w:pPr>
            <w:r>
              <w:rPr>
                <w:rFonts w:ascii="楷体" w:hAnsi="楷体" w:cs="楷体" w:eastAsia="楷体"/>
                <w:sz w:val="24"/>
              </w:rPr>
              <w:t>12</w:t>
            </w:r>
            <w:r>
              <w:rPr>
                <w:rFonts w:ascii="楷体" w:hAnsi="楷体" w:cs="楷体" w:eastAsia="楷体"/>
                <w:color w:val="000000"/>
                <w:sz w:val="24"/>
              </w:rPr>
              <w:t>.函</w:t>
            </w:r>
            <w:r>
              <w:rPr>
                <w:rFonts w:ascii="楷体" w:hAnsi="楷体" w:cs="楷体" w:eastAsia="楷体"/>
                <w:sz w:val="24"/>
              </w:rPr>
              <w:t>混合矩阵控制软件，需提供控制软件的计算机软件著作权证书，并加盖投标人公章。</w:t>
            </w:r>
          </w:p>
        </w:tc>
      </w:tr>
    </w:tbl>
    <w:p>
      <w:pPr>
        <w:pStyle w:val="null3"/>
      </w:pPr>
    </w:p>
    <w:p>
      <w:pPr>
        <w:pStyle w:val="null3"/>
      </w:pPr>
      <w:r>
        <w:rPr/>
        <w:t>标的名称：中控软件编程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both"/>
            </w:pPr>
            <w:r>
              <w:rPr>
                <w:rFonts w:ascii="楷体" w:hAnsi="楷体" w:cs="楷体" w:eastAsia="楷体"/>
                <w:color w:val="000000"/>
                <w:sz w:val="24"/>
              </w:rPr>
              <w:t>根据现场使用环境和用户要求定制（需投标人提供承诺函并加盖投标人公章，承诺函格式自拟）</w:t>
            </w:r>
          </w:p>
        </w:tc>
      </w:tr>
    </w:tbl>
    <w:p>
      <w:pPr>
        <w:pStyle w:val="null3"/>
      </w:pPr>
    </w:p>
    <w:p>
      <w:pPr>
        <w:pStyle w:val="null3"/>
      </w:pPr>
      <w:r>
        <w:rPr/>
        <w:t>标的名称：电源管理终端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spacing w:before="15"/>
              <w:jc w:val="left"/>
            </w:pPr>
            <w:r>
              <w:rPr>
                <w:rFonts w:ascii="楷体" w:hAnsi="楷体" w:cs="楷体" w:eastAsia="楷体"/>
                <w:color w:val="000000"/>
                <w:sz w:val="24"/>
              </w:rPr>
              <w:t>1.</w:t>
            </w:r>
            <w:r>
              <w:rPr>
                <w:rFonts w:ascii="楷体" w:hAnsi="楷体" w:cs="楷体" w:eastAsia="楷体"/>
                <w:color w:val="000000"/>
                <w:sz w:val="24"/>
              </w:rPr>
              <w:t>2英寸TFT彩色液晶屏，实时显示当前日期时间、当前电压、通道开关状态等信息，支持中英文</w:t>
            </w:r>
            <w:r>
              <w:rPr>
                <w:rFonts w:ascii="楷体" w:hAnsi="楷体" w:cs="楷体" w:eastAsia="楷体"/>
                <w:color w:val="000000"/>
                <w:sz w:val="24"/>
              </w:rPr>
              <w:t>，（提供第三方检测机构出具带有</w:t>
            </w:r>
            <w:r>
              <w:rPr>
                <w:rFonts w:ascii="楷体" w:hAnsi="楷体" w:cs="楷体" w:eastAsia="楷体"/>
                <w:color w:val="000000"/>
                <w:sz w:val="24"/>
              </w:rPr>
              <w:t>CNA</w:t>
            </w:r>
            <w:r>
              <w:rPr>
                <w:rFonts w:ascii="楷体" w:hAnsi="楷体" w:cs="楷体" w:eastAsia="楷体"/>
                <w:color w:val="000000"/>
                <w:sz w:val="24"/>
              </w:rPr>
              <w:t>S</w:t>
            </w:r>
            <w:r>
              <w:rPr>
                <w:rFonts w:ascii="楷体" w:hAnsi="楷体" w:cs="楷体" w:eastAsia="楷体"/>
                <w:color w:val="000000"/>
                <w:sz w:val="24"/>
              </w:rPr>
              <w:t>或</w:t>
            </w:r>
            <w:r>
              <w:rPr>
                <w:rFonts w:ascii="楷体" w:hAnsi="楷体" w:cs="楷体" w:eastAsia="楷体"/>
                <w:color w:val="000000"/>
                <w:sz w:val="24"/>
              </w:rPr>
              <w:t>CMA认证的检测报告复印件加盖投标人公章予以佐证</w:t>
            </w:r>
            <w:r>
              <w:rPr>
                <w:rFonts w:ascii="楷体" w:hAnsi="楷体" w:cs="楷体" w:eastAsia="楷体"/>
                <w:color w:val="000000"/>
                <w:sz w:val="24"/>
              </w:rPr>
              <w:t>；）</w:t>
            </w:r>
          </w:p>
          <w:p>
            <w:pPr>
              <w:pStyle w:val="null3"/>
              <w:spacing w:before="15"/>
              <w:jc w:val="left"/>
            </w:pPr>
            <w:r>
              <w:rPr>
                <w:rFonts w:ascii="楷体" w:hAnsi="楷体" w:cs="楷体" w:eastAsia="楷体"/>
                <w:color w:val="000000"/>
                <w:sz w:val="24"/>
              </w:rPr>
              <w:t>2.可控电源输出，各路延时开启和关闭时间可设置为0~999秒；</w:t>
            </w:r>
          </w:p>
          <w:p>
            <w:pPr>
              <w:pStyle w:val="null3"/>
              <w:spacing w:before="15"/>
              <w:jc w:val="left"/>
            </w:pPr>
            <w:r>
              <w:rPr>
                <w:rFonts w:ascii="楷体" w:hAnsi="楷体" w:cs="楷体" w:eastAsia="楷体"/>
                <w:color w:val="000000"/>
                <w:sz w:val="24"/>
              </w:rPr>
              <w:t>3.面板锁功能防止误操作，保障设备安全可靠；</w:t>
            </w:r>
          </w:p>
          <w:p>
            <w:pPr>
              <w:pStyle w:val="null3"/>
              <w:spacing w:before="15"/>
              <w:jc w:val="left"/>
            </w:pPr>
            <w:r>
              <w:rPr>
                <w:rFonts w:ascii="楷体" w:hAnsi="楷体" w:cs="楷体" w:eastAsia="楷体"/>
                <w:color w:val="000000"/>
                <w:sz w:val="24"/>
              </w:rPr>
              <w:t>4.RS485端口支持级联；</w:t>
            </w:r>
          </w:p>
          <w:p>
            <w:pPr>
              <w:pStyle w:val="null3"/>
              <w:spacing w:before="15"/>
              <w:jc w:val="left"/>
            </w:pPr>
            <w:r>
              <w:rPr>
                <w:rFonts w:ascii="楷体" w:hAnsi="楷体" w:cs="楷体" w:eastAsia="楷体"/>
                <w:color w:val="000000"/>
                <w:sz w:val="24"/>
              </w:rPr>
              <w:t>5.网络RJ45端口、RS232端口及外部启动触发端口，支持外部中控设备控制；</w:t>
            </w:r>
          </w:p>
          <w:p>
            <w:pPr>
              <w:pStyle w:val="null3"/>
              <w:jc w:val="both"/>
            </w:pPr>
            <w:r>
              <w:rPr>
                <w:rFonts w:ascii="楷体" w:hAnsi="楷体" w:cs="楷体" w:eastAsia="楷体"/>
                <w:color w:val="000000"/>
                <w:sz w:val="24"/>
              </w:rPr>
              <w:t>6.10组设备开关模式，方便灵活存储和调用</w:t>
            </w:r>
            <w:r>
              <w:rPr>
                <w:rFonts w:ascii="楷体" w:hAnsi="楷体" w:cs="楷体" w:eastAsia="楷体"/>
                <w:color w:val="000000"/>
                <w:sz w:val="24"/>
              </w:rPr>
              <w:t>。</w:t>
            </w:r>
          </w:p>
        </w:tc>
      </w:tr>
    </w:tbl>
    <w:p>
      <w:pPr>
        <w:pStyle w:val="null3"/>
      </w:pPr>
    </w:p>
    <w:p>
      <w:pPr>
        <w:pStyle w:val="null3"/>
      </w:pPr>
      <w:r>
        <w:rPr/>
        <w:t>标的名称：无线会议终端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r>
              <w:rPr>
                <w:rFonts w:ascii="楷体" w:hAnsi="楷体" w:cs="楷体" w:eastAsia="楷体"/>
                <w:sz w:val="24"/>
              </w:rPr>
              <w:t>1.支持无线NFC投屏；</w:t>
            </w:r>
            <w:r>
              <w:br/>
            </w:r>
            <w:r>
              <w:rPr>
                <w:rFonts w:ascii="楷体" w:hAnsi="楷体" w:cs="楷体" w:eastAsia="楷体"/>
                <w:sz w:val="24"/>
              </w:rPr>
              <w:t>2. 电脑端可无线实时投屏；</w:t>
            </w:r>
            <w:r>
              <w:br/>
            </w:r>
            <w:r>
              <w:rPr>
                <w:rFonts w:ascii="楷体" w:hAnsi="楷体" w:cs="楷体" w:eastAsia="楷体"/>
                <w:sz w:val="24"/>
              </w:rPr>
              <w:t>3. 可实时批注、支持多人画板；</w:t>
            </w:r>
            <w:r>
              <w:br/>
            </w:r>
            <w:r>
              <w:rPr>
                <w:rFonts w:ascii="楷体" w:hAnsi="楷体" w:cs="楷体" w:eastAsia="楷体"/>
                <w:sz w:val="24"/>
              </w:rPr>
              <w:t>4. 最多可支持100人同时连接互动；</w:t>
            </w:r>
            <w:r>
              <w:br/>
            </w:r>
            <w:r>
              <w:rPr>
                <w:rFonts w:ascii="楷体" w:hAnsi="楷体" w:cs="楷体" w:eastAsia="楷体"/>
                <w:sz w:val="24"/>
              </w:rPr>
              <w:t>5. 支持指定的画面或视频做信息发布；</w:t>
            </w:r>
            <w:r>
              <w:br/>
            </w:r>
            <w:r>
              <w:rPr>
                <w:rFonts w:ascii="楷体" w:hAnsi="楷体" w:cs="楷体" w:eastAsia="楷体"/>
                <w:sz w:val="24"/>
              </w:rPr>
              <w:t>6. 支持多人同时在手机端进行批注；</w:t>
            </w:r>
            <w:r>
              <w:br/>
            </w:r>
            <w:r>
              <w:rPr>
                <w:rFonts w:ascii="楷体" w:hAnsi="楷体" w:cs="楷体" w:eastAsia="楷体"/>
                <w:sz w:val="24"/>
              </w:rPr>
              <w:t>7. 支持自带电视节目投屏功能；</w:t>
            </w:r>
            <w:r>
              <w:br/>
            </w:r>
            <w:r>
              <w:rPr>
                <w:rFonts w:ascii="楷体" w:hAnsi="楷体" w:cs="楷体" w:eastAsia="楷体"/>
                <w:sz w:val="24"/>
              </w:rPr>
              <w:t>8. 支持实时批注；</w:t>
            </w:r>
          </w:p>
          <w:p>
            <w:pPr>
              <w:pStyle w:val="null3"/>
              <w:jc w:val="both"/>
            </w:pPr>
            <w:r>
              <w:rPr>
                <w:rFonts w:ascii="楷体" w:hAnsi="楷体" w:cs="楷体" w:eastAsia="楷体"/>
                <w:color w:val="000000"/>
                <w:sz w:val="24"/>
              </w:rPr>
              <w:t>★</w:t>
            </w:r>
            <w:r>
              <w:rPr>
                <w:rFonts w:ascii="楷体" w:hAnsi="楷体" w:cs="楷体" w:eastAsia="楷体"/>
                <w:sz w:val="24"/>
              </w:rPr>
              <w:t>9</w:t>
            </w:r>
            <w:r>
              <w:rPr>
                <w:rFonts w:ascii="楷体" w:hAnsi="楷体" w:cs="楷体" w:eastAsia="楷体"/>
                <w:sz w:val="24"/>
              </w:rPr>
              <w:t>.投标人须对以上功能进行逐一演示。投标人须在中标结果公布后两日内至采购人处，自行搭建演示平台进行逐一演示，演示中所使用的产品须与所投的产品一致（提供在上述规定时间内进场演示的承诺函，如演示功能不完整或未提供演示，按虚假响应处理）。</w:t>
            </w:r>
          </w:p>
        </w:tc>
      </w:tr>
    </w:tbl>
    <w:p>
      <w:pPr>
        <w:pStyle w:val="null3"/>
      </w:pPr>
    </w:p>
    <w:p>
      <w:pPr>
        <w:pStyle w:val="null3"/>
      </w:pPr>
      <w:r>
        <w:rPr/>
        <w:t>标的名称：PLC智能配电柜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r>
              <w:rPr>
                <w:rFonts w:ascii="楷体" w:hAnsi="楷体" w:cs="楷体" w:eastAsia="楷体"/>
                <w:sz w:val="24"/>
              </w:rPr>
              <w:t>1.采用“分步延时上电”,避免大负载对电网瞬间冲击</w:t>
            </w:r>
            <w:r>
              <w:rPr>
                <w:rFonts w:ascii="楷体" w:hAnsi="楷体" w:cs="楷体" w:eastAsia="楷体"/>
                <w:sz w:val="24"/>
              </w:rPr>
              <w:t>；</w:t>
            </w:r>
          </w:p>
          <w:p>
            <w:pPr>
              <w:pStyle w:val="null3"/>
              <w:jc w:val="left"/>
            </w:pPr>
            <w:r>
              <w:rPr>
                <w:rFonts w:ascii="楷体" w:hAnsi="楷体" w:cs="楷体" w:eastAsia="楷体"/>
                <w:sz w:val="24"/>
              </w:rPr>
              <w:t>2.具有短路,断路,过流,过压以及漏电等多种保护功能</w:t>
            </w:r>
            <w:r>
              <w:rPr>
                <w:rFonts w:ascii="楷体" w:hAnsi="楷体" w:cs="楷体" w:eastAsia="楷体"/>
                <w:sz w:val="24"/>
              </w:rPr>
              <w:t>；</w:t>
            </w:r>
          </w:p>
          <w:p>
            <w:pPr>
              <w:pStyle w:val="null3"/>
              <w:jc w:val="left"/>
            </w:pPr>
            <w:r>
              <w:rPr>
                <w:rFonts w:ascii="楷体" w:hAnsi="楷体" w:cs="楷体" w:eastAsia="楷体"/>
                <w:sz w:val="24"/>
              </w:rPr>
              <w:t>3.具有远程控制功能,可远程启动紧急信号和查询电源工作情况,在控制室通过软件直接开,关显示屏</w:t>
            </w:r>
            <w:r>
              <w:rPr>
                <w:rFonts w:ascii="楷体" w:hAnsi="楷体" w:cs="楷体" w:eastAsia="楷体"/>
                <w:sz w:val="24"/>
              </w:rPr>
              <w:t>；</w:t>
            </w:r>
          </w:p>
          <w:p>
            <w:pPr>
              <w:pStyle w:val="null3"/>
              <w:jc w:val="left"/>
            </w:pPr>
            <w:r>
              <w:rPr>
                <w:rFonts w:ascii="楷体" w:hAnsi="楷体" w:cs="楷体" w:eastAsia="楷体"/>
                <w:sz w:val="24"/>
              </w:rPr>
              <w:t>4.</w:t>
            </w:r>
            <w:r>
              <w:rPr>
                <w:rFonts w:ascii="楷体" w:hAnsi="楷体" w:cs="楷体" w:eastAsia="楷体"/>
                <w:sz w:val="24"/>
              </w:rPr>
              <w:t>具有风机、空凋自启控制模块，当温度超过设定值自动开启，低于设定值自动关闭；</w:t>
            </w:r>
          </w:p>
          <w:p>
            <w:pPr>
              <w:pStyle w:val="null3"/>
              <w:jc w:val="both"/>
            </w:pPr>
            <w:r>
              <w:rPr>
                <w:rFonts w:ascii="楷体" w:hAnsi="楷体" w:cs="楷体" w:eastAsia="楷体"/>
                <w:sz w:val="24"/>
              </w:rPr>
              <w:t>5.</w:t>
            </w:r>
            <w:r>
              <w:rPr>
                <w:rFonts w:ascii="楷体" w:hAnsi="楷体" w:cs="楷体" w:eastAsia="楷体"/>
                <w:sz w:val="24"/>
              </w:rPr>
              <w:t>具有高温断电功能，当检测到</w:t>
            </w:r>
            <w:r>
              <w:rPr>
                <w:rFonts w:ascii="楷体" w:hAnsi="楷体" w:cs="楷体" w:eastAsia="楷体"/>
                <w:sz w:val="24"/>
              </w:rPr>
              <w:t>LED</w:t>
            </w:r>
            <w:r>
              <w:rPr>
                <w:rFonts w:ascii="楷体" w:hAnsi="楷体" w:cs="楷体" w:eastAsia="楷体"/>
                <w:sz w:val="24"/>
              </w:rPr>
              <w:t>显示内部温度达到设定值，自动关闭设备。</w:t>
            </w:r>
          </w:p>
        </w:tc>
      </w:tr>
    </w:tbl>
    <w:p>
      <w:pPr>
        <w:pStyle w:val="null3"/>
      </w:pPr>
    </w:p>
    <w:p>
      <w:pPr>
        <w:pStyle w:val="null3"/>
      </w:pPr>
      <w:r>
        <w:rPr/>
        <w:t>标的名称：钢结构及不锈钢装饰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both"/>
            </w:pPr>
            <w:r>
              <w:rPr>
                <w:rFonts w:ascii="楷体" w:hAnsi="楷体" w:cs="楷体" w:eastAsia="楷体"/>
                <w:color w:val="000000"/>
                <w:sz w:val="24"/>
              </w:rPr>
              <w:t>依据建筑规范，根据屏体及结构本身各项载荷，综合考虑当地自然环境，结合设备使用年限考虑</w:t>
            </w:r>
            <w:r>
              <w:rPr>
                <w:rFonts w:ascii="楷体" w:hAnsi="楷体" w:cs="楷体" w:eastAsia="楷体"/>
                <w:color w:val="000000"/>
                <w:sz w:val="24"/>
              </w:rPr>
              <w:t>50年一遇地震、洪水、暴风、雪灾等自然灾害等情况制作。采用镀锌钢材。</w:t>
            </w:r>
          </w:p>
        </w:tc>
      </w:tr>
    </w:tbl>
    <w:p>
      <w:pPr>
        <w:pStyle w:val="null3"/>
      </w:pPr>
    </w:p>
    <w:p>
      <w:pPr>
        <w:pStyle w:val="null3"/>
      </w:pPr>
      <w:r>
        <w:rPr/>
        <w:t>标的名称：综合布线及集成服务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r>
              <w:rPr>
                <w:rFonts w:ascii="楷体" w:hAnsi="楷体" w:cs="楷体" w:eastAsia="楷体"/>
                <w:sz w:val="24"/>
              </w:rPr>
              <w:t>1.</w:t>
            </w:r>
            <w:r>
              <w:rPr>
                <w:rFonts w:ascii="楷体" w:hAnsi="楷体" w:cs="楷体" w:eastAsia="楷体"/>
                <w:sz w:val="24"/>
              </w:rPr>
              <w:t>调试要求：须将本项目建设设备融入原有会议系统，实现统一控制管理。</w:t>
            </w:r>
          </w:p>
          <w:p>
            <w:pPr>
              <w:pStyle w:val="null3"/>
              <w:jc w:val="left"/>
            </w:pPr>
            <w:r>
              <w:rPr>
                <w:rFonts w:ascii="楷体" w:hAnsi="楷体" w:cs="楷体" w:eastAsia="楷体"/>
                <w:color w:val="000000"/>
                <w:sz w:val="24"/>
              </w:rPr>
              <w:t>2.包含集成所需的电源线、信号线、控制线、设备之间的跳线等，</w:t>
            </w:r>
          </w:p>
          <w:p>
            <w:pPr>
              <w:pStyle w:val="null3"/>
              <w:jc w:val="both"/>
            </w:pPr>
            <w:r>
              <w:rPr>
                <w:rFonts w:ascii="楷体" w:hAnsi="楷体" w:cs="楷体" w:eastAsia="楷体"/>
                <w:sz w:val="24"/>
              </w:rPr>
              <w:t>3.</w:t>
            </w:r>
            <w:r>
              <w:rPr>
                <w:rFonts w:ascii="楷体" w:hAnsi="楷体" w:cs="楷体" w:eastAsia="楷体"/>
                <w:color w:val="000000"/>
                <w:sz w:val="24"/>
              </w:rPr>
              <w:t>包含集成所需的管材、管件、设备安装所需的五金等配件</w:t>
            </w:r>
          </w:p>
          <w:p>
            <w:pPr>
              <w:pStyle w:val="null3"/>
              <w:jc w:val="both"/>
            </w:pPr>
            <w:r>
              <w:rPr>
                <w:rFonts w:ascii="楷体" w:hAnsi="楷体" w:cs="楷体" w:eastAsia="楷体"/>
                <w:sz w:val="24"/>
              </w:rPr>
              <w:t>4.</w:t>
            </w:r>
            <w:r>
              <w:rPr>
                <w:rFonts w:ascii="楷体" w:hAnsi="楷体" w:cs="楷体" w:eastAsia="楷体"/>
                <w:color w:val="000000"/>
                <w:sz w:val="24"/>
              </w:rPr>
              <w:t>包含集成所需的人工费、安装调试费、运费、二次搬运费、文明施工费等系统集成所需费用</w:t>
            </w:r>
          </w:p>
        </w:tc>
      </w:tr>
    </w:tbl>
    <w:p>
      <w:pPr>
        <w:pStyle w:val="null3"/>
      </w:pPr>
      <w:r>
        <w:rPr>
          <w:b/>
          <w:sz w:val="28"/>
        </w:rPr>
        <w:t>3.4商务要求</w:t>
      </w:r>
    </w:p>
    <w:p>
      <w:pPr>
        <w:pStyle w:val="null3"/>
      </w:pPr>
      <w:r>
        <w:rPr>
          <w:b/>
          <w:sz w:val="24"/>
        </w:rPr>
        <w:t>3.4.1交货时间</w:t>
      </w:r>
    </w:p>
    <w:p>
      <w:pPr>
        <w:pStyle w:val="null3"/>
      </w:pPr>
    </w:p>
    <w:p>
      <w:pPr>
        <w:pStyle w:val="null3"/>
      </w:pPr>
    </w:p>
    <w:p>
      <w:pPr>
        <w:pStyle w:val="null3"/>
      </w:pPr>
    </w:p>
    <w:p>
      <w:pPr>
        <w:pStyle w:val="null3"/>
      </w:pPr>
      <w:r>
        <w:rPr/>
        <w:t>采购包1：</w:t>
      </w:r>
    </w:p>
    <w:p>
      <w:pPr>
        <w:pStyle w:val="null3"/>
      </w:pPr>
      <w:r>
        <w:rPr/>
        <w:t>自合同签订之日起20日</w:t>
      </w:r>
    </w:p>
    <w:p>
      <w:pPr>
        <w:pStyle w:val="null3"/>
      </w:pPr>
    </w:p>
    <w:p>
      <w:pPr>
        <w:pStyle w:val="null3"/>
      </w:pPr>
      <w:r>
        <w:rPr/>
        <w:t>采购包2：</w:t>
      </w:r>
    </w:p>
    <w:p>
      <w:pPr>
        <w:pStyle w:val="null3"/>
      </w:pPr>
      <w:r>
        <w:rPr/>
        <w:t>自合同签订之日起30日</w:t>
      </w:r>
    </w:p>
    <w:p>
      <w:pPr>
        <w:pStyle w:val="null3"/>
      </w:pPr>
      <w:r>
        <w:rPr>
          <w:b/>
          <w:sz w:val="24"/>
        </w:rPr>
        <w:t>3.4.2交货地点</w:t>
      </w:r>
    </w:p>
    <w:p>
      <w:pPr>
        <w:pStyle w:val="null3"/>
      </w:pPr>
    </w:p>
    <w:p>
      <w:pPr>
        <w:pStyle w:val="null3"/>
      </w:pPr>
    </w:p>
    <w:p>
      <w:pPr>
        <w:pStyle w:val="null3"/>
      </w:pPr>
    </w:p>
    <w:p>
      <w:pPr>
        <w:pStyle w:val="null3"/>
      </w:pPr>
      <w:r>
        <w:rPr/>
        <w:t>采购包1：</w:t>
      </w:r>
    </w:p>
    <w:p>
      <w:pPr>
        <w:pStyle w:val="null3"/>
      </w:pPr>
      <w:r>
        <w:rPr/>
        <w:t>成都航空职业技术学院</w:t>
      </w:r>
    </w:p>
    <w:p>
      <w:pPr>
        <w:pStyle w:val="null3"/>
      </w:pPr>
    </w:p>
    <w:p>
      <w:pPr>
        <w:pStyle w:val="null3"/>
      </w:pPr>
      <w:r>
        <w:rPr/>
        <w:t>采购包2：</w:t>
      </w:r>
    </w:p>
    <w:p>
      <w:pPr>
        <w:pStyle w:val="null3"/>
      </w:pPr>
      <w:r>
        <w:rPr/>
        <w:t>成都航空职业技术学院</w:t>
      </w:r>
    </w:p>
    <w:p>
      <w:pPr>
        <w:pStyle w:val="null3"/>
      </w:pPr>
      <w:r>
        <w:rPr>
          <w:b/>
          <w:sz w:val="24"/>
        </w:rPr>
        <w:t>3.4.3支付方式</w:t>
      </w:r>
    </w:p>
    <w:p>
      <w:pPr>
        <w:pStyle w:val="null3"/>
      </w:pPr>
    </w:p>
    <w:p>
      <w:pPr>
        <w:pStyle w:val="null3"/>
      </w:pPr>
    </w:p>
    <w:p>
      <w:pPr>
        <w:pStyle w:val="null3"/>
      </w:pPr>
    </w:p>
    <w:p>
      <w:pPr>
        <w:pStyle w:val="null3"/>
      </w:pPr>
      <w:r>
        <w:rPr/>
        <w:t>采购包1：</w:t>
      </w:r>
    </w:p>
    <w:p>
      <w:pPr>
        <w:pStyle w:val="null3"/>
      </w:pPr>
      <w:r>
        <w:rPr/>
        <w:t>一次付清</w:t>
      </w:r>
    </w:p>
    <w:p>
      <w:pPr>
        <w:pStyle w:val="null3"/>
      </w:pPr>
    </w:p>
    <w:p>
      <w:pPr>
        <w:pStyle w:val="null3"/>
      </w:pPr>
      <w:r>
        <w:rPr/>
        <w:t>采购包2：</w:t>
      </w:r>
    </w:p>
    <w:p>
      <w:pPr>
        <w:pStyle w:val="null3"/>
      </w:pPr>
      <w:r>
        <w:rPr/>
        <w:t>一次付清</w:t>
      </w:r>
    </w:p>
    <w:p>
      <w:pPr>
        <w:pStyle w:val="null3"/>
      </w:pPr>
      <w:r>
        <w:rPr>
          <w:b/>
          <w:sz w:val="24"/>
        </w:rPr>
        <w:t>3.4.4支付约定</w:t>
      </w:r>
    </w:p>
    <w:p>
      <w:pPr>
        <w:pStyle w:val="null3"/>
      </w:pPr>
    </w:p>
    <w:p>
      <w:pPr>
        <w:pStyle w:val="null3"/>
      </w:pPr>
    </w:p>
    <w:p>
      <w:pPr>
        <w:pStyle w:val="null3"/>
      </w:pPr>
    </w:p>
    <w:p>
      <w:pPr>
        <w:pStyle w:val="null3"/>
      </w:pPr>
      <w:r>
        <w:rPr/>
        <w:t>采购包1：</w:t>
      </w:r>
      <w:r>
        <w:rPr/>
        <w:t>付款条件说明：</w:t>
      </w:r>
      <w:r>
        <w:rPr/>
        <w:t>货物送达，收到相关报账凭证审核通过后</w:t>
      </w:r>
      <w:r>
        <w:rPr/>
        <w:t>，达到付款条件起</w:t>
      </w:r>
      <w:r>
        <w:rPr/>
        <w:t>15</w:t>
      </w:r>
      <w:r>
        <w:rPr/>
        <w:t>日，支付合同总金额的</w:t>
      </w:r>
      <w:r>
        <w:rPr/>
        <w:t>100.00</w:t>
      </w:r>
      <w:r>
        <w:rPr/>
        <w:t>%。</w:t>
      </w:r>
    </w:p>
    <w:p>
      <w:pPr>
        <w:pStyle w:val="null3"/>
      </w:pPr>
    </w:p>
    <w:p>
      <w:pPr>
        <w:pStyle w:val="null3"/>
      </w:pPr>
      <w:r>
        <w:rPr/>
        <w:t>采购包2：</w:t>
      </w:r>
      <w:r>
        <w:rPr/>
        <w:t>付款条件说明：</w:t>
      </w:r>
      <w:r>
        <w:rPr/>
        <w:t>货物送达，收到相关报账凭证审核通过后</w:t>
      </w:r>
      <w:r>
        <w:rPr/>
        <w:t>，达到付款条件起</w:t>
      </w:r>
      <w:r>
        <w:rPr/>
        <w:t>15</w:t>
      </w:r>
      <w:r>
        <w:rPr/>
        <w:t>日，支付合同总金额的</w:t>
      </w:r>
      <w:r>
        <w:rPr/>
        <w:t>100.00</w:t>
      </w:r>
      <w:r>
        <w:rPr/>
        <w:t>%。</w:t>
      </w:r>
    </w:p>
    <w:p>
      <w:pPr>
        <w:pStyle w:val="null3"/>
      </w:pPr>
      <w:r>
        <w:rPr>
          <w:b/>
          <w:sz w:val="24"/>
        </w:rPr>
        <w:t>3.4.5验收标准和方法</w:t>
      </w:r>
    </w:p>
    <w:p>
      <w:pPr>
        <w:pStyle w:val="null3"/>
      </w:pPr>
    </w:p>
    <w:p>
      <w:pPr>
        <w:pStyle w:val="null3"/>
      </w:pPr>
    </w:p>
    <w:p>
      <w:pPr>
        <w:pStyle w:val="null3"/>
      </w:pPr>
    </w:p>
    <w:p>
      <w:pPr>
        <w:pStyle w:val="null3"/>
      </w:pPr>
      <w:r>
        <w:rPr/>
        <w:t>采购包1：</w:t>
      </w:r>
    </w:p>
    <w:p>
      <w:pPr>
        <w:pStyle w:val="null3"/>
      </w:pPr>
      <w:r>
        <w:rPr/>
        <w:t>按国家有关规定以及采购文件的质量要求，《财政部关于进一步加强政府采购需求和履约验收管理的指导意见》(财库〔2016〕205 号)的要求进行验收 知识产权归属和处理方式：根据采购合同约定 12）成本补偿和风险分担约定：根据采购合同约定 13）违约责任与解决争议的方法：根据采购合同约定 14）合同其他条款：根据采购合同约定 12、履约验收方案 1）验收组织方式：自行验收 2）是否邀请本项目的其他供应商：否 3）是否邀请专家：否 4）是否邀请服务对象：否 5）是否邀请第三方检测机构：否 6）履约验收程序：一次性验收 7）履约验收时间： 供应商提出验收申请之日起7日内组织验收 8）验收组织的其他事项：无 9）技术履约验收内容：根据采购文件中技术参数以及采购合同约定 10）商务履约验收内容：根据采购文件中商务要求以及采购合同约定 11）履约验收标准：根据采购合同约定 12）履约验收其他事项：无 五、风险控制措施和替代方案 该采购项目按照《政府采购需求管理办法》第二十五条规定，本项目是否需要组织风险判断、提出处置措施和替代方案：否</w:t>
      </w:r>
    </w:p>
    <w:p>
      <w:pPr>
        <w:pStyle w:val="null3"/>
      </w:pPr>
    </w:p>
    <w:p>
      <w:pPr>
        <w:pStyle w:val="null3"/>
      </w:pPr>
      <w:r>
        <w:rPr/>
        <w:t>采购包2：</w:t>
      </w:r>
    </w:p>
    <w:p>
      <w:pPr>
        <w:pStyle w:val="null3"/>
      </w:pPr>
      <w:r>
        <w:rPr/>
        <w:t>按国家有关规定以及采购文件的质量要求，《财政部关于进一步加强政府采购需求和履约验收管理的指导意见》(财库〔2016〕205 号)的要求进行验收 知识产权归属和处理方式：根据采购合同约定 12）成本补偿和风险分担约定：根据采购合同约定 13）违约责任与解决争议的方法：根据采购合同约定 14）合同其他条款：根据采购合同约定 12、履约验收方案 1）验收组织方式：自行验收 2）是否邀请本项目的其他供应商：否 3）是否邀请专家：否 4）是否邀请服务对象：否 5）是否邀请第三方检测机构：否 6）履约验收程序：一次性验收 7）履约验收时间： 供应商提出验收申请之日起7日内组织验收 8）验收组织的其他事项：无 9）技术履约验收内容：根据采购文件中技术参数以及采购合同约定 10）商务履约验收内容：根据采购文件中商务要求以及采购合同约定 11）履约验收标准：根据采购合同约定 12）履约验收其他事项：无 五、风险控制措施和替代方案 该采购项目按照《政府采购需求管理办法》第二十五条规定，本项目是否需要组织风险判断、提出处置措施和替代方案：否</w:t>
      </w:r>
    </w:p>
    <w:p>
      <w:pPr>
        <w:pStyle w:val="nul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质保期从终验合格之日起开始计算。本次采购项目所有货物及系统的质保期为 12 个月。</w:t>
      </w:r>
    </w:p>
    <w:p>
      <w:pPr>
        <w:pStyle w:val="null3"/>
      </w:pPr>
    </w:p>
    <w:p>
      <w:pPr>
        <w:pStyle w:val="null3"/>
      </w:pPr>
      <w:r>
        <w:rPr/>
        <w:t>采购包2：</w:t>
      </w:r>
    </w:p>
    <w:p>
      <w:pPr>
        <w:pStyle w:val="null3"/>
      </w:pPr>
      <w:r>
        <w:rPr/>
        <w:t>1)质保期一年：项目竣工验收合格之日起一年。 2投标人提供的售后服务承诺及方案应包括培训方案、售后人员、技术支持与服务方案、项目后续保障计划、保修方案。 3)投标人应有完善的技术支持与服务体系，专人负责与采购人联系售后服务事宜，必要的售后机具配置、具有专门固定的售后服务电话。 4)在保修期内设备出现质量问题，投标人应在接到通知后5分钟内作出相应，若需上门维修，须在2小时内到达现场，及时排除故障；如发生安全隐患必须在24小时内排除。产品出现问题且在24小时内无法修复，须提供相应的备机备件服务。 5)在保修期内每年至少提供两次巡检服务；</w:t>
      </w:r>
    </w:p>
    <w:p>
      <w:pPr>
        <w:pStyle w:val="nul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根据采购合同约定</w:t>
      </w:r>
    </w:p>
    <w:p>
      <w:pPr>
        <w:pStyle w:val="null3"/>
      </w:pPr>
    </w:p>
    <w:p>
      <w:pPr>
        <w:pStyle w:val="null3"/>
      </w:pPr>
      <w:r>
        <w:rPr/>
        <w:t>采购包2：</w:t>
      </w:r>
    </w:p>
    <w:p>
      <w:pPr>
        <w:pStyle w:val="null3"/>
      </w:pPr>
      <w:r>
        <w:rPr/>
        <w:t>根据采购合同约定</w:t>
      </w:r>
    </w:p>
    <w:p>
      <w:pPr>
        <w:pStyle w:val="null3"/>
        <w:jc w:val="left"/>
      </w:pPr>
      <w:r>
        <w:rPr>
          <w:b/>
          <w:sz w:val="24"/>
        </w:rPr>
        <w:t>3.5其他要求</w:t>
      </w:r>
    </w:p>
    <w:p>
      <w:pPr>
        <w:pStyle w:val="null3"/>
      </w:pPr>
    </w:p>
    <w:p>
      <w:pPr>
        <w:pStyle w:val="null3"/>
      </w:pPr>
    </w:p>
    <w:p>
      <w:pPr>
        <w:pStyle w:val="null3"/>
      </w:pPr>
      <w:r>
        <w:rPr/>
        <w:t>无</w:t>
      </w:r>
    </w:p>
    <w:p>
      <w:pPr>
        <w:pStyle w:val="null3"/>
      </w:pPr>
    </w:p>
    <w:p>
      <w:pPr>
        <w:pStyle w:val="null3"/>
      </w:pPr>
      <w:r>
        <w:rPr/>
        <w:t xml:space="preserve"> </w:t>
      </w:r>
    </w:p>
    <w:p>
      <w:pPr>
        <w:pStyle w:val="null3"/>
      </w:pPr>
      <w:r>
        <w:rPr>
          <w:b/>
          <w:sz w:val="36"/>
        </w:rPr>
        <w:t>第四章 询价方法</w:t>
      </w:r>
    </w:p>
    <w:p>
      <w:pPr>
        <w:pStyle w:val="null3"/>
      </w:pPr>
      <w:r>
        <w:rPr>
          <w:b/>
          <w:sz w:val="28"/>
        </w:rPr>
        <w:t>4.1总则</w:t>
      </w:r>
    </w:p>
    <w:p>
      <w:pPr>
        <w:pStyle w:val="null3"/>
        <w:ind w:firstLine="480"/>
      </w:pPr>
      <w:r>
        <w:rPr/>
        <w:t>一、根据《中华人民共和国政府采购法》《中华人民共和国政府采购法实施条例》《政府采购非招标采购方式管理办法》《四川省政府采购评审工作规程（修订）》等法律规章，结合采购项目特点制定本办法。</w:t>
      </w:r>
    </w:p>
    <w:p>
      <w:pPr>
        <w:pStyle w:val="null3"/>
        <w:ind w:firstLine="480"/>
      </w:pPr>
      <w:r>
        <w:rPr/>
        <w:t>二、评审工作由代理机构负责组织，具体评审事务由采购人和代理机构依法组建的询价小组负责。询价小组由采购人代表和评审专家组成。</w:t>
      </w:r>
    </w:p>
    <w:p>
      <w:pPr>
        <w:pStyle w:val="null3"/>
        <w:ind w:firstLine="480"/>
      </w:pPr>
      <w:r>
        <w:rPr/>
        <w:t>三、评审工作应遵循公平、公正、科学及择优的原则，并以相同的评审程序和标准对待所有的供应商。</w:t>
      </w:r>
    </w:p>
    <w:p>
      <w:pPr>
        <w:pStyle w:val="null3"/>
        <w:ind w:firstLine="480"/>
      </w:pPr>
      <w:r>
        <w:rPr/>
        <w:t>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t>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t>六、询价小组按照询价通知书规定的询价采购活动程序进行评审，并在采购活动中应当履行下列职责：</w:t>
      </w:r>
    </w:p>
    <w:p>
      <w:pPr>
        <w:pStyle w:val="null3"/>
        <w:ind w:firstLine="480"/>
      </w:pPr>
      <w:r>
        <w:rPr/>
        <w:t>（一）熟悉和理解询价通知书；</w:t>
      </w:r>
    </w:p>
    <w:p>
      <w:pPr>
        <w:pStyle w:val="null3"/>
        <w:ind w:firstLine="480"/>
      </w:pPr>
      <w:r>
        <w:rPr/>
        <w:t>（二）审查供应商响应文件等是否满足询价通知书要求，并作出评价；</w:t>
      </w:r>
    </w:p>
    <w:p>
      <w:pPr>
        <w:pStyle w:val="null3"/>
        <w:ind w:firstLine="480"/>
      </w:pPr>
      <w:r>
        <w:rPr/>
        <w:t>（三）根据需要要求采购组织单位对询价通知书作出解释；根据需要要求供应商对响应文件有关事项作出澄清、说明或者更正；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pPr>
      <w:r>
        <w:rPr/>
        <w:t>七、评审过程独立、保密。供应商非法干预评审过程的行为将导致其响应文件作为无效处理。</w:t>
      </w:r>
    </w:p>
    <w:p>
      <w:pPr>
        <w:pStyle w:val="null3"/>
        <w:ind w:firstLine="480"/>
      </w:pPr>
      <w:r>
        <w:rPr/>
        <w:t>八、询价小组决定响应文件的响应性依据响应文件本身的内容，而不寻求外部的证据，询价通知书有明确约定的除外。</w:t>
      </w:r>
    </w:p>
    <w:p>
      <w:pPr>
        <w:pStyle w:val="null3"/>
        <w:ind w:firstLine="480"/>
      </w:pPr>
      <w:r>
        <w:rPr/>
        <w:t>九、询价小组发现询价通知书表述不明确或需要说明的事项，可提请采购人和代理机构书面解释说明。</w:t>
      </w:r>
    </w:p>
    <w:p>
      <w:pPr>
        <w:pStyle w:val="null3"/>
      </w:pPr>
      <w:r>
        <w:rPr>
          <w:b/>
          <w:sz w:val="28"/>
        </w:rPr>
        <w:t>4.2询价小组组建</w:t>
      </w:r>
    </w:p>
    <w:p>
      <w:pPr>
        <w:pStyle w:val="null3"/>
        <w:ind w:firstLine="480"/>
      </w:pPr>
      <w:r>
        <w:rPr/>
        <w:t>本项目询价小组成员人数应为三人以上单数，其中评审专家不得少于成员总数的三分之二。采购预算金额达到公开招标数额标准的货物和服务采购项目，或者达到招标规模标准的政府采购工程，询价小组成员人数应为五人以上单数。评审专家是采取随机方式在采购一体化平台的专家库系统（以下简称专家库系统）抽取。技术复杂、专业性较强的采购项目，评审专家中应当包含1名法律专家。</w:t>
      </w:r>
    </w:p>
    <w:p>
      <w:pPr>
        <w:pStyle w:val="null3"/>
      </w:pPr>
      <w:r>
        <w:rPr>
          <w:b/>
          <w:sz w:val="28"/>
        </w:rPr>
        <w:t>4.3评审程序</w:t>
      </w:r>
    </w:p>
    <w:p>
      <w:pPr>
        <w:pStyle w:val="null3"/>
        <w:ind w:firstLine="480"/>
      </w:pPr>
      <w:r>
        <w:rPr/>
        <w:t>（一）熟悉和理解询价通知书和停止评审。</w:t>
      </w:r>
    </w:p>
    <w:p>
      <w:pPr>
        <w:pStyle w:val="null3"/>
        <w:ind w:firstLine="480"/>
      </w:pPr>
      <w:r>
        <w:rPr/>
        <w:t>1.询价小组正式评审前，应当对询价通知书进行熟悉和理解，内容主要包括询价通知书中供应商的采购项目技术、服务和商务要求、评审方法和标准以及可能涉及签订政府采购合同的内容等。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t>2.询价小组熟悉和理解询价通知书以及评审过程中，发现本询价通知书有下列情形之一的，询价小组应当停止评审：</w:t>
      </w:r>
    </w:p>
    <w:p>
      <w:pPr>
        <w:pStyle w:val="null3"/>
        <w:ind w:firstLine="480"/>
      </w:pPr>
      <w:r>
        <w:rPr/>
        <w:t>（一）询价通知书的规定存在歧义、重大缺陷的；</w:t>
      </w:r>
    </w:p>
    <w:p>
      <w:pPr>
        <w:pStyle w:val="null3"/>
        <w:ind w:firstLine="480"/>
      </w:pPr>
      <w:r>
        <w:rPr/>
        <w:t>（二）询价通知书明显以不合理条件对供应商实行差别待遇或者歧视待遇的；</w:t>
      </w:r>
    </w:p>
    <w:p>
      <w:pPr>
        <w:pStyle w:val="null3"/>
        <w:ind w:firstLine="480"/>
      </w:pPr>
      <w:r>
        <w:rPr/>
        <w:t>（三）采购项目属于国家规定的优先、强制采购范围，但是询价通知书未依法体现优先、强制采购相关规定的；</w:t>
      </w:r>
    </w:p>
    <w:p>
      <w:pPr>
        <w:pStyle w:val="null3"/>
        <w:ind w:firstLine="480"/>
      </w:pPr>
      <w:r>
        <w:rPr/>
        <w:t>（四）采购项目属于政府采购促进中小企业发展的范围，但是询价通知书未依法体现促进中小企业发展相关规定的；</w:t>
      </w:r>
    </w:p>
    <w:p>
      <w:pPr>
        <w:pStyle w:val="null3"/>
        <w:ind w:firstLine="480"/>
      </w:pPr>
      <w:r>
        <w:rPr/>
        <w:t>（五）询价通知书将供应商的资格条件列为评分因素的；</w:t>
      </w:r>
    </w:p>
    <w:p>
      <w:pPr>
        <w:pStyle w:val="null3"/>
        <w:ind w:firstLine="480"/>
      </w:pPr>
      <w:r>
        <w:rPr/>
        <w:t>（六）询价通知书载明的成交原则不合法的；</w:t>
      </w:r>
    </w:p>
    <w:p>
      <w:pPr>
        <w:pStyle w:val="null3"/>
        <w:ind w:firstLine="480"/>
      </w:pPr>
      <w:r>
        <w:rPr/>
        <w:t>（七）询价通知书有违反国家其他有关强制性规定的情形。</w:t>
      </w:r>
    </w:p>
    <w:p>
      <w:pPr>
        <w:pStyle w:val="null3"/>
        <w:ind w:firstLine="480"/>
        <w:jc w:val="left"/>
      </w:pPr>
      <w:r>
        <w:rPr/>
        <w:t>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t>出现上述应当停止评审情形的，采购组织单位应当通过项目电子化交易系统书面告知参加采购活动的供应商，并说明具体原因，同时在四川政府采购网公告。采购组织单位认为询价小组不应当停止评审的，可以通过项目电子化交易系统书面报告采购项目同级财政部门依法处理，并提供相关证明材料。</w:t>
      </w:r>
    </w:p>
    <w:p>
      <w:pPr>
        <w:pStyle w:val="null3"/>
      </w:pPr>
      <w:r>
        <w:rPr>
          <w:b/>
          <w:sz w:val="24"/>
        </w:rPr>
        <w:t>4.3.1资格审查</w:t>
      </w:r>
    </w:p>
    <w:p>
      <w:pPr>
        <w:pStyle w:val="null3"/>
      </w:pPr>
    </w:p>
    <w:p>
      <w:pPr>
        <w:pStyle w:val="null3"/>
      </w:pPr>
    </w:p>
    <w:p>
      <w:pPr>
        <w:pStyle w:val="null3"/>
        <w:ind w:firstLine="480"/>
      </w:pPr>
      <w:r>
        <w:rPr/>
        <w:t>响应文件提交截止时间结束后，由询价小组依据法律法规和询价通知书的规定，对响应文件中的资格证明等进行审查，以确定被邀请参加询价采购活动的供应商名单并出具资格审查报告。</w:t>
      </w:r>
    </w:p>
    <w:p>
      <w:pPr>
        <w:pStyle w:val="null3"/>
      </w:pPr>
      <w:r>
        <w:rPr>
          <w:b/>
          <w:sz w:val="24"/>
        </w:rPr>
        <w:t>4.3.1.1一般资格审查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资格审查要求概况</w:t>
            </w:r>
          </w:p>
        </w:tc>
        <w:tc>
          <w:tcPr>
            <w:tcW w:type="dxa" w:w="3322"/>
          </w:tcPr>
          <w:p>
            <w:r>
              <w:rPr/>
              <w:t>评审点具体描述</w:t>
            </w:r>
          </w:p>
        </w:tc>
        <w:tc>
          <w:tcPr>
            <w:tcW w:type="dxa" w:w="1661"/>
          </w:tcPr>
          <w:p>
            <w:r>
              <w:rPr/>
              <w:t>关联格式</w:t>
            </w:r>
          </w:p>
        </w:tc>
      </w:tr>
      <w:tr>
        <w:tc>
          <w:tcPr>
            <w:tcW w:type="dxa" w:w="831"/>
          </w:tcPr>
          <w:p>
            <w:r>
              <w:rPr/>
              <w:t>1</w:t>
            </w:r>
          </w:p>
        </w:tc>
        <w:tc>
          <w:tcPr>
            <w:tcW w:type="dxa" w:w="2492"/>
          </w:tcPr>
          <w:p>
            <w:r>
              <w:rPr/>
              <w:t>具有独立承担民事责任的能力。</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2</w:t>
            </w:r>
          </w:p>
        </w:tc>
        <w:tc>
          <w:tcPr>
            <w:tcW w:type="dxa" w:w="2492"/>
          </w:tcPr>
          <w:p>
            <w:r>
              <w:rPr/>
              <w:t>具有良好的商业信誉</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3</w:t>
            </w:r>
          </w:p>
        </w:tc>
        <w:tc>
          <w:tcPr>
            <w:tcW w:type="dxa" w:w="2492"/>
          </w:tcPr>
          <w:p>
            <w:r>
              <w:rPr/>
              <w:t>具有健全的财务会计制度。</w:t>
            </w:r>
          </w:p>
        </w:tc>
        <w:tc>
          <w:tcPr>
            <w:tcW w:type="dxa" w:w="3322"/>
          </w:tcPr>
          <w:p>
            <w:r>
              <w:rPr/>
              <w:t>供应商需在项目电子化交易系统中按要求填写《投标（响应）函》完成承诺并进行电子签章。{如需提供其他材料，需代理机构手动填写具体要求并关联相应格式要求，以下是样例：供应商财务状况证明材料包括采购代理机构在采购文件中明确需要供应商提供的财务状况证明材料。如2021年或2022年度经审计的财务报告（包含审计报告和审计报告中所涉及的财务报表和报表附注）；2021年或X2022年度供应商完整的全套财务报表（应当包括资产负债表、利润表、现金流量表、）；截至响应文件提交截止之日前一年内银行出具的资信证明；供应商注册时间截至响应文件提交截止之日前不足一年的，也可提供在相关主管部门备案的公司章程等证明材料。供应商需在项目电子化交易系统中按要求上传相应证明文件并进行电子签章。}</w:t>
            </w:r>
          </w:p>
        </w:tc>
        <w:tc>
          <w:tcPr>
            <w:tcW w:type="dxa" w:w="1661"/>
          </w:tcPr>
          <w:p>
            <w:r>
              <w:rPr/>
              <w:t>供应商应提交的相关资格证明材料</w:t>
            </w:r>
          </w:p>
        </w:tc>
      </w:tr>
      <w:tr>
        <w:tc>
          <w:tcPr>
            <w:tcW w:type="dxa" w:w="831"/>
          </w:tcPr>
          <w:p>
            <w:r>
              <w:rPr/>
              <w:t>4</w:t>
            </w:r>
          </w:p>
        </w:tc>
        <w:tc>
          <w:tcPr>
            <w:tcW w:type="dxa" w:w="2492"/>
          </w:tcPr>
          <w:p>
            <w:r>
              <w:rPr/>
              <w:t>具有履行合同所必需的设备和专业技术能力。</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5</w:t>
            </w:r>
          </w:p>
        </w:tc>
        <w:tc>
          <w:tcPr>
            <w:tcW w:type="dxa" w:w="2492"/>
          </w:tcPr>
          <w:p>
            <w:r>
              <w:rPr/>
              <w:t>有依法缴纳税收和社会保障资金的良好记录。</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6</w:t>
            </w:r>
          </w:p>
        </w:tc>
        <w:tc>
          <w:tcPr>
            <w:tcW w:type="dxa" w:w="2492"/>
          </w:tcPr>
          <w:p>
            <w:r>
              <w:rPr/>
              <w:t>参加政府采购活动前三年内，在经营活动中没有重大违法记录。</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7</w:t>
            </w:r>
          </w:p>
        </w:tc>
        <w:tc>
          <w:tcPr>
            <w:tcW w:type="dxa" w:w="2492"/>
          </w:tcPr>
          <w:p>
            <w:r>
              <w:rPr/>
              <w:t>不存在与单位负责人为同一人或者存在直接控股、管理关系的其他供应商参与同一合同项下的政府采购活动的行为。</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8</w:t>
            </w:r>
          </w:p>
        </w:tc>
        <w:tc>
          <w:tcPr>
            <w:tcW w:type="dxa" w:w="2492"/>
          </w:tcPr>
          <w:p>
            <w:r>
              <w:rPr/>
              <w:t>不属于为本项目提供整体设计、规范编制或者项目管理、监理、检测等服务的供应商。</w:t>
            </w:r>
          </w:p>
        </w:tc>
        <w:tc>
          <w:tcPr>
            <w:tcW w:type="dxa" w:w="3322"/>
          </w:tcPr>
          <w:p>
            <w:r>
              <w:rPr/>
              <w:t>供应商需在项目电子化交易系统中按要求填写《投标（响应）函》完成承诺并进行电子签章。</w:t>
            </w:r>
          </w:p>
        </w:tc>
        <w:tc>
          <w:tcPr>
            <w:tcW w:type="dxa" w:w="1661"/>
          </w:tcPr>
          <w:p>
            <w:r>
              <w:rPr/>
              <w:t>投标（响应）函</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资格审查要求概况</w:t>
            </w:r>
          </w:p>
        </w:tc>
        <w:tc>
          <w:tcPr>
            <w:tcW w:type="dxa" w:w="3322"/>
          </w:tcPr>
          <w:p>
            <w:r>
              <w:rPr/>
              <w:t>评审点具体描述</w:t>
            </w:r>
          </w:p>
        </w:tc>
        <w:tc>
          <w:tcPr>
            <w:tcW w:type="dxa" w:w="1661"/>
          </w:tcPr>
          <w:p>
            <w:r>
              <w:rPr/>
              <w:t>关联格式</w:t>
            </w:r>
          </w:p>
        </w:tc>
      </w:tr>
      <w:tr>
        <w:tc>
          <w:tcPr>
            <w:tcW w:type="dxa" w:w="831"/>
          </w:tcPr>
          <w:p>
            <w:r>
              <w:rPr/>
              <w:t>1</w:t>
            </w:r>
          </w:p>
        </w:tc>
        <w:tc>
          <w:tcPr>
            <w:tcW w:type="dxa" w:w="2492"/>
          </w:tcPr>
          <w:p>
            <w:r>
              <w:rPr/>
              <w:t>具有独立承担民事责任的能力。</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2</w:t>
            </w:r>
          </w:p>
        </w:tc>
        <w:tc>
          <w:tcPr>
            <w:tcW w:type="dxa" w:w="2492"/>
          </w:tcPr>
          <w:p>
            <w:r>
              <w:rPr/>
              <w:t>具有良好的商业信誉</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3</w:t>
            </w:r>
          </w:p>
        </w:tc>
        <w:tc>
          <w:tcPr>
            <w:tcW w:type="dxa" w:w="2492"/>
          </w:tcPr>
          <w:p>
            <w:r>
              <w:rPr/>
              <w:t>具有健全的财务会计制度。</w:t>
            </w:r>
          </w:p>
        </w:tc>
        <w:tc>
          <w:tcPr>
            <w:tcW w:type="dxa" w:w="3322"/>
          </w:tcPr>
          <w:p>
            <w:r>
              <w:rPr/>
              <w:t>供应商需在项目电子化交易系统中按要求填写《投标（响应）函》完成承诺并进行电子签章。{如需提供其他材料，需代理机构手动填写具体要求并关联相应格式要求，以下是样例：供应商财务状况证明材料包括采购代理机构在采购文件中明确需要供应商提供的财务状况证明材料。如2021年或2022年度经审计的财务报告（包含审计报告和审计报告中所涉及的财务报表和报表附注）；2021年或2022年度供应商完整的全套财务报表（应当包括资产负债表、利润表、现金流量表、）；截至响应文件提交截止之日前一年内银行出具的资信证明；供应商注册时间截至响应文件提交截止之日前不足一年的，也可提供在相关主管部门备案的公司章程等证明材料。供应商需在项目电子化交易系统中按要求上传相应证明文件并进行电子签章。}</w:t>
            </w:r>
          </w:p>
        </w:tc>
        <w:tc>
          <w:tcPr>
            <w:tcW w:type="dxa" w:w="1661"/>
          </w:tcPr>
          <w:p>
            <w:r>
              <w:rPr/>
              <w:t>供应商应提交的相关资格证明材料</w:t>
            </w:r>
          </w:p>
        </w:tc>
      </w:tr>
      <w:tr>
        <w:tc>
          <w:tcPr>
            <w:tcW w:type="dxa" w:w="831"/>
          </w:tcPr>
          <w:p>
            <w:r>
              <w:rPr/>
              <w:t>4</w:t>
            </w:r>
          </w:p>
        </w:tc>
        <w:tc>
          <w:tcPr>
            <w:tcW w:type="dxa" w:w="2492"/>
          </w:tcPr>
          <w:p>
            <w:r>
              <w:rPr/>
              <w:t>具有履行合同所必需的设备和专业技术能力。</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5</w:t>
            </w:r>
          </w:p>
        </w:tc>
        <w:tc>
          <w:tcPr>
            <w:tcW w:type="dxa" w:w="2492"/>
          </w:tcPr>
          <w:p>
            <w:r>
              <w:rPr/>
              <w:t>有依法缴纳税收和社会保障资金的良好记录。</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6</w:t>
            </w:r>
          </w:p>
        </w:tc>
        <w:tc>
          <w:tcPr>
            <w:tcW w:type="dxa" w:w="2492"/>
          </w:tcPr>
          <w:p>
            <w:r>
              <w:rPr/>
              <w:t>参加政府采购活动前三年内，在经营活动中没有重大违法记录。</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7</w:t>
            </w:r>
          </w:p>
        </w:tc>
        <w:tc>
          <w:tcPr>
            <w:tcW w:type="dxa" w:w="2492"/>
          </w:tcPr>
          <w:p>
            <w:r>
              <w:rPr/>
              <w:t>不存在与单位负责人为同一人或者存在直接控股、管理关系的其他供应商参与同一合同项下的政府采购活动的行为。</w:t>
            </w:r>
          </w:p>
        </w:tc>
        <w:tc>
          <w:tcPr>
            <w:tcW w:type="dxa" w:w="3322"/>
          </w:tcPr>
          <w:p>
            <w:r>
              <w:rPr/>
              <w:t>供应商需在项目电子化交易系统中按要求填写《投标（响应）函》完成承诺并进行电子签章。</w:t>
            </w:r>
          </w:p>
        </w:tc>
        <w:tc>
          <w:tcPr>
            <w:tcW w:type="dxa" w:w="1661"/>
          </w:tcPr>
          <w:p>
            <w:r>
              <w:rPr/>
              <w:t>投标（响应）函</w:t>
            </w:r>
          </w:p>
        </w:tc>
      </w:tr>
      <w:tr>
        <w:tc>
          <w:tcPr>
            <w:tcW w:type="dxa" w:w="831"/>
          </w:tcPr>
          <w:p>
            <w:r>
              <w:rPr/>
              <w:t>8</w:t>
            </w:r>
          </w:p>
        </w:tc>
        <w:tc>
          <w:tcPr>
            <w:tcW w:type="dxa" w:w="2492"/>
          </w:tcPr>
          <w:p>
            <w:r>
              <w:rPr/>
              <w:t>不属于为本项目提供整体设计、规范编制或者项目管理、监理、检测等服务的供应商。</w:t>
            </w:r>
          </w:p>
        </w:tc>
        <w:tc>
          <w:tcPr>
            <w:tcW w:type="dxa" w:w="3322"/>
          </w:tcPr>
          <w:p>
            <w:r>
              <w:rPr/>
              <w:t>供应商需在项目电子化交易系统中按要求填写《投标（响应）函》完成承诺并进行电子签章。</w:t>
            </w:r>
          </w:p>
        </w:tc>
        <w:tc>
          <w:tcPr>
            <w:tcW w:type="dxa" w:w="1661"/>
          </w:tcPr>
          <w:p>
            <w:r>
              <w:rPr/>
              <w:t>投标（响应）函</w:t>
            </w:r>
          </w:p>
        </w:tc>
      </w:tr>
    </w:tbl>
    <w:p>
      <w:pPr>
        <w:pStyle w:val="null3"/>
      </w:pPr>
      <w:r>
        <w:rPr>
          <w:b/>
          <w:sz w:val="24"/>
        </w:rPr>
        <w:t>4.3.1.2特殊资格审查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资格审查要求概况</w:t>
            </w:r>
          </w:p>
        </w:tc>
        <w:tc>
          <w:tcPr>
            <w:tcW w:type="dxa" w:w="3322"/>
          </w:tcPr>
          <w:p>
            <w:r>
              <w:rPr/>
              <w:t>评审点具体描述</w:t>
            </w:r>
          </w:p>
        </w:tc>
        <w:tc>
          <w:tcPr>
            <w:tcW w:type="dxa" w:w="1661"/>
          </w:tcPr>
          <w:p>
            <w:r>
              <w:rPr/>
              <w:t>关联格式</w:t>
            </w:r>
          </w:p>
        </w:tc>
      </w:tr>
      <w:tr>
        <w:tc>
          <w:tcPr>
            <w:tcW w:type="dxa" w:w="8306"/>
            <w:gridSpan w:val="4"/>
          </w:tcPr>
          <w:p>
            <w:r>
              <w:rPr/>
              <w:t>无</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资格审查要求概况</w:t>
            </w:r>
          </w:p>
        </w:tc>
        <w:tc>
          <w:tcPr>
            <w:tcW w:type="dxa" w:w="3322"/>
          </w:tcPr>
          <w:p>
            <w:r>
              <w:rPr/>
              <w:t>评审点具体描述</w:t>
            </w:r>
          </w:p>
        </w:tc>
        <w:tc>
          <w:tcPr>
            <w:tcW w:type="dxa" w:w="1661"/>
          </w:tcPr>
          <w:p>
            <w:r>
              <w:rPr/>
              <w:t>关联格式</w:t>
            </w:r>
          </w:p>
        </w:tc>
      </w:tr>
      <w:tr>
        <w:tc>
          <w:tcPr>
            <w:tcW w:type="dxa" w:w="8306"/>
            <w:gridSpan w:val="4"/>
          </w:tcPr>
          <w:p>
            <w:r>
              <w:rPr/>
              <w:t>无</w:t>
            </w:r>
          </w:p>
        </w:tc>
      </w:tr>
    </w:tbl>
    <w:p>
      <w:pPr>
        <w:pStyle w:val="null3"/>
      </w:pPr>
      <w:r>
        <w:rPr>
          <w:b/>
          <w:sz w:val="24"/>
        </w:rPr>
        <w:t>4.3.1.3落实政府采购政策资格审查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资格审查要求概况</w:t>
            </w:r>
          </w:p>
        </w:tc>
        <w:tc>
          <w:tcPr>
            <w:tcW w:type="dxa" w:w="3322"/>
          </w:tcPr>
          <w:p>
            <w:r>
              <w:rPr/>
              <w:t>评审点具体描述</w:t>
            </w:r>
          </w:p>
        </w:tc>
        <w:tc>
          <w:tcPr>
            <w:tcW w:type="dxa" w:w="1661"/>
          </w:tcPr>
          <w:p>
            <w:r>
              <w:rPr/>
              <w:t>关联格式</w:t>
            </w:r>
          </w:p>
        </w:tc>
      </w:tr>
      <w:tr>
        <w:tc>
          <w:tcPr>
            <w:tcW w:type="dxa" w:w="8306"/>
            <w:gridSpan w:val="4"/>
          </w:tcPr>
          <w:p>
            <w:r>
              <w:rPr/>
              <w:t>无</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资格审查要求概况</w:t>
            </w:r>
          </w:p>
        </w:tc>
        <w:tc>
          <w:tcPr>
            <w:tcW w:type="dxa" w:w="3322"/>
          </w:tcPr>
          <w:p>
            <w:r>
              <w:rPr/>
              <w:t>评审点具体描述</w:t>
            </w:r>
          </w:p>
        </w:tc>
        <w:tc>
          <w:tcPr>
            <w:tcW w:type="dxa" w:w="1661"/>
          </w:tcPr>
          <w:p>
            <w:r>
              <w:rPr/>
              <w:t>关联格式</w:t>
            </w:r>
          </w:p>
        </w:tc>
      </w:tr>
      <w:tr>
        <w:tc>
          <w:tcPr>
            <w:tcW w:type="dxa" w:w="8306"/>
            <w:gridSpan w:val="4"/>
          </w:tcPr>
          <w:p>
            <w:r>
              <w:rPr/>
              <w:t>无</w:t>
            </w:r>
          </w:p>
        </w:tc>
      </w:tr>
    </w:tbl>
    <w:p>
      <w:pPr>
        <w:pStyle w:val="null3"/>
      </w:pPr>
      <w:r>
        <w:rPr>
          <w:b/>
          <w:sz w:val="24"/>
        </w:rPr>
        <w:t>4.3.2符合性审查</w:t>
      </w:r>
    </w:p>
    <w:p>
      <w:pPr>
        <w:pStyle w:val="null3"/>
        <w:ind w:firstLine="480"/>
      </w:pPr>
      <w:r>
        <w:rPr/>
        <w:t>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t>符合性审查标准见下表（按以下顺序审查）：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符合审查要求概况</w:t>
            </w:r>
          </w:p>
        </w:tc>
        <w:tc>
          <w:tcPr>
            <w:tcW w:type="dxa" w:w="3322"/>
          </w:tcPr>
          <w:p>
            <w:r>
              <w:rPr/>
              <w:t>评审点具体描述</w:t>
            </w:r>
          </w:p>
        </w:tc>
        <w:tc>
          <w:tcPr>
            <w:tcW w:type="dxa" w:w="1661"/>
          </w:tcPr>
          <w:p>
            <w:r>
              <w:rPr/>
              <w:t>关联格式</w:t>
            </w:r>
          </w:p>
        </w:tc>
      </w:tr>
      <w:tr>
        <w:tc>
          <w:tcPr>
            <w:tcW w:type="dxa" w:w="831"/>
          </w:tcPr>
          <w:p>
            <w:r>
              <w:rPr/>
              <w:t>1</w:t>
            </w:r>
          </w:p>
        </w:tc>
        <w:tc>
          <w:tcPr>
            <w:tcW w:type="dxa" w:w="2492"/>
          </w:tcPr>
          <w:p>
            <w:r>
              <w:rPr/>
              <w:t>符合询价通知书的实质性要求</w:t>
            </w:r>
          </w:p>
        </w:tc>
        <w:tc>
          <w:tcPr>
            <w:tcW w:type="dxa" w:w="3322"/>
          </w:tcPr>
          <w:p>
            <w:r>
              <w:rPr/>
              <w:t>供应商按照询价通知书要求上传响应文件</w:t>
            </w:r>
          </w:p>
        </w:tc>
        <w:tc>
          <w:tcPr>
            <w:tcW w:type="dxa" w:w="1661"/>
          </w:tcPr>
          <w:p>
            <w:r>
              <w:rPr/>
              <w:t>响应文件封面 产品技术参数响应表 商务应答表</w:t>
            </w:r>
          </w:p>
        </w:tc>
      </w:tr>
      <w:tr>
        <w:tc>
          <w:tcPr>
            <w:tcW w:type="dxa" w:w="831"/>
          </w:tcPr>
          <w:p>
            <w:r>
              <w:rPr/>
              <w:t>2</w:t>
            </w:r>
          </w:p>
        </w:tc>
        <w:tc>
          <w:tcPr>
            <w:tcW w:type="dxa" w:w="2492"/>
          </w:tcPr>
          <w:p>
            <w:r>
              <w:rPr/>
              <w:t>不正当竞争预防措施（实质性要求）</w:t>
            </w:r>
          </w:p>
        </w:tc>
        <w:tc>
          <w:tcPr>
            <w:tcW w:type="dxa" w:w="3322"/>
          </w:tcPr>
          <w:p>
            <w:r>
              <w:rPr/>
              <w:t>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注：供应商报价低于最高限价50%或者低于其他有效供应商报价算术平均价40%的，询价小组可以认为该供应商“报价明显低于其他实质性响应的供应商报价”。）</w:t>
            </w:r>
          </w:p>
        </w:tc>
        <w:tc>
          <w:tcPr>
            <w:tcW w:type="dxa" w:w="1661"/>
          </w:tcPr>
          <w:p>
            <w:r>
              <w:rPr/>
              <w:t>响应文件封面 分项报价表 报价表</w:t>
            </w:r>
          </w:p>
        </w:tc>
      </w:tr>
      <w:tr>
        <w:tc>
          <w:tcPr>
            <w:tcW w:type="dxa" w:w="831"/>
          </w:tcPr>
          <w:p>
            <w:r>
              <w:rPr/>
              <w:t>3</w:t>
            </w:r>
          </w:p>
        </w:tc>
        <w:tc>
          <w:tcPr>
            <w:tcW w:type="dxa" w:w="2492"/>
          </w:tcPr>
          <w:p>
            <w:r>
              <w:rPr/>
              <w:t>不属于询价通知书规定的无效情形</w:t>
            </w:r>
          </w:p>
        </w:tc>
        <w:tc>
          <w:tcPr>
            <w:tcW w:type="dxa" w:w="3322"/>
          </w:tcPr>
          <w:p>
            <w:r>
              <w:rPr/>
              <w:t>供应商按照询价通知书要求上传响应文件</w:t>
            </w:r>
          </w:p>
        </w:tc>
        <w:tc>
          <w:tcPr>
            <w:tcW w:type="dxa" w:w="1661"/>
          </w:tcPr>
          <w:p>
            <w:r>
              <w:rPr/>
              <w:t>响应文件封面 其他证明材料</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符合审查要求概况</w:t>
            </w:r>
          </w:p>
        </w:tc>
        <w:tc>
          <w:tcPr>
            <w:tcW w:type="dxa" w:w="3322"/>
          </w:tcPr>
          <w:p>
            <w:r>
              <w:rPr/>
              <w:t>评审点具体描述</w:t>
            </w:r>
          </w:p>
        </w:tc>
        <w:tc>
          <w:tcPr>
            <w:tcW w:type="dxa" w:w="1661"/>
          </w:tcPr>
          <w:p>
            <w:r>
              <w:rPr/>
              <w:t>关联格式</w:t>
            </w:r>
          </w:p>
        </w:tc>
      </w:tr>
      <w:tr>
        <w:tc>
          <w:tcPr>
            <w:tcW w:type="dxa" w:w="831"/>
          </w:tcPr>
          <w:p>
            <w:r>
              <w:rPr/>
              <w:t>1</w:t>
            </w:r>
          </w:p>
        </w:tc>
        <w:tc>
          <w:tcPr>
            <w:tcW w:type="dxa" w:w="2492"/>
          </w:tcPr>
          <w:p>
            <w:r>
              <w:rPr/>
              <w:t>符合询价通知书的实质性要求</w:t>
            </w:r>
          </w:p>
        </w:tc>
        <w:tc>
          <w:tcPr>
            <w:tcW w:type="dxa" w:w="3322"/>
          </w:tcPr>
          <w:p>
            <w:r>
              <w:rPr/>
              <w:t>供应商按照询价通知书要求上传响应文件</w:t>
            </w:r>
          </w:p>
        </w:tc>
        <w:tc>
          <w:tcPr>
            <w:tcW w:type="dxa" w:w="1661"/>
          </w:tcPr>
          <w:p>
            <w:r>
              <w:rPr/>
              <w:t>响应文件封面 产品技术参数响应表 商务应答表</w:t>
            </w:r>
          </w:p>
        </w:tc>
      </w:tr>
      <w:tr>
        <w:tc>
          <w:tcPr>
            <w:tcW w:type="dxa" w:w="831"/>
          </w:tcPr>
          <w:p>
            <w:r>
              <w:rPr/>
              <w:t>2</w:t>
            </w:r>
          </w:p>
        </w:tc>
        <w:tc>
          <w:tcPr>
            <w:tcW w:type="dxa" w:w="2492"/>
          </w:tcPr>
          <w:p>
            <w:r>
              <w:rPr/>
              <w:t>不正当竞争预防措施（实质性要求）</w:t>
            </w:r>
          </w:p>
        </w:tc>
        <w:tc>
          <w:tcPr>
            <w:tcW w:type="dxa" w:w="3322"/>
          </w:tcPr>
          <w:p>
            <w:r>
              <w:rPr/>
              <w:t>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注：供应商报价低于最高限价50%或者低于其他有效供应商报价算术平均价40%的，询价小组可以认为该供应商“报价明显低于其他实质性响应的供应商报价”。）</w:t>
            </w:r>
          </w:p>
        </w:tc>
        <w:tc>
          <w:tcPr>
            <w:tcW w:type="dxa" w:w="1661"/>
          </w:tcPr>
          <w:p>
            <w:r>
              <w:rPr/>
              <w:t>分项报价表 报价表</w:t>
            </w:r>
          </w:p>
        </w:tc>
      </w:tr>
      <w:tr>
        <w:tc>
          <w:tcPr>
            <w:tcW w:type="dxa" w:w="831"/>
          </w:tcPr>
          <w:p>
            <w:r>
              <w:rPr/>
              <w:t>3</w:t>
            </w:r>
          </w:p>
        </w:tc>
        <w:tc>
          <w:tcPr>
            <w:tcW w:type="dxa" w:w="2492"/>
          </w:tcPr>
          <w:p>
            <w:r>
              <w:rPr/>
              <w:t>不属于询价通知书规定的无效情形</w:t>
            </w:r>
          </w:p>
        </w:tc>
        <w:tc>
          <w:tcPr>
            <w:tcW w:type="dxa" w:w="3322"/>
          </w:tcPr>
          <w:p>
            <w:r>
              <w:rPr/>
              <w:t>供应商按照询价通知书要求上传响应文件</w:t>
            </w:r>
          </w:p>
        </w:tc>
        <w:tc>
          <w:tcPr>
            <w:tcW w:type="dxa" w:w="1661"/>
          </w:tcPr>
          <w:p>
            <w:r>
              <w:rPr/>
              <w:t>响应文件封面 其他证明材料</w:t>
            </w:r>
          </w:p>
        </w:tc>
      </w:tr>
    </w:tbl>
    <w:p>
      <w:pPr>
        <w:pStyle w:val="null3"/>
      </w:pPr>
      <w:r>
        <w:rPr>
          <w:b/>
          <w:sz w:val="24"/>
        </w:rPr>
        <w:t>4.3.3价格扣除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r>
              <w:rPr/>
              <w:t>序号</w:t>
            </w:r>
          </w:p>
        </w:tc>
        <w:tc>
          <w:tcPr>
            <w:tcW w:type="dxa" w:w="1661"/>
          </w:tcPr>
          <w:p>
            <w:r>
              <w:rPr/>
              <w:t>情形</w:t>
            </w:r>
          </w:p>
        </w:tc>
        <w:tc>
          <w:tcPr>
            <w:tcW w:type="dxa" w:w="1661"/>
          </w:tcPr>
          <w:p>
            <w:r>
              <w:rPr/>
              <w:t>适用对象</w:t>
            </w:r>
          </w:p>
        </w:tc>
        <w:tc>
          <w:tcPr>
            <w:tcW w:type="dxa" w:w="831"/>
          </w:tcPr>
          <w:p>
            <w:r>
              <w:rPr/>
              <w:t>比例</w:t>
            </w:r>
          </w:p>
        </w:tc>
        <w:tc>
          <w:tcPr>
            <w:tcW w:type="dxa" w:w="1661"/>
          </w:tcPr>
          <w:p>
            <w:r>
              <w:rPr/>
              <w:t>说明</w:t>
            </w:r>
          </w:p>
        </w:tc>
        <w:tc>
          <w:tcPr>
            <w:tcW w:type="dxa" w:w="1661"/>
          </w:tcPr>
          <w:p>
            <w:r>
              <w:rPr/>
              <w:t>关联格式</w:t>
            </w:r>
          </w:p>
        </w:tc>
      </w:tr>
      <w:tr>
        <w:tc>
          <w:tcPr>
            <w:tcW w:type="dxa" w:w="831"/>
          </w:tcPr>
          <w:p>
            <w:r>
              <w:rPr/>
              <w:t>1</w:t>
            </w:r>
          </w:p>
        </w:tc>
        <w:tc>
          <w:tcPr>
            <w:tcW w:type="dxa" w:w="1661"/>
          </w:tcPr>
          <w:p>
            <w:r>
              <w:rPr/>
              <w:t>小型、微型企业，监狱企业，残疾人福利性单位</w:t>
            </w:r>
          </w:p>
        </w:tc>
        <w:tc>
          <w:tcPr>
            <w:tcW w:type="dxa" w:w="1661"/>
          </w:tcPr>
          <w:p>
            <w:r>
              <w:rPr/>
              <w:t>投标人或联合体成员均为小型、微型企业</w:t>
            </w:r>
          </w:p>
        </w:tc>
        <w:tc>
          <w:tcPr>
            <w:tcW w:type="dxa" w:w="831"/>
          </w:tcPr>
          <w:p>
            <w:pPr>
              <w:jc w:val="right"/>
            </w:pPr>
            <w:r>
              <w:rPr/>
              <w:t>20.00%</w:t>
            </w:r>
          </w:p>
        </w:tc>
        <w:tc>
          <w:tcPr>
            <w:tcW w:type="dxa" w:w="1661"/>
          </w:tcPr>
          <w:p>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r>
              <w:rPr/>
              <w:t>中小企业声明函 残疾人福利性单位声明函 监狱企业的证明文件</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r>
              <w:rPr/>
              <w:t>序号</w:t>
            </w:r>
          </w:p>
        </w:tc>
        <w:tc>
          <w:tcPr>
            <w:tcW w:type="dxa" w:w="1661"/>
          </w:tcPr>
          <w:p>
            <w:r>
              <w:rPr/>
              <w:t>情形</w:t>
            </w:r>
          </w:p>
        </w:tc>
        <w:tc>
          <w:tcPr>
            <w:tcW w:type="dxa" w:w="1661"/>
          </w:tcPr>
          <w:p>
            <w:r>
              <w:rPr/>
              <w:t>适用对象</w:t>
            </w:r>
          </w:p>
        </w:tc>
        <w:tc>
          <w:tcPr>
            <w:tcW w:type="dxa" w:w="831"/>
          </w:tcPr>
          <w:p>
            <w:r>
              <w:rPr/>
              <w:t>比例</w:t>
            </w:r>
          </w:p>
        </w:tc>
        <w:tc>
          <w:tcPr>
            <w:tcW w:type="dxa" w:w="1661"/>
          </w:tcPr>
          <w:p>
            <w:r>
              <w:rPr/>
              <w:t>说明</w:t>
            </w:r>
          </w:p>
        </w:tc>
        <w:tc>
          <w:tcPr>
            <w:tcW w:type="dxa" w:w="1661"/>
          </w:tcPr>
          <w:p>
            <w:r>
              <w:rPr/>
              <w:t>关联格式</w:t>
            </w:r>
          </w:p>
        </w:tc>
      </w:tr>
      <w:tr>
        <w:tc>
          <w:tcPr>
            <w:tcW w:type="dxa" w:w="831"/>
          </w:tcPr>
          <w:p>
            <w:r>
              <w:rPr/>
              <w:t>1</w:t>
            </w:r>
          </w:p>
        </w:tc>
        <w:tc>
          <w:tcPr>
            <w:tcW w:type="dxa" w:w="1661"/>
          </w:tcPr>
          <w:p>
            <w:r>
              <w:rPr/>
              <w:t>小型、微型企业，监狱企业，残疾人福利性单位</w:t>
            </w:r>
          </w:p>
        </w:tc>
        <w:tc>
          <w:tcPr>
            <w:tcW w:type="dxa" w:w="1661"/>
          </w:tcPr>
          <w:p>
            <w:r>
              <w:rPr/>
              <w:t>投标人或联合体成员均为小型、微型企业</w:t>
            </w:r>
          </w:p>
        </w:tc>
        <w:tc>
          <w:tcPr>
            <w:tcW w:type="dxa" w:w="831"/>
          </w:tcPr>
          <w:p>
            <w:pPr>
              <w:jc w:val="right"/>
            </w:pPr>
            <w:r>
              <w:rPr/>
              <w:t>20.00%</w:t>
            </w:r>
          </w:p>
        </w:tc>
        <w:tc>
          <w:tcPr>
            <w:tcW w:type="dxa" w:w="1661"/>
          </w:tcPr>
          <w:p>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r>
              <w:rPr/>
              <w:t>中小企业声明函 残疾人福利性单位声明函 监狱企业的证明文件</w:t>
            </w:r>
          </w:p>
        </w:tc>
      </w:tr>
    </w:tbl>
    <w:p>
      <w:pPr>
        <w:pStyle w:val="null3"/>
      </w:pPr>
      <w:r>
        <w:rPr>
          <w:b/>
          <w:sz w:val="24"/>
        </w:rPr>
        <w:t>4.3.4解释、澄清、说明的有关问题</w:t>
      </w:r>
    </w:p>
    <w:p>
      <w:pPr>
        <w:pStyle w:val="null3"/>
        <w:ind w:firstLine="480"/>
      </w:pPr>
      <w:r>
        <w:rPr/>
        <w:t>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t>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t>（一）供应商响应文件中不响应询价通知书规定的技术参数指标和商务应答；</w:t>
      </w:r>
    </w:p>
    <w:p>
      <w:pPr>
        <w:pStyle w:val="null3"/>
        <w:ind w:firstLine="480"/>
      </w:pPr>
      <w:r>
        <w:rPr/>
        <w:t>（二）供应商响应文件中未提供的证明其是否符合询价通知书资格、符合性规定要求的相关材料。</w:t>
      </w:r>
    </w:p>
    <w:p>
      <w:pPr>
        <w:pStyle w:val="null3"/>
        <w:ind w:firstLine="480"/>
      </w:pPr>
      <w:r>
        <w:rPr/>
        <w:t>（三）供应商响应文件中的材料因印刷、影印等不清晰而难以辨认的。</w:t>
      </w:r>
    </w:p>
    <w:p>
      <w:pPr>
        <w:pStyle w:val="null3"/>
        <w:ind w:firstLine="480"/>
      </w:pPr>
      <w:r>
        <w:rPr/>
        <w:t>四、报价出现下列情况的，按以下原则处理：</w:t>
      </w:r>
    </w:p>
    <w:p>
      <w:pPr>
        <w:pStyle w:val="null3"/>
        <w:ind w:firstLine="480"/>
      </w:pPr>
      <w:r>
        <w:rPr/>
        <w:t>（一）大写金额和小写金额不一致的，以大写金额为准，但大写金额出现文字错误，导致金额无法判断的除外；</w:t>
      </w:r>
    </w:p>
    <w:p>
      <w:pPr>
        <w:pStyle w:val="null3"/>
        <w:ind w:firstLine="480"/>
      </w:pPr>
      <w:r>
        <w:rPr/>
        <w:t>（二）单价金额小数点或者百分比有明显错位的，以开启一览表总价为准，并修改单价；</w:t>
      </w:r>
    </w:p>
    <w:p>
      <w:pPr>
        <w:pStyle w:val="null3"/>
        <w:ind w:firstLine="480"/>
      </w:pPr>
      <w:r>
        <w:rPr/>
        <w:t>（三）总价金额与按单价汇总金额不一致的，以单价金额计算结果为准。</w:t>
      </w:r>
    </w:p>
    <w:p>
      <w:pPr>
        <w:pStyle w:val="null3"/>
        <w:ind w:firstLine="480"/>
      </w:pPr>
      <w:r>
        <w:rPr/>
        <w:t>同时出现两种以上不一致的，按照前款规定的顺序修正。修正后的报价经供应商确认后产生约束力，供应商不确认的，其响应无效。</w:t>
      </w:r>
    </w:p>
    <w:p>
      <w:pPr>
        <w:pStyle w:val="null3"/>
        <w:ind w:firstLine="480"/>
      </w:pPr>
      <w:r>
        <w:rPr/>
        <w:t>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t>六、询价小组应当积极履行澄清、说明或者更正的职责，不得滥用权力。</w:t>
      </w:r>
    </w:p>
    <w:p>
      <w:pPr>
        <w:pStyle w:val="null3"/>
      </w:pPr>
      <w:r>
        <w:rPr>
          <w:b/>
          <w:sz w:val="24"/>
        </w:rPr>
        <w:t>4.3.5复核</w:t>
      </w:r>
    </w:p>
    <w:p>
      <w:pPr>
        <w:pStyle w:val="null3"/>
        <w:ind w:firstLine="480"/>
      </w:pPr>
      <w:r>
        <w:rPr/>
        <w:t>一、评审结束后，询价小组应当进行复核，特别要对拟推荐为成交候选供应商的、报价最低的、响应文件被认定为无效的进行重点复核。</w:t>
      </w:r>
    </w:p>
    <w:p>
      <w:pPr>
        <w:pStyle w:val="null3"/>
        <w:ind w:firstLine="480"/>
      </w:pPr>
      <w:r>
        <w:rPr/>
        <w:t>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t>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pPr>
      <w:r>
        <w:rPr>
          <w:b/>
          <w:sz w:val="24"/>
        </w:rPr>
        <w:t>4.3.6推荐成交候选供应商</w:t>
      </w:r>
    </w:p>
    <w:p>
      <w:pPr>
        <w:pStyle w:val="null3"/>
      </w:pPr>
    </w:p>
    <w:p>
      <w:pPr>
        <w:pStyle w:val="null3"/>
      </w:pPr>
    </w:p>
    <w:p>
      <w:pPr>
        <w:pStyle w:val="null3"/>
      </w:pPr>
      <w:r>
        <w:rPr/>
        <w:t>采购包1：</w:t>
      </w:r>
      <w:r>
        <w:rPr/>
        <w:t>候选供应商数量3名。</w:t>
      </w:r>
    </w:p>
    <w:p>
      <w:pPr>
        <w:pStyle w:val="null3"/>
      </w:pPr>
      <w:r>
        <w:rPr/>
        <w:t>采购包2：</w:t>
      </w:r>
      <w:r>
        <w:rPr/>
        <w:t>候选供应商数量3名。</w:t>
      </w:r>
    </w:p>
    <w:p>
      <w:pPr>
        <w:pStyle w:val="null3"/>
        <w:ind w:firstLine="480"/>
        <w:jc w:val="left"/>
      </w:pPr>
      <w:r>
        <w:rPr/>
        <w:t>“本项目”询价小组应当按经评审的报价由低到高排序，推荐成交候选供应商，并编写询价报告。报价相同的，按供应商提供的优先采购产品认证有效证书数量由多到少顺序推荐。报价且提供的优先采购产品认证有效证书数量相同的，成交候选供应商并列。</w:t>
      </w:r>
    </w:p>
    <w:p>
      <w:pPr>
        <w:pStyle w:val="null3"/>
        <w:ind w:firstLine="480"/>
        <w:jc w:val="left"/>
      </w:pPr>
      <w:r>
        <w:rPr/>
        <w:t>经评审的报价是指对供应商报价完成价格修正和落实政府采购政策进行的价格扣除后的报价。</w:t>
      </w:r>
    </w:p>
    <w:p>
      <w:pPr>
        <w:pStyle w:val="null3"/>
      </w:pPr>
      <w:r>
        <w:rPr>
          <w:b/>
          <w:sz w:val="24"/>
        </w:rPr>
        <w:t>4.3.7编写询价报告</w:t>
      </w:r>
    </w:p>
    <w:p>
      <w:pPr>
        <w:pStyle w:val="null3"/>
        <w:ind w:firstLine="480"/>
      </w:pPr>
      <w:r>
        <w:rPr/>
        <w:t>询价小组项目在电子化交易系统中编制评审情况，生成询价报告。</w:t>
      </w:r>
    </w:p>
    <w:p>
      <w:pPr>
        <w:pStyle w:val="null3"/>
        <w:ind w:firstLine="480"/>
      </w:pPr>
      <w:r>
        <w:rPr/>
        <w:t>询价报告是询价小组根据全体成员签字的原始评审记录和评审结果编写的报告，其主要内容包括：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二、响应文件开启日期和地点，询价小组成员名单；</w:t>
      </w:r>
    </w:p>
    <w:p>
      <w:pPr>
        <w:pStyle w:val="null3"/>
        <w:ind w:firstLine="480"/>
      </w:pPr>
      <w:r>
        <w:rPr/>
        <w:t>三、提交报价的供应商名单及报价情况，获取询价通知书但未提交报价的供应商名单；</w:t>
      </w:r>
    </w:p>
    <w:p>
      <w:pPr>
        <w:pStyle w:val="null3"/>
        <w:ind w:firstLine="480"/>
      </w:pPr>
      <w:r>
        <w:rPr/>
        <w:t>四、评审情况记录和说明，包括对供应商的资格审查情况、供应商响应文件评审情况、询价采购活动情况、报价情况等；</w:t>
      </w:r>
    </w:p>
    <w:p>
      <w:pPr>
        <w:pStyle w:val="null3"/>
        <w:ind w:firstLine="480"/>
      </w:pPr>
      <w:r>
        <w:rPr/>
        <w:t>五、提出的成交候选供应商的排序名单及理由。</w:t>
      </w:r>
    </w:p>
    <w:p>
      <w:pPr>
        <w:pStyle w:val="null3"/>
        <w:ind w:firstLine="480"/>
      </w:pPr>
      <w:r>
        <w:rPr/>
        <w:t>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pPr>
      <w:r>
        <w:rPr>
          <w:b/>
          <w:sz w:val="28"/>
        </w:rPr>
        <w:t>4.4争议处理规则</w:t>
      </w:r>
    </w:p>
    <w:p>
      <w:pPr>
        <w:pStyle w:val="null3"/>
        <w:ind w:firstLine="480"/>
      </w:pPr>
      <w:r>
        <w:rPr/>
        <w:t>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pPr>
      <w:r>
        <w:rPr>
          <w:b/>
          <w:sz w:val="28"/>
        </w:rPr>
        <w:t>4.5终止采购活动</w:t>
      </w:r>
    </w:p>
    <w:p>
      <w:pPr>
        <w:pStyle w:val="null3"/>
        <w:ind w:firstLine="480"/>
      </w:pPr>
      <w:r>
        <w:rPr/>
        <w:t>出现下列情形之一的，终止询价采购活动：</w:t>
      </w:r>
    </w:p>
    <w:p>
      <w:pPr>
        <w:pStyle w:val="null3"/>
        <w:ind w:firstLine="480"/>
      </w:pPr>
      <w:r>
        <w:rPr/>
        <w:t>一、因情况变化，不再符合规定的询价采购方式适用情形的；</w:t>
      </w:r>
    </w:p>
    <w:p>
      <w:pPr>
        <w:pStyle w:val="null3"/>
        <w:ind w:firstLine="480"/>
      </w:pPr>
      <w:r>
        <w:rPr/>
        <w:t>二、出现影响采购公正的违法、违规行为的；</w:t>
      </w:r>
    </w:p>
    <w:p>
      <w:pPr>
        <w:pStyle w:val="null3"/>
        <w:ind w:firstLine="480"/>
      </w:pPr>
      <w:r>
        <w:rPr/>
        <w:t>三、在采购过程中符合竞争要求的供应商或者报价未超过采购预算的供应商不足3家的。</w:t>
      </w:r>
    </w:p>
    <w:p>
      <w:pPr>
        <w:pStyle w:val="null3"/>
      </w:pPr>
      <w:r>
        <w:rPr>
          <w:b/>
          <w:sz w:val="28"/>
        </w:rPr>
        <w:t>4.6确定成交供应商</w:t>
      </w:r>
    </w:p>
    <w:p>
      <w:pPr>
        <w:pStyle w:val="null3"/>
      </w:pPr>
    </w:p>
    <w:p>
      <w:pPr>
        <w:pStyle w:val="null3"/>
      </w:pPr>
    </w:p>
    <w:p>
      <w:pPr>
        <w:pStyle w:val="null3"/>
      </w:pPr>
      <w:r>
        <w:rPr/>
        <w:t>一、代理机构在评审结束后2个工作日内将评审报告送采购人确认。</w:t>
      </w:r>
    </w:p>
    <w:p>
      <w:pPr>
        <w:pStyle w:val="null3"/>
      </w:pPr>
      <w:r>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t>三、成交候选供应商并列的，由采购人、询价小组随机抽取确定成交供应商。</w:t>
      </w:r>
    </w:p>
    <w:p>
      <w:pPr>
        <w:pStyle w:val="null3"/>
      </w:pPr>
      <w:r>
        <w:rPr/>
        <w:t>四、采购人逾期未确定成交供应商且不提出异议的，视为确定评审报告提出的报价最低的供应商为成交供应商。</w:t>
      </w:r>
    </w:p>
    <w:p>
      <w:pPr>
        <w:pStyle w:val="null3"/>
      </w:pPr>
      <w:r>
        <w:rPr>
          <w:b/>
          <w:sz w:val="28"/>
        </w:rPr>
        <w:t>4.7询价小组成员义务</w:t>
      </w:r>
    </w:p>
    <w:p>
      <w:pPr>
        <w:pStyle w:val="null3"/>
        <w:ind w:firstLine="480"/>
      </w:pPr>
      <w:r>
        <w:rPr/>
        <w:t>询价小组成员在政府采购活动中承担以下义务：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pPr>
      <w:r>
        <w:rPr>
          <w:b/>
          <w:sz w:val="28"/>
        </w:rPr>
        <w:t>4.8询价采购活动纪律</w:t>
      </w:r>
    </w:p>
    <w:p>
      <w:pPr>
        <w:pStyle w:val="null3"/>
        <w:ind w:firstLine="480"/>
      </w:pPr>
      <w:r>
        <w:rPr/>
        <w:t>询价小组成员在政府采购活动中应当遵守以下工作纪律：</w:t>
      </w:r>
    </w:p>
    <w:p>
      <w:pPr>
        <w:pStyle w:val="null3"/>
        <w:ind w:firstLine="480"/>
      </w:pPr>
      <w:r>
        <w:rPr/>
        <w:t>（一）遵行《中华人民共和国政府采购法》第十二条和《中华人民共和国政府采购法实施条例》第九条及财政部关于回避的规定。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pPr>
      <w:r>
        <w:rPr>
          <w:b/>
          <w:sz w:val="36"/>
        </w:rPr>
        <w:t>第五章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详见附件：其他证明材料</w:t>
      </w:r>
    </w:p>
    <w:p>
      <w:pPr>
        <w:pStyle w:val="null3"/>
      </w:pP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详见附件：其他证明材料</w:t>
      </w:r>
    </w:p>
    <w:p>
      <w:pPr>
        <w:pStyle w:val="null3"/>
      </w:pPr>
    </w:p>
    <w:p>
      <w:pPr>
        <w:pStyle w:val="null3"/>
      </w:pPr>
      <w:r>
        <w:rPr/>
        <w:t xml:space="preserve"> </w:t>
      </w:r>
    </w:p>
    <w:p>
      <w:pPr>
        <w:pStyle w:val="null3"/>
      </w:pPr>
      <w:r>
        <w:rPr>
          <w:b/>
          <w:sz w:val="36"/>
        </w:rPr>
        <w:t>第六章 拟签订的合同文本</w:t>
      </w:r>
    </w:p>
    <w:p>
      <w:pPr>
        <w:pStyle w:val="null3"/>
      </w:pPr>
    </w:p>
    <w:p>
      <w:pPr>
        <w:pStyle w:val="null3"/>
      </w:pPr>
    </w:p>
    <w:p>
      <w:pPr>
        <w:pStyle w:val="null3"/>
      </w:pPr>
      <w:r>
        <w:rPr/>
        <w:t>详见附件：新建 DOCX 文档.docx</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