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left"/>
      </w:pPr>
      <w:r>
        <w:rPr/>
        <w:t>正文</w:t>
      </w: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2023年四川日报报业集团宣传服务项目</w:t>
      </w:r>
    </w:p>
    <w:p>
      <w:pPr>
        <w:pStyle w:val="null3"/>
        <w:jc w:val="center"/>
        <w:outlineLvl w:val="2"/>
      </w:pPr>
      <w:r>
        <w:rPr>
          <w:b/>
          <w:sz w:val="28"/>
        </w:rPr>
        <w:t>采购项目编号：</w:t>
      </w:r>
      <w:r>
        <w:rPr>
          <w:b/>
          <w:sz w:val="28"/>
        </w:rPr>
        <w:t>N5100012023001966</w:t>
      </w:r>
      <w:r>
        <w:br/>
      </w:r>
      <w:r>
        <w:br/>
      </w:r>
      <w:r>
        <w:br/>
      </w:r>
    </w:p>
    <w:p>
      <w:pPr>
        <w:pStyle w:val="null3"/>
        <w:jc w:val="center"/>
        <w:outlineLvl w:val="2"/>
      </w:pPr>
      <w:r>
        <w:rPr>
          <w:b/>
          <w:sz w:val="28"/>
        </w:rPr>
        <w:t>四川省文化和旅游厅</w:t>
      </w:r>
    </w:p>
    <w:p>
      <w:pPr>
        <w:pStyle w:val="null3"/>
        <w:jc w:val="center"/>
        <w:outlineLvl w:val="2"/>
      </w:pPr>
      <w:r>
        <w:rPr>
          <w:b/>
          <w:sz w:val="28"/>
        </w:rPr>
        <w:t>四川轩辕招标代理有限公司</w:t>
      </w:r>
      <w:r>
        <w:rPr>
          <w:b/>
          <w:sz w:val="28"/>
        </w:rPr>
        <w:t>共同编制</w:t>
      </w:r>
    </w:p>
    <w:p>
      <w:pPr>
        <w:pStyle w:val="null3"/>
        <w:jc w:val="center"/>
        <w:outlineLvl w:val="2"/>
      </w:pPr>
      <w:r>
        <w:rPr>
          <w:b/>
          <w:sz w:val="28"/>
        </w:rPr>
        <w:t>2023年08月08日</w:t>
      </w:r>
    </w:p>
    <w:p>
      <w:pPr>
        <w:pStyle w:val="null3"/>
      </w:pPr>
    </w:p>
    <w:p>
      <w:pPr>
        <w:pStyle w:val="null3"/>
      </w:pPr>
      <w:r>
        <w:rPr/>
        <w:t xml:space="preserve"> </w:t>
      </w:r>
    </w:p>
    <w:p>
      <w:pPr>
        <w:pStyle w:val="null3"/>
        <w:jc w:val="center"/>
        <w:outlineLvl w:val="1"/>
      </w:pPr>
      <w:r>
        <w:rPr>
          <w:b/>
          <w:sz w:val="36"/>
        </w:rPr>
        <w:t>第一章 竞争性磋商邀请</w:t>
      </w:r>
    </w:p>
    <w:p>
      <w:pPr>
        <w:pStyle w:val="null3"/>
        <w:ind w:firstLine="480"/>
      </w:pPr>
      <w:r>
        <w:rPr/>
        <w:t>四川轩辕招标代理有限公司</w:t>
      </w:r>
      <w:r>
        <w:rPr/>
        <w:t>（以下简称“代理机构”）受</w:t>
      </w:r>
      <w:r>
        <w:rPr/>
        <w:t>四川省文化和旅游厅</w:t>
      </w:r>
      <w:r>
        <w:rPr/>
        <w:t>委托，拟对</w:t>
      </w:r>
      <w:r>
        <w:rPr/>
        <w:t>2023年四川日报报业集团宣传服务项目</w:t>
      </w:r>
      <w:r>
        <w:rPr/>
        <w:t>采用竞争性磋商采购方式进行采购，兹邀请供应商参加本项目的竞争性磋商。</w:t>
      </w:r>
    </w:p>
    <w:p>
      <w:pPr>
        <w:pStyle w:val="null3"/>
        <w:outlineLvl w:val="2"/>
      </w:pPr>
      <w:r>
        <w:rPr>
          <w:b/>
          <w:sz w:val="28"/>
        </w:rPr>
        <w:t>一、项目编号：</w:t>
      </w:r>
      <w:r>
        <w:rPr>
          <w:b/>
          <w:sz w:val="28"/>
        </w:rPr>
        <w:t>N5100012023001966</w:t>
      </w:r>
    </w:p>
    <w:p>
      <w:pPr>
        <w:pStyle w:val="null3"/>
        <w:outlineLvl w:val="2"/>
      </w:pPr>
      <w:r>
        <w:rPr>
          <w:b/>
          <w:sz w:val="28"/>
        </w:rPr>
        <w:t>二、项目名称：</w:t>
      </w:r>
      <w:r>
        <w:rPr>
          <w:b/>
          <w:sz w:val="28"/>
        </w:rPr>
        <w:t>2023年四川日报报业集团宣传服务项目</w:t>
      </w:r>
    </w:p>
    <w:p>
      <w:pPr>
        <w:pStyle w:val="null3"/>
        <w:outlineLvl w:val="2"/>
      </w:pPr>
      <w:r>
        <w:rPr>
          <w:b/>
          <w:sz w:val="28"/>
        </w:rPr>
        <w:t>三、磋商项目简介</w:t>
      </w:r>
    </w:p>
    <w:p>
      <w:pPr>
        <w:pStyle w:val="null3"/>
        <w:ind w:firstLine="480"/>
      </w:pPr>
      <w:r>
        <w:rPr/>
        <w:t>为贯彻落实省委、省政府和厅党组决策部署和工作要求，利用四川日报报业集团媒体平台，加强四川文化旅游宣传推广，实施2023年四川日报报业集团宣传服务项目。本项目共计1个包，拟确定成交供应商1名。</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无</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1、供应商须取得四川日报报业集团授权或代理资格（描述：供应商须取得四川日报报业集团授权或代理资格；（注：提供相关授权或代理证明材料并进行电子签章））</w:t>
      </w:r>
    </w:p>
    <w:p>
      <w:pPr>
        <w:pStyle w:val="null3"/>
      </w:pPr>
      <w:r>
        <w:rPr/>
        <w:t>2、本项目参加磋商活动的供应商单位及其法定代表人/主要负责人不得具有行贿犯罪记录。（描述：本项目参加磋商活动的供应商单位及其法定代表人/主要负责人不得具有行贿犯罪记录。（注：提供承诺函并进行电子签章。））</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采购人：</w:t>
      </w:r>
      <w:r>
        <w:rPr>
          <w:b/>
          <w:sz w:val="24"/>
        </w:rPr>
        <w:t>四川省文化和旅游厅</w:t>
      </w:r>
    </w:p>
    <w:p>
      <w:pPr>
        <w:pStyle w:val="null3"/>
      </w:pPr>
    </w:p>
    <w:p>
      <w:pPr>
        <w:pStyle w:val="null3"/>
      </w:pPr>
    </w:p>
    <w:p>
      <w:pPr>
        <w:pStyle w:val="null3"/>
      </w:pPr>
      <w:r>
        <w:rPr/>
        <w:t>地址：</w:t>
      </w:r>
      <w:r>
        <w:rPr/>
        <w:t>四川省成都市锦江区青莲上街2号</w:t>
      </w:r>
    </w:p>
    <w:p>
      <w:pPr>
        <w:pStyle w:val="null3"/>
      </w:pPr>
      <w:r>
        <w:rPr/>
        <w:t>邮编：</w:t>
      </w:r>
      <w:r>
        <w:rPr/>
        <w:t>610021</w:t>
      </w:r>
    </w:p>
    <w:p>
      <w:pPr>
        <w:pStyle w:val="null3"/>
      </w:pPr>
      <w:r>
        <w:rPr/>
        <w:t>联系人：</w:t>
      </w:r>
      <w:r>
        <w:rPr/>
        <w:t>陈先生</w:t>
      </w:r>
    </w:p>
    <w:p>
      <w:pPr>
        <w:pStyle w:val="null3"/>
      </w:pPr>
      <w:r>
        <w:rPr/>
        <w:t>联系电话：</w:t>
      </w:r>
      <w:r>
        <w:rPr/>
        <w:t>86702628</w:t>
      </w:r>
    </w:p>
    <w:p>
      <w:pPr>
        <w:pStyle w:val="null3"/>
        <w:outlineLvl w:val="3"/>
      </w:pPr>
      <w:r>
        <w:rPr>
          <w:b/>
          <w:sz w:val="24"/>
        </w:rPr>
        <w:t>代理机构：</w:t>
      </w:r>
      <w:r>
        <w:rPr>
          <w:b/>
          <w:sz w:val="24"/>
        </w:rPr>
        <w:t>四川轩辕招标代理有限公司</w:t>
      </w:r>
    </w:p>
    <w:p>
      <w:pPr>
        <w:pStyle w:val="null3"/>
      </w:pPr>
    </w:p>
    <w:p>
      <w:pPr>
        <w:pStyle w:val="null3"/>
      </w:pPr>
    </w:p>
    <w:p>
      <w:pPr>
        <w:pStyle w:val="null3"/>
      </w:pPr>
      <w:r>
        <w:rPr/>
        <w:t>地址：</w:t>
      </w:r>
      <w:r>
        <w:rPr/>
        <w:t>成都市锦江区墨香路87号8栋4楼</w:t>
      </w:r>
    </w:p>
    <w:p>
      <w:pPr>
        <w:pStyle w:val="null3"/>
      </w:pPr>
      <w:r>
        <w:rPr/>
        <w:t>邮编：</w:t>
      </w:r>
      <w:r>
        <w:rPr/>
        <w:t>610021</w:t>
      </w:r>
    </w:p>
    <w:p>
      <w:pPr>
        <w:pStyle w:val="null3"/>
      </w:pPr>
      <w:r>
        <w:rPr/>
        <w:t>联系人：</w:t>
      </w:r>
      <w:r>
        <w:rPr/>
        <w:t>周老师</w:t>
      </w:r>
    </w:p>
    <w:p>
      <w:pPr>
        <w:pStyle w:val="null3"/>
      </w:pPr>
      <w:r>
        <w:rPr/>
        <w:t>联系电话：</w:t>
      </w:r>
      <w:r>
        <w:rPr/>
        <w:t>028-65731881</w:t>
      </w:r>
    </w:p>
    <w:p>
      <w:pPr>
        <w:pStyle w:val="null3"/>
        <w:outlineLvl w:val="3"/>
      </w:pPr>
      <w:r>
        <w:rPr>
          <w:b/>
          <w:sz w:val="24"/>
        </w:rPr>
        <w:t>采购监督机构：</w:t>
      </w:r>
      <w:r>
        <w:rPr>
          <w:b/>
          <w:sz w:val="24"/>
        </w:rPr>
        <w:t>四川省财政厅</w:t>
      </w:r>
    </w:p>
    <w:p>
      <w:pPr>
        <w:pStyle w:val="null3"/>
        <w:ind w:firstLine="480"/>
      </w:pPr>
      <w:r>
        <w:rPr/>
        <w:t>联系人：</w:t>
      </w:r>
      <w:r>
        <w:rPr/>
        <w:t>孙老师、肖老师</w:t>
      </w:r>
    </w:p>
    <w:p>
      <w:pPr>
        <w:pStyle w:val="null3"/>
        <w:ind w:firstLine="480"/>
      </w:pPr>
      <w:r>
        <w:rPr/>
        <w:t>联系电话：</w:t>
      </w:r>
      <w:r>
        <w:rPr/>
        <w:t>028-86725927、028-86662797</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采购包1：2,000,000.00元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采购包1：缴纳</w:t>
            </w:r>
          </w:p>
          <w:p>
            <w:pPr>
              <w:pStyle w:val="null3"/>
            </w:pPr>
            <w:r>
              <w:rPr/>
              <w:t>本采购包履约保证金为合同金额的10%</w:t>
            </w:r>
          </w:p>
          <w:p>
            <w:pPr>
              <w:pStyle w:val="null3"/>
            </w:pPr>
            <w:r>
              <w:rPr/>
              <w:t>说明：项目结束验收合格，乙方无违约行为，甲方将保证金无息退还乙方，如乙方违约，则方可在履约保证金中扣除乙方应支付的违约金后再行退还。</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代理服务费收费标准：以中标（成交）金额为计费基础，参照原国家计委《招标代理服务收费管理暂行办法》（计价格【2002】1980号）文件规定的收费标准下浮30%执行（不足5000元按5000元收取）</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二、本磋商文件的最终解释权由</w:t>
      </w:r>
      <w:r>
        <w:rPr/>
        <w:t>四川省文化和旅游厅</w:t>
      </w:r>
      <w:r>
        <w:rPr/>
        <w:t>和</w:t>
      </w:r>
      <w:r>
        <w:rPr/>
        <w:t>四川轩辕招标代理有限公司</w:t>
      </w:r>
      <w:r>
        <w:rPr/>
        <w:t>享有。对磋商文件中供应商参加本次政府采购活动应当具备的条件，磋商项目技术、服务、商务及其他要求，评审细则及标准由</w:t>
      </w:r>
      <w:r>
        <w:rPr/>
        <w:t>四川省文化和旅游厅</w:t>
      </w:r>
      <w:r>
        <w:rPr/>
        <w:t>负责解释。除上述磋商文件内容，其他内容由</w:t>
      </w:r>
      <w:r>
        <w:rPr/>
        <w:t>四川轩辕招标代理有限公司</w:t>
      </w:r>
      <w:r>
        <w:rPr/>
        <w:t>负责解释。</w:t>
      </w:r>
    </w:p>
    <w:p>
      <w:pPr>
        <w:pStyle w:val="null3"/>
        <w:outlineLvl w:val="3"/>
      </w:pPr>
      <w:r>
        <w:rPr>
          <w:b/>
          <w:sz w:val="24"/>
        </w:rPr>
        <w:t>2.2.2有关定义</w:t>
      </w:r>
    </w:p>
    <w:p>
      <w:pPr>
        <w:pStyle w:val="null3"/>
        <w:ind w:firstLine="480"/>
      </w:pPr>
      <w:r>
        <w:rPr/>
        <w:t>一、“采购人”是指依法进行政府采购的各级国家机关、事业单位、团体组织。本次磋商的采购人是</w:t>
      </w:r>
      <w:r>
        <w:rPr/>
        <w:t>四川省文化和旅游厅</w:t>
      </w:r>
      <w:r>
        <w:rPr/>
        <w:t>。</w:t>
      </w:r>
    </w:p>
    <w:p>
      <w:pPr>
        <w:pStyle w:val="null3"/>
        <w:ind w:firstLine="480"/>
      </w:pPr>
      <w:r>
        <w:rPr/>
        <w:t>二、“供应商”是指在按照磋商公告规定获取磋商文件，拟参加响应和向采购人提供货物及相应服务的法人、其他组织或自然人。</w:t>
      </w:r>
    </w:p>
    <w:p>
      <w:pPr>
        <w:pStyle w:val="null3"/>
        <w:ind w:firstLine="480"/>
      </w:pPr>
      <w:r>
        <w:rPr/>
        <w:t>三、“代理机构”是指政府采购集中采购机构和从事政府采购代理业务的社会中介机构。本项目的代理机构是</w:t>
      </w:r>
      <w:r>
        <w:rPr/>
        <w:t>四川轩辕招标代理有限公司</w:t>
      </w:r>
      <w:r>
        <w:rPr/>
        <w:t>。</w:t>
      </w:r>
    </w:p>
    <w:p>
      <w:pPr>
        <w:pStyle w:val="null3"/>
        <w:ind w:firstLine="480"/>
      </w:pPr>
      <w:r>
        <w:rPr/>
        <w:t>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五、“电子评审”是指通过项目电子化交易系统在线完成磋商小组组建，开展资格和符合性审查、比较与评价、出具磋商报告、推荐成交候选供应商等活动。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一、供应商的报价是供应商响应磋商项目要求的全部工作内容的价格体现，包括供应商完成本项目所需的一切费用。</w:t>
      </w:r>
    </w:p>
    <w:p>
      <w:pPr>
        <w:pStyle w:val="null3"/>
        <w:ind w:firstLine="480"/>
      </w:pPr>
      <w:r>
        <w:rPr/>
        <w:t>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w:t>
      </w:r>
    </w:p>
    <w:p>
      <w:pPr>
        <w:pStyle w:val="null3"/>
        <w:ind w:firstLine="480"/>
      </w:pPr>
      <w:r>
        <w:rPr/>
        <w:t>一、响应文件应当根据磋商文件进行编制。供应商应通过四川政府采购网-办事指南下载响应客户端，使用客户端编制响应文件。</w:t>
      </w:r>
    </w:p>
    <w:p>
      <w:pPr>
        <w:pStyle w:val="null3"/>
        <w:ind w:firstLine="480"/>
      </w:pPr>
      <w:r>
        <w:rPr/>
        <w:t>二、供应商应按照客户端操作要求，对应磋商文件的每项实质性要求，逐一如实响应；未如实响应或者响应内容不符合磋商文件对应项的要求的，其响应文件作无效处理。</w:t>
      </w:r>
    </w:p>
    <w:p>
      <w:pPr>
        <w:pStyle w:val="null3"/>
        <w:ind w:firstLine="480"/>
      </w:pPr>
      <w:r>
        <w:rPr/>
        <w:t>三、供应商完成响应文件编制后，应按照响应文件第一章明确的签章要求，使用互认的证书及签章对响应文件进行电子签章和加密。</w:t>
      </w:r>
    </w:p>
    <w:p>
      <w:pPr>
        <w:pStyle w:val="null3"/>
        <w:ind w:firstLine="480"/>
      </w:pPr>
      <w:r>
        <w:rP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2.4.11响应文件的补充、修改（实质性要求）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jc w:val="left"/>
      </w:pPr>
      <w:r>
        <w:rPr/>
        <w:t>响应文件开启时间前，供应商登录项目电子化交易系统-“开标/开启大厅”，等待代理机构开启磋商。</w:t>
      </w:r>
    </w:p>
    <w:p>
      <w:pPr>
        <w:pStyle w:val="null3"/>
        <w:ind w:firstLine="480"/>
        <w:jc w:val="left"/>
      </w:pPr>
      <w:r>
        <w:rPr/>
        <w:t>三、解密响应文件（实质性要求）</w:t>
      </w:r>
    </w:p>
    <w:p>
      <w:pPr>
        <w:pStyle w:val="null3"/>
        <w:ind w:firstLine="480"/>
        <w:jc w:val="left"/>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jc w:val="left"/>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jc w:val="left"/>
        <w:outlineLvl w:val="3"/>
      </w:pPr>
      <w:r>
        <w:rPr>
          <w:b/>
          <w:sz w:val="24"/>
        </w:rPr>
        <w:t>2.5.2查询及使用信用记录</w:t>
      </w:r>
    </w:p>
    <w:p>
      <w:pPr>
        <w:pStyle w:val="null3"/>
        <w:ind w:firstLine="480"/>
        <w:jc w:val="left"/>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jc w:val="left"/>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ind w:firstLine="480"/>
        <w:jc w:val="left"/>
        <w:outlineLvl w:val="3"/>
      </w:pPr>
      <w:r>
        <w:rPr>
          <w:b/>
          <w:sz w:val="24"/>
        </w:rPr>
        <w:t>2.5.3资格审查</w:t>
      </w:r>
    </w:p>
    <w:p>
      <w:pPr>
        <w:pStyle w:val="null3"/>
        <w:ind w:firstLine="480"/>
        <w:jc w:val="left"/>
      </w:pPr>
      <w:r>
        <w:rPr/>
        <w:t>详见磋商文件第五章。</w:t>
      </w:r>
    </w:p>
    <w:p>
      <w:pPr>
        <w:pStyle w:val="null3"/>
        <w:ind w:firstLine="480"/>
        <w:jc w:val="left"/>
        <w:outlineLvl w:val="3"/>
      </w:pPr>
      <w:r>
        <w:rPr>
          <w:b/>
          <w:sz w:val="24"/>
        </w:rPr>
        <w:t>2.5.4磋商</w:t>
      </w:r>
    </w:p>
    <w:p>
      <w:pPr>
        <w:pStyle w:val="null3"/>
        <w:ind w:firstLine="480"/>
        <w:jc w:val="left"/>
      </w:pPr>
      <w:r>
        <w:rPr/>
        <w:t>详见磋商文件第五章。</w:t>
      </w:r>
    </w:p>
    <w:p>
      <w:pPr>
        <w:pStyle w:val="null3"/>
        <w:ind w:firstLine="480"/>
        <w:jc w:val="left"/>
        <w:outlineLvl w:val="3"/>
      </w:pPr>
      <w:r>
        <w:rPr>
          <w:b/>
          <w:sz w:val="24"/>
        </w:rPr>
        <w:t>2.5.5成交通知书</w:t>
      </w:r>
    </w:p>
    <w:p>
      <w:pPr>
        <w:pStyle w:val="null3"/>
        <w:ind w:firstLine="480"/>
        <w:jc w:val="left"/>
      </w:pPr>
      <w:r>
        <w:rPr/>
        <w:t>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jc w:val="left"/>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jc w:val="left"/>
      </w:pPr>
      <w:r>
        <w:rPr/>
        <w:t>三、成交通知书对采购人和成交供应商均具有法律效力。</w:t>
      </w:r>
    </w:p>
    <w:p>
      <w:pPr>
        <w:pStyle w:val="null3"/>
        <w:ind w:firstLine="480"/>
        <w:jc w:val="left"/>
        <w:outlineLvl w:val="2"/>
      </w:pPr>
      <w:r>
        <w:rPr>
          <w:b/>
          <w:sz w:val="28"/>
        </w:rPr>
        <w:t>2.6签订及履行合同和验收</w:t>
      </w:r>
    </w:p>
    <w:p>
      <w:pPr>
        <w:pStyle w:val="null3"/>
        <w:ind w:firstLine="480"/>
        <w:jc w:val="left"/>
        <w:outlineLvl w:val="3"/>
      </w:pPr>
      <w:r>
        <w:rPr>
          <w:b/>
          <w:sz w:val="24"/>
        </w:rPr>
        <w:t>2.6.1签订合同</w:t>
      </w:r>
    </w:p>
    <w:p>
      <w:pPr>
        <w:pStyle w:val="null3"/>
        <w:ind w:firstLine="480"/>
        <w:jc w:val="left"/>
      </w:pPr>
      <w:r>
        <w:rPr/>
        <w:t>一、采购人应在成交通知书发出之日起三十日内与成交供应商签订采购合同。</w:t>
      </w:r>
    </w:p>
    <w:p>
      <w:pPr>
        <w:pStyle w:val="null3"/>
        <w:ind w:firstLine="480"/>
        <w:jc w:val="left"/>
      </w:pPr>
      <w:r>
        <w:rPr/>
        <w:t>二、采购人和成交供应商签订的采购合同不得对磋商文件确定的事项以及成交供应商的响应文件作实质性修改。</w:t>
      </w:r>
    </w:p>
    <w:p>
      <w:pPr>
        <w:pStyle w:val="null3"/>
        <w:ind w:firstLine="480"/>
        <w:jc w:val="left"/>
        <w:outlineLvl w:val="3"/>
      </w:pPr>
      <w:r>
        <w:rPr>
          <w:b/>
          <w:sz w:val="24"/>
        </w:rPr>
        <w:t>2.6.2合同分包和转包（实质性要求）</w:t>
      </w:r>
    </w:p>
    <w:p>
      <w:pPr>
        <w:pStyle w:val="null3"/>
        <w:ind w:firstLine="480"/>
        <w:jc w:val="left"/>
        <w:outlineLvl w:val="3"/>
      </w:pPr>
      <w:r>
        <w:rPr>
          <w:b/>
          <w:sz w:val="24"/>
        </w:rPr>
        <w:t>2.6.2.1合同分包</w:t>
      </w:r>
    </w:p>
    <w:p>
      <w:pPr>
        <w:pStyle w:val="null3"/>
        <w:ind w:firstLine="480"/>
        <w:jc w:val="left"/>
      </w:pPr>
      <w:r>
        <w:rPr/>
        <w:t>一、供应商根据磋商文件的规定和采购项目的实际情况，拟在成交后将成交项目的非主体、非关键性工作分包的，应当在响应文件中载明分包承担主体，分包承担主体应当具备相应资质条件且不得再次分包。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jc w:val="left"/>
      </w:pPr>
      <w:r>
        <w:rPr/>
        <w:t>二、分包履行合同的部分应当为采购项目的非主体、非关键性工作，不属于成交供应商的主要合同义务。</w:t>
      </w:r>
    </w:p>
    <w:p>
      <w:pPr>
        <w:pStyle w:val="null3"/>
        <w:ind w:firstLine="480"/>
        <w:jc w:val="left"/>
      </w:pPr>
      <w:r>
        <w:rPr/>
        <w:t>三、采购合同实行分包履行的，成交供应商就采购项目和分包项目向采购人负责，分包供应商就分包项目承担责任。</w:t>
      </w:r>
    </w:p>
    <w:p>
      <w:pPr>
        <w:pStyle w:val="null3"/>
        <w:ind w:firstLine="480"/>
        <w:jc w:val="left"/>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jc w:val="left"/>
      </w:pPr>
    </w:p>
    <w:p>
      <w:pPr>
        <w:pStyle w:val="null3"/>
        <w:jc w:val="left"/>
      </w:pPr>
    </w:p>
    <w:p>
      <w:pPr>
        <w:pStyle w:val="null3"/>
        <w:jc w:val="left"/>
      </w:pPr>
    </w:p>
    <w:p>
      <w:pPr>
        <w:pStyle w:val="null3"/>
        <w:jc w:val="left"/>
      </w:pPr>
      <w:r>
        <w:rPr/>
        <w:t>采购包1：不允许合同分包；</w:t>
      </w:r>
    </w:p>
    <w:p>
      <w:pPr>
        <w:pStyle w:val="null3"/>
        <w:ind w:firstLine="480"/>
        <w:jc w:val="left"/>
        <w:outlineLvl w:val="3"/>
      </w:pPr>
      <w:r>
        <w:rPr>
          <w:b/>
          <w:sz w:val="24"/>
        </w:rPr>
        <w:t>2.6.2.2合同转包</w:t>
      </w:r>
    </w:p>
    <w:p>
      <w:pPr>
        <w:pStyle w:val="null3"/>
        <w:ind w:firstLine="480"/>
        <w:jc w:val="left"/>
      </w:pPr>
      <w:r>
        <w:rPr/>
        <w:t>一、严禁成交供应商将本项目转包。本项目所称转包，是指将本项目转给他人或者将本项目全部肢解以后以分包的名义分别转给他人的行为。</w:t>
      </w:r>
    </w:p>
    <w:p>
      <w:pPr>
        <w:pStyle w:val="null3"/>
        <w:ind w:firstLine="480"/>
        <w:jc w:val="left"/>
      </w:pPr>
      <w:r>
        <w:rPr/>
        <w:t>二、成交供应商转包的，视同拒绝履行政府采购合同，将依法追究法律责任。</w:t>
      </w:r>
    </w:p>
    <w:p>
      <w:pPr>
        <w:pStyle w:val="null3"/>
        <w:ind w:firstLine="480"/>
        <w:jc w:val="left"/>
        <w:outlineLvl w:val="3"/>
      </w:pPr>
      <w:r>
        <w:rPr>
          <w:b/>
          <w:sz w:val="24"/>
        </w:rPr>
        <w:t>2.6.3采购人增加合同标的的权利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ind w:firstLine="480"/>
        <w:jc w:val="left"/>
        <w:outlineLvl w:val="3"/>
      </w:pPr>
      <w:r>
        <w:rPr>
          <w:b/>
          <w:sz w:val="24"/>
        </w:rPr>
        <w:t>2.6.4履行合同</w:t>
      </w:r>
    </w:p>
    <w:p>
      <w:pPr>
        <w:pStyle w:val="null3"/>
        <w:ind w:firstLine="480"/>
        <w:jc w:val="left"/>
      </w:pPr>
      <w:r>
        <w:rPr/>
        <w:t>一、合同一经签订，双方应严格履行合同规定的义务。</w:t>
      </w:r>
    </w:p>
    <w:p>
      <w:pPr>
        <w:pStyle w:val="null3"/>
        <w:ind w:firstLine="480"/>
        <w:jc w:val="left"/>
      </w:pPr>
      <w:r>
        <w:rPr/>
        <w:t>二、在合同履行过程中，如发生合同纠纷，合同双方应按照《中华人民共和国民法典》规定及合同条款约定进行处理。</w:t>
      </w:r>
    </w:p>
    <w:p>
      <w:pPr>
        <w:pStyle w:val="null3"/>
        <w:ind w:firstLine="480"/>
        <w:jc w:val="left"/>
        <w:outlineLvl w:val="3"/>
      </w:pPr>
      <w:r>
        <w:rPr>
          <w:b/>
          <w:sz w:val="24"/>
        </w:rPr>
        <w:t>2.6.5履约验收方案</w:t>
      </w:r>
    </w:p>
    <w:p>
      <w:pPr>
        <w:pStyle w:val="null3"/>
        <w:jc w:val="left"/>
      </w:pPr>
    </w:p>
    <w:p>
      <w:pPr>
        <w:pStyle w:val="null3"/>
        <w:jc w:val="left"/>
      </w:pPr>
    </w:p>
    <w:p>
      <w:pPr>
        <w:pStyle w:val="null3"/>
        <w:jc w:val="left"/>
      </w:pPr>
    </w:p>
    <w:p>
      <w:pPr>
        <w:pStyle w:val="null3"/>
        <w:jc w:val="left"/>
      </w:pPr>
      <w:r>
        <w:rPr/>
        <w:t>采购包1：</w:t>
      </w:r>
    </w:p>
    <w:p>
      <w:pPr>
        <w:pStyle w:val="null3"/>
        <w:ind w:firstLine="840"/>
        <w:jc w:val="left"/>
      </w:pPr>
      <w:r>
        <w:rPr/>
        <w:t>1）验收组织方式：</w:t>
      </w:r>
      <w:r>
        <w:rPr/>
        <w:t>自行验收</w:t>
      </w:r>
    </w:p>
    <w:p>
      <w:pPr>
        <w:pStyle w:val="null3"/>
        <w:ind w:firstLine="840"/>
        <w:jc w:val="left"/>
      </w:pPr>
      <w:r>
        <w:rPr/>
        <w:t>2）是否邀请本项目的其他供应商：</w:t>
      </w:r>
      <w:r>
        <w:rPr/>
        <w:t>否</w:t>
      </w:r>
    </w:p>
    <w:p>
      <w:pPr>
        <w:pStyle w:val="null3"/>
        <w:ind w:firstLine="840"/>
        <w:jc w:val="left"/>
      </w:pPr>
      <w:r>
        <w:rPr/>
        <w:t>3）是否邀请专家：</w:t>
      </w:r>
      <w:r>
        <w:rPr/>
        <w:t>是</w:t>
      </w:r>
    </w:p>
    <w:p>
      <w:pPr>
        <w:pStyle w:val="null3"/>
        <w:ind w:firstLine="840"/>
        <w:jc w:val="left"/>
      </w:pPr>
      <w:r>
        <w:rPr/>
        <w:t>4）是否邀请服务对象：</w:t>
      </w:r>
      <w:r>
        <w:rPr/>
        <w:t>否</w:t>
      </w:r>
    </w:p>
    <w:p>
      <w:pPr>
        <w:pStyle w:val="null3"/>
        <w:ind w:firstLine="840"/>
        <w:jc w:val="left"/>
      </w:pPr>
      <w:r>
        <w:rPr/>
        <w:t>5）是否邀请第三方检测机构：</w:t>
      </w:r>
      <w:r>
        <w:rPr/>
        <w:t>否</w:t>
      </w:r>
    </w:p>
    <w:p>
      <w:pPr>
        <w:pStyle w:val="null3"/>
        <w:ind w:firstLine="840"/>
        <w:jc w:val="left"/>
      </w:pPr>
      <w:r>
        <w:rPr/>
        <w:t>6）履约验收程序：</w:t>
      </w:r>
      <w:r>
        <w:rPr/>
        <w:t>一次性验收</w:t>
      </w:r>
    </w:p>
    <w:p>
      <w:pPr>
        <w:pStyle w:val="null3"/>
        <w:ind w:firstLine="840"/>
        <w:jc w:val="left"/>
      </w:pPr>
      <w:r>
        <w:rPr/>
        <w:t>7）履约验收时间：</w:t>
      </w:r>
    </w:p>
    <w:p>
      <w:pPr>
        <w:pStyle w:val="null3"/>
        <w:jc w:val="left"/>
      </w:pPr>
    </w:p>
    <w:p>
      <w:pPr>
        <w:pStyle w:val="null3"/>
        <w:ind w:firstLine="1200"/>
        <w:jc w:val="left"/>
      </w:pPr>
      <w:r>
        <w:rPr/>
        <w:t>供应商提出验收申请之日起</w:t>
      </w:r>
      <w:r>
        <w:rPr/>
        <w:t>7</w:t>
      </w:r>
      <w:r>
        <w:rPr/>
        <w:t>日内组织验收</w:t>
      </w:r>
    </w:p>
    <w:p>
      <w:pPr>
        <w:pStyle w:val="null3"/>
        <w:ind w:firstLine="840"/>
        <w:jc w:val="left"/>
      </w:pPr>
      <w:r>
        <w:rPr/>
        <w:t>8）验收组织的其他事项：</w:t>
      </w:r>
      <w:r>
        <w:rPr/>
        <w:t>无。</w:t>
      </w:r>
    </w:p>
    <w:p>
      <w:pPr>
        <w:pStyle w:val="null3"/>
        <w:ind w:firstLine="840"/>
        <w:jc w:val="left"/>
      </w:pPr>
      <w:r>
        <w:rPr/>
        <w:t>9）技术履约验收内容：</w:t>
      </w:r>
      <w:r>
        <w:rPr/>
        <w:t>按照磋商文件和合同约定技术（服务）要求作为验收标准。</w:t>
      </w:r>
    </w:p>
    <w:p>
      <w:pPr>
        <w:pStyle w:val="null3"/>
        <w:ind w:firstLine="840"/>
        <w:jc w:val="left"/>
      </w:pPr>
      <w:r>
        <w:rPr/>
        <w:t>10）商务履约验收内容：</w:t>
      </w:r>
      <w:r>
        <w:rPr/>
        <w:t>按照磋商文件和合同约定技术（服务）要求作为验收标准。</w:t>
      </w:r>
    </w:p>
    <w:p>
      <w:pPr>
        <w:pStyle w:val="null3"/>
        <w:ind w:firstLine="840"/>
        <w:jc w:val="left"/>
      </w:pPr>
      <w:r>
        <w:rPr/>
        <w:t>11）履约验收标准：</w:t>
      </w:r>
    </w:p>
    <w:p>
      <w:pPr>
        <w:pStyle w:val="null3"/>
        <w:jc w:val="left"/>
      </w:pPr>
    </w:p>
    <w:p>
      <w:pPr>
        <w:pStyle w:val="null3"/>
        <w:ind w:firstLine="1200"/>
        <w:jc w:val="left"/>
      </w:pPr>
      <w:r>
        <w:rPr/>
        <w:t>严格按照《财政部关于进一步加强政府采购需求和履约验收管理的指导意见》（财库〔2016〕205号），并结合本竞争性磋商文件的要求、响应文件及磋商时的承诺进行验收。</w:t>
      </w:r>
    </w:p>
    <w:p>
      <w:pPr>
        <w:pStyle w:val="null3"/>
        <w:ind w:firstLine="840"/>
        <w:jc w:val="left"/>
      </w:pPr>
      <w:r>
        <w:rPr/>
        <w:t>12）履约验收其他事项：</w:t>
      </w:r>
      <w:r>
        <w:rPr/>
        <w:t>无</w:t>
      </w:r>
    </w:p>
    <w:p>
      <w:pPr>
        <w:pStyle w:val="null3"/>
        <w:ind w:firstLine="480"/>
        <w:jc w:val="left"/>
        <w:outlineLvl w:val="3"/>
      </w:pPr>
      <w:r>
        <w:rPr>
          <w:b/>
          <w:sz w:val="24"/>
        </w:rPr>
        <w:t>2.6.6资金支付</w:t>
      </w:r>
    </w:p>
    <w:p>
      <w:pPr>
        <w:pStyle w:val="null3"/>
        <w:ind w:firstLine="480"/>
        <w:jc w:val="left"/>
      </w:pPr>
      <w:r>
        <w:rPr/>
        <w:t>采购人按财政部门的相关规定及采购合同的约定进行支付。</w:t>
      </w:r>
    </w:p>
    <w:p>
      <w:pPr>
        <w:pStyle w:val="null3"/>
        <w:ind w:firstLine="480"/>
        <w:jc w:val="left"/>
        <w:outlineLvl w:val="2"/>
      </w:pPr>
      <w:r>
        <w:rPr>
          <w:b/>
          <w:sz w:val="28"/>
        </w:rPr>
        <w:t>2.7响应纪律要求</w:t>
      </w:r>
    </w:p>
    <w:p>
      <w:pPr>
        <w:pStyle w:val="null3"/>
        <w:ind w:firstLine="480"/>
        <w:jc w:val="left"/>
        <w:outlineLvl w:val="3"/>
      </w:pPr>
      <w:r>
        <w:rPr>
          <w:b/>
          <w:sz w:val="24"/>
        </w:rPr>
        <w:t>2.7.1磋商活动纪律要求</w:t>
      </w:r>
    </w:p>
    <w:p>
      <w:pPr>
        <w:pStyle w:val="null3"/>
        <w:ind w:firstLine="480"/>
        <w:jc w:val="left"/>
      </w:pPr>
      <w:r>
        <w:rP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jc w:val="left"/>
      </w:pPr>
      <w:r>
        <w:rPr/>
        <w:t>对各供应商的商业秘密，磋商小组成员应予以保密，不得泄露给其他供应商。</w:t>
      </w:r>
    </w:p>
    <w:p>
      <w:pPr>
        <w:pStyle w:val="null3"/>
        <w:ind w:firstLine="480"/>
        <w:jc w:val="left"/>
        <w:outlineLvl w:val="3"/>
      </w:pPr>
      <w:r>
        <w:rPr>
          <w:b/>
          <w:sz w:val="24"/>
        </w:rPr>
        <w:t>2.7.2供应商不得具有的情形（实质性要求）</w:t>
      </w:r>
    </w:p>
    <w:p>
      <w:pPr>
        <w:pStyle w:val="null3"/>
        <w:ind w:firstLine="480"/>
        <w:jc w:val="left"/>
      </w:pPr>
      <w:r>
        <w:rPr/>
        <w:t>供应商参加响应不得有下列情形：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（二）不同供应商委托同一单位或者个人办理磋商事宜；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二、提供虚假材料谋取成交；</w:t>
      </w:r>
    </w:p>
    <w:p>
      <w:pPr>
        <w:pStyle w:val="null3"/>
        <w:ind w:firstLine="480"/>
        <w:jc w:val="left"/>
      </w:pPr>
      <w:r>
        <w:rPr/>
        <w:t>三、采取不正当手段诋毁、排挤其他供应商；</w:t>
      </w:r>
    </w:p>
    <w:p>
      <w:pPr>
        <w:pStyle w:val="null3"/>
        <w:ind w:firstLine="480"/>
        <w:jc w:val="left"/>
      </w:pPr>
      <w:r>
        <w:rPr/>
        <w:t>四、与采购人或代理机构、其他供应商恶意串通；</w:t>
      </w:r>
    </w:p>
    <w:p>
      <w:pPr>
        <w:pStyle w:val="null3"/>
        <w:ind w:firstLine="480"/>
        <w:jc w:val="left"/>
      </w:pPr>
      <w:r>
        <w:rPr/>
        <w:t>五、向采购人或代理机构、磋商小组成员行贿或者提供其他不正当利益；</w:t>
      </w:r>
    </w:p>
    <w:p>
      <w:pPr>
        <w:pStyle w:val="null3"/>
        <w:ind w:firstLine="480"/>
        <w:jc w:val="left"/>
      </w:pPr>
      <w:r>
        <w:rPr/>
        <w:t>六、在磋商过程中与采购人或代理机构进行协商磋商；</w:t>
      </w:r>
    </w:p>
    <w:p>
      <w:pPr>
        <w:pStyle w:val="null3"/>
        <w:ind w:firstLine="480"/>
        <w:jc w:val="left"/>
      </w:pPr>
      <w:r>
        <w:rPr/>
        <w:t>七、成交后无正当理由拒不与采购人签订政府采购合同；</w:t>
      </w:r>
    </w:p>
    <w:p>
      <w:pPr>
        <w:pStyle w:val="null3"/>
        <w:ind w:firstLine="480"/>
        <w:jc w:val="left"/>
      </w:pPr>
      <w:r>
        <w:rPr/>
        <w:t>八、未按照磋商文件确定的事项签订政府采购合同；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供应商有上述情形的，按照规定追究法律责任，具有前述一至十一条情形之一的，其响应文件无效，或取消被确认为成交供应商的资格或认定成交无效。</w:t>
      </w:r>
    </w:p>
    <w:p>
      <w:pPr>
        <w:pStyle w:val="null3"/>
        <w:ind w:firstLine="480"/>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ind w:firstLine="480"/>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根据委托代理协议约定，供应商对采购文件中采购需求的询问、质疑由</w:t>
      </w:r>
      <w:r>
        <w:rPr/>
        <w:t>四川轩辕招标代理有限公司</w:t>
      </w:r>
      <w:r>
        <w:rPr/>
        <w:t>负责答复；供应商对除采购需求外的采购文件的询问、质疑由</w:t>
      </w:r>
      <w:r>
        <w:rPr/>
        <w:t>四川轩辕招标代理有限公司</w:t>
      </w:r>
      <w:r>
        <w:rPr/>
        <w:t>负责答复；供应商对采购过程、采购结果的询问、质疑由</w:t>
      </w:r>
      <w:r>
        <w:rPr/>
        <w:t>四川轩辕招标代理有限公司</w:t>
      </w:r>
      <w:r>
        <w:rPr/>
        <w:t>负责答复。</w:t>
      </w:r>
    </w:p>
    <w:p>
      <w:pPr>
        <w:pStyle w:val="null3"/>
        <w:ind w:firstLine="480"/>
        <w:jc w:val="left"/>
      </w:pPr>
      <w:r>
        <w:rPr/>
        <w:t>三、供应商提出的询问，应当明确询问事项，如以书面形式提出的，应由供应商签字并加盖公章。</w:t>
      </w:r>
    </w:p>
    <w:p>
      <w:pPr>
        <w:pStyle w:val="null3"/>
        <w:ind w:firstLine="480"/>
        <w:jc w:val="left"/>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left"/>
      </w:pPr>
      <w:r>
        <w:rPr/>
        <w:t>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jc w:val="left"/>
      </w:pPr>
      <w:r>
        <w:rPr/>
        <w:t>五、本项目不接受在线提交质疑，供应商通过书面形式线下向采购人或代理机构提交质疑资料。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（一）质疑函正本1份；（政府采购供应商质疑函范本详见附件一）</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（五）针对质疑事项必要的证明材料（针对磋商文件提出的质疑，需提交从项目电子化交易系统获取的磋商文件回执单）。</w:t>
      </w:r>
    </w:p>
    <w:p>
      <w:pPr>
        <w:pStyle w:val="null3"/>
        <w:jc w:val="left"/>
      </w:pPr>
    </w:p>
    <w:p>
      <w:pPr>
        <w:pStyle w:val="null3"/>
        <w:jc w:val="left"/>
      </w:pPr>
    </w:p>
    <w:p>
      <w:pPr>
        <w:pStyle w:val="null3"/>
        <w:jc w:val="left"/>
      </w:pPr>
      <w:r>
        <w:rPr/>
        <w:t>答复主体：代理机构</w:t>
      </w:r>
    </w:p>
    <w:p>
      <w:pPr>
        <w:pStyle w:val="null3"/>
        <w:jc w:val="left"/>
      </w:pPr>
      <w:r>
        <w:rPr/>
        <w:t>联系人：谭老师</w:t>
      </w:r>
    </w:p>
    <w:p>
      <w:pPr>
        <w:pStyle w:val="null3"/>
        <w:jc w:val="left"/>
      </w:pPr>
      <w:r>
        <w:rPr/>
        <w:t>联系电话：028-65731881</w:t>
      </w:r>
    </w:p>
    <w:p>
      <w:pPr>
        <w:pStyle w:val="null3"/>
        <w:jc w:val="left"/>
      </w:pPr>
      <w:r>
        <w:rPr/>
        <w:t>地址：成都市锦江区墨香路87号8栋4楼</w:t>
      </w:r>
    </w:p>
    <w:p>
      <w:pPr>
        <w:pStyle w:val="null3"/>
        <w:jc w:val="left"/>
      </w:pPr>
      <w:r>
        <w:rPr/>
        <w:t>邮编：610021</w:t>
      </w:r>
    </w:p>
    <w:p>
      <w:pPr>
        <w:pStyle w:val="null3"/>
        <w:ind w:firstLine="480"/>
        <w:jc w:val="left"/>
      </w:pPr>
      <w:r>
        <w:rPr/>
        <w:t>注：根据《中华人民共和国政府采购法》的规定，供应商质疑不得超出磋商文件、采购过程、采购结果的范围。</w:t>
      </w:r>
    </w:p>
    <w:p>
      <w:pPr>
        <w:pStyle w:val="null3"/>
        <w:ind w:firstLine="480"/>
        <w:jc w:val="left"/>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jc w:val="left"/>
      </w:pPr>
      <w:r>
        <w:rPr/>
        <w:t>投诉受理单位：本采购项目同级财政部门。（政府采购供应商投诉书范本详见附件二）</w:t>
      </w:r>
    </w:p>
    <w:p>
      <w:pPr>
        <w:pStyle w:val="null3"/>
        <w:jc w:val="left"/>
      </w:pPr>
    </w:p>
    <w:p>
      <w:pPr>
        <w:pStyle w:val="null3"/>
        <w:ind w:firstLine="480"/>
        <w:jc w:val="left"/>
      </w:pPr>
      <w:r>
        <w:rPr/>
        <w:t xml:space="preserve"> </w:t>
      </w:r>
    </w:p>
    <w:p>
      <w:pPr>
        <w:pStyle w:val="null3"/>
        <w:ind w:firstLine="480"/>
        <w:jc w:val="center"/>
        <w:outlineLvl w:val="1"/>
      </w:pPr>
      <w:r>
        <w:rPr>
          <w:b/>
          <w:sz w:val="36"/>
        </w:rPr>
        <w:t>第三章 磋商项目技术、服务、商务及其他要求</w:t>
      </w:r>
    </w:p>
    <w:p>
      <w:pPr>
        <w:pStyle w:val="null3"/>
        <w:ind w:firstLine="480"/>
        <w:jc w:val="left"/>
      </w:pPr>
      <w:r>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jc w:val="left"/>
        <w:outlineLvl w:val="2"/>
      </w:pPr>
      <w:r>
        <w:rPr>
          <w:b/>
          <w:sz w:val="28"/>
        </w:rPr>
        <w:t>3.1、采购项目概况</w:t>
      </w:r>
    </w:p>
    <w:p>
      <w:pPr>
        <w:pStyle w:val="null3"/>
        <w:jc w:val="left"/>
      </w:pPr>
    </w:p>
    <w:p>
      <w:pPr>
        <w:pStyle w:val="null3"/>
        <w:jc w:val="left"/>
      </w:pPr>
      <w:r>
        <w:rPr/>
        <w:t>为贯彻落实省委、省政府和厅党组决策部署和工作要求，利用四川日报报业集团媒体平台，加强四川文化旅游宣传推广，实施2023年四川日报报业集团宣传服务项目。</w:t>
      </w:r>
    </w:p>
    <w:p>
      <w:pPr>
        <w:pStyle w:val="null3"/>
        <w:ind w:firstLine="480"/>
        <w:jc w:val="left"/>
        <w:outlineLvl w:val="2"/>
      </w:pPr>
      <w:r>
        <w:rPr>
          <w:b/>
          <w:sz w:val="28"/>
        </w:rPr>
        <w:t>3.2、服务内容及服务要求</w:t>
      </w:r>
    </w:p>
    <w:p>
      <w:pPr>
        <w:pStyle w:val="null3"/>
        <w:ind w:firstLine="480"/>
        <w:jc w:val="left"/>
        <w:outlineLvl w:val="3"/>
      </w:pPr>
      <w:r>
        <w:rPr>
          <w:b/>
          <w:sz w:val="24"/>
        </w:rPr>
        <w:t>3.2.1服务内容</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2,000,000.00</w:t>
      </w:r>
    </w:p>
    <w:p>
      <w:pPr>
        <w:pStyle w:val="null3"/>
        <w:jc w:val="left"/>
      </w:pPr>
      <w:r>
        <w:rPr/>
        <w:t>采购包最高限价（元）: 2,000,000.00</w:t>
      </w:r>
    </w:p>
    <w:p>
      <w:pPr>
        <w:pStyle w:val="null3"/>
        <w:jc w:val="left"/>
      </w:pPr>
      <w:r>
        <w:rPr/>
        <w:t>供应商报价不允许超过标的金额</w:t>
      </w:r>
    </w:p>
    <w:p>
      <w:pPr>
        <w:pStyle w:val="null3"/>
        <w:jc w:val="left"/>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t>序号</w:t>
            </w:r>
          </w:p>
        </w:tc>
        <w:tc>
          <w:tcPr>
            <w:tcW w:type="dxa" w:w="831"/>
          </w:tcPr>
          <w:p>
            <w:pPr>
              <w:pStyle w:val="null3"/>
              <w:jc w:val="left"/>
            </w:pPr>
            <w:r>
              <w:rPr/>
              <w:t>标的名称</w:t>
            </w:r>
          </w:p>
        </w:tc>
        <w:tc>
          <w:tcPr>
            <w:tcW w:type="dxa" w:w="831"/>
          </w:tcPr>
          <w:p>
            <w:pPr>
              <w:pStyle w:val="null3"/>
              <w:jc w:val="left"/>
            </w:pPr>
            <w:r>
              <w:rPr/>
              <w:t>数量</w:t>
            </w:r>
          </w:p>
        </w:tc>
        <w:tc>
          <w:tcPr>
            <w:tcW w:type="dxa" w:w="831"/>
          </w:tcPr>
          <w:p>
            <w:pPr>
              <w:pStyle w:val="null3"/>
              <w:jc w:val="left"/>
            </w:pPr>
            <w:r>
              <w:rPr/>
              <w:t>标的金额 （元）</w:t>
            </w:r>
          </w:p>
        </w:tc>
        <w:tc>
          <w:tcPr>
            <w:tcW w:type="dxa" w:w="831"/>
          </w:tcPr>
          <w:p>
            <w:pPr>
              <w:pStyle w:val="null3"/>
              <w:jc w:val="left"/>
            </w:pPr>
            <w:r>
              <w:rPr/>
              <w:t>计量单位</w:t>
            </w:r>
          </w:p>
        </w:tc>
        <w:tc>
          <w:tcPr>
            <w:tcW w:type="dxa" w:w="831"/>
          </w:tcPr>
          <w:p>
            <w:pPr>
              <w:pStyle w:val="null3"/>
              <w:jc w:val="left"/>
            </w:pPr>
            <w:r>
              <w:rPr/>
              <w:t>所属行业</w:t>
            </w:r>
          </w:p>
        </w:tc>
        <w:tc>
          <w:tcPr>
            <w:tcW w:type="dxa" w:w="831"/>
          </w:tcPr>
          <w:p>
            <w:pPr>
              <w:pStyle w:val="null3"/>
              <w:jc w:val="left"/>
            </w:pPr>
            <w:r>
              <w:rPr/>
              <w:t>是否核心产品</w:t>
            </w:r>
          </w:p>
        </w:tc>
        <w:tc>
          <w:tcPr>
            <w:tcW w:type="dxa" w:w="831"/>
          </w:tcPr>
          <w:p>
            <w:pPr>
              <w:pStyle w:val="null3"/>
              <w:jc w:val="left"/>
            </w:pPr>
            <w:r>
              <w:rPr/>
              <w:t>是否允许进口产品</w:t>
            </w:r>
          </w:p>
        </w:tc>
        <w:tc>
          <w:tcPr>
            <w:tcW w:type="dxa" w:w="831"/>
          </w:tcPr>
          <w:p>
            <w:pPr>
              <w:pStyle w:val="null3"/>
              <w:jc w:val="left"/>
            </w:pPr>
            <w:r>
              <w:rPr/>
              <w:t>是否属于节能产品</w:t>
            </w:r>
          </w:p>
        </w:tc>
        <w:tc>
          <w:tcPr>
            <w:tcW w:type="dxa" w:w="831"/>
          </w:tcPr>
          <w:p>
            <w:pPr>
              <w:pStyle w:val="null3"/>
              <w:jc w:val="left"/>
            </w:pPr>
            <w:r>
              <w:rPr/>
              <w:t>是否属于环境标志产品</w:t>
            </w:r>
          </w:p>
        </w:tc>
      </w:tr>
      <w:tr>
        <w:tc>
          <w:tcPr>
            <w:tcW w:type="dxa" w:w="831"/>
          </w:tcPr>
          <w:p>
            <w:pPr>
              <w:pStyle w:val="null3"/>
              <w:jc w:val="left"/>
            </w:pPr>
            <w:r>
              <w:rPr/>
              <w:t>1</w:t>
            </w:r>
          </w:p>
        </w:tc>
        <w:tc>
          <w:tcPr>
            <w:tcW w:type="dxa" w:w="831"/>
          </w:tcPr>
          <w:p>
            <w:pPr>
              <w:pStyle w:val="null3"/>
              <w:jc w:val="left"/>
            </w:pPr>
            <w:r>
              <w:rPr/>
              <w:t>四川日报报业集团宣传服务</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left"/>
            </w:pPr>
            <w:r>
              <w:rPr/>
              <w:t>项</w:t>
            </w:r>
          </w:p>
        </w:tc>
        <w:tc>
          <w:tcPr>
            <w:tcW w:type="dxa" w:w="831"/>
          </w:tcPr>
          <w:p>
            <w:pPr>
              <w:pStyle w:val="null3"/>
              <w:jc w:val="left"/>
            </w:pPr>
            <w:r>
              <w:rPr/>
              <w:t>其他未列明行业</w:t>
            </w:r>
          </w:p>
        </w:tc>
        <w:tc>
          <w:tcPr>
            <w:tcW w:type="dxa" w:w="831"/>
          </w:tcPr>
          <w:p>
            <w:pPr>
              <w:pStyle w:val="null3"/>
              <w:jc w:val="left"/>
            </w:pPr>
            <w:r>
              <w:rPr/>
              <w:t>否</w:t>
            </w:r>
          </w:p>
        </w:tc>
        <w:tc>
          <w:tcPr>
            <w:tcW w:type="dxa" w:w="831"/>
          </w:tcPr>
          <w:p>
            <w:pPr>
              <w:pStyle w:val="null3"/>
              <w:jc w:val="left"/>
            </w:pPr>
            <w:r>
              <w:rPr/>
              <w:t>否</w:t>
            </w:r>
          </w:p>
        </w:tc>
        <w:tc>
          <w:tcPr>
            <w:tcW w:type="dxa" w:w="831"/>
          </w:tcPr>
          <w:p>
            <w:pPr>
              <w:pStyle w:val="null3"/>
              <w:jc w:val="left"/>
            </w:pPr>
            <w:r>
              <w:rPr/>
              <w:t>否</w:t>
            </w:r>
          </w:p>
        </w:tc>
        <w:tc>
          <w:tcPr>
            <w:tcW w:type="dxa" w:w="831"/>
          </w:tcPr>
          <w:p>
            <w:pPr>
              <w:pStyle w:val="null3"/>
              <w:jc w:val="left"/>
            </w:pPr>
            <w:r>
              <w:rPr/>
              <w:t>否</w:t>
            </w:r>
          </w:p>
        </w:tc>
      </w:tr>
    </w:tbl>
    <w:p>
      <w:pPr>
        <w:pStyle w:val="null3"/>
        <w:ind w:firstLine="480"/>
        <w:jc w:val="left"/>
        <w:outlineLvl w:val="2"/>
      </w:pPr>
      <w:r>
        <w:rPr>
          <w:b/>
          <w:sz w:val="28"/>
        </w:rPr>
        <w:t>3.2.2服务要求</w:t>
      </w:r>
    </w:p>
    <w:p>
      <w:pPr>
        <w:pStyle w:val="null3"/>
        <w:jc w:val="left"/>
      </w:pPr>
    </w:p>
    <w:p>
      <w:pPr>
        <w:pStyle w:val="null3"/>
        <w:jc w:val="left"/>
      </w:pPr>
    </w:p>
    <w:p>
      <w:pPr>
        <w:pStyle w:val="null3"/>
        <w:jc w:val="left"/>
      </w:pPr>
    </w:p>
    <w:p>
      <w:pPr>
        <w:pStyle w:val="null3"/>
        <w:jc w:val="left"/>
      </w:pPr>
      <w:r>
        <w:rPr/>
        <w:t>采购包1：</w:t>
      </w:r>
    </w:p>
    <w:p>
      <w:pPr>
        <w:pStyle w:val="null3"/>
        <w:jc w:val="left"/>
      </w:pPr>
    </w:p>
    <w:p>
      <w:pPr>
        <w:pStyle w:val="null3"/>
        <w:jc w:val="left"/>
      </w:pPr>
      <w:r>
        <w:rPr/>
        <w:t>标的名称：四川日报报业集团宣传服务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参数性质</w:t>
            </w:r>
          </w:p>
        </w:tc>
        <w:tc>
          <w:tcPr>
            <w:tcW w:type="dxa" w:w="2769"/>
          </w:tcPr>
          <w:p>
            <w:pPr>
              <w:pStyle w:val="null3"/>
              <w:jc w:val="left"/>
            </w:pPr>
            <w:r>
              <w:rPr/>
              <w:t>序号</w:t>
            </w:r>
          </w:p>
        </w:tc>
        <w:tc>
          <w:tcPr>
            <w:tcW w:type="dxa" w:w="2769"/>
          </w:tcPr>
          <w:p>
            <w:pPr>
              <w:pStyle w:val="null3"/>
              <w:jc w:val="left"/>
            </w:pPr>
            <w:r>
              <w:rPr/>
              <w:t>技术参数与性能指标</w:t>
            </w:r>
          </w:p>
        </w:tc>
      </w:tr>
      <w:tr>
        <w:tc>
          <w:tcPr>
            <w:tcW w:type="dxa" w:w="2769"/>
          </w:tcPr>
          <w:p>
            <w:pPr>
              <w:pStyle w:val="null3"/>
              <w:jc w:val="left"/>
            </w:pPr>
            <w:r>
              <w:rPr/>
              <w:t>★</w:t>
            </w:r>
          </w:p>
        </w:tc>
        <w:tc>
          <w:tcPr>
            <w:tcW w:type="dxa" w:w="2769"/>
          </w:tcPr>
          <w:p>
            <w:pPr>
              <w:pStyle w:val="null3"/>
              <w:jc w:val="left"/>
            </w:pPr>
            <w:r>
              <w:rPr/>
              <w:t>1</w:t>
            </w:r>
          </w:p>
        </w:tc>
        <w:tc>
          <w:tcPr>
            <w:tcW w:type="dxa" w:w="2769"/>
          </w:tcPr>
          <w:p>
            <w:pPr>
              <w:pStyle w:val="null3"/>
              <w:ind w:firstLine="480"/>
              <w:jc w:val="both"/>
            </w:pPr>
            <w:r>
              <w:rPr>
                <w:rFonts w:ascii="仿宋" w:hAnsi="仿宋" w:cs="仿宋" w:eastAsia="仿宋"/>
                <w:sz w:val="21"/>
              </w:rPr>
              <w:t>（一）服务</w:t>
            </w:r>
            <w:r>
              <w:rPr>
                <w:rFonts w:ascii="仿宋" w:hAnsi="仿宋" w:cs="仿宋" w:eastAsia="仿宋"/>
                <w:sz w:val="21"/>
              </w:rPr>
              <w:t>内容</w:t>
            </w:r>
          </w:p>
          <w:p>
            <w:pPr>
              <w:pStyle w:val="null3"/>
              <w:ind w:firstLine="480"/>
              <w:jc w:val="both"/>
            </w:pPr>
            <w:r>
              <w:rPr>
                <w:rFonts w:ascii="仿宋" w:hAnsi="仿宋" w:cs="仿宋" w:eastAsia="仿宋"/>
                <w:sz w:val="21"/>
              </w:rPr>
              <w:t>1</w:t>
            </w:r>
            <w:r>
              <w:rPr>
                <w:rFonts w:ascii="仿宋" w:hAnsi="仿宋" w:cs="仿宋" w:eastAsia="仿宋"/>
                <w:sz w:val="21"/>
              </w:rPr>
              <w:t>．围绕</w:t>
            </w:r>
            <w:r>
              <w:rPr>
                <w:rFonts w:ascii="仿宋" w:hAnsi="仿宋" w:cs="仿宋" w:eastAsia="仿宋"/>
                <w:sz w:val="21"/>
              </w:rPr>
              <w:t>深入</w:t>
            </w:r>
            <w:r>
              <w:rPr>
                <w:rFonts w:ascii="仿宋" w:hAnsi="仿宋" w:cs="仿宋" w:eastAsia="仿宋"/>
                <w:sz w:val="21"/>
              </w:rPr>
              <w:t>贯彻落实党的二十大精神</w:t>
            </w:r>
            <w:r>
              <w:rPr>
                <w:rFonts w:ascii="仿宋" w:hAnsi="仿宋" w:cs="仿宋" w:eastAsia="仿宋"/>
                <w:sz w:val="21"/>
              </w:rPr>
              <w:t>和</w:t>
            </w:r>
            <w:r>
              <w:rPr>
                <w:rFonts w:ascii="仿宋" w:hAnsi="仿宋" w:cs="仿宋" w:eastAsia="仿宋"/>
                <w:sz w:val="21"/>
              </w:rPr>
              <w:t>省第十二次党代会</w:t>
            </w:r>
            <w:r>
              <w:rPr>
                <w:rFonts w:ascii="仿宋" w:hAnsi="仿宋" w:cs="仿宋" w:eastAsia="仿宋"/>
                <w:sz w:val="21"/>
              </w:rPr>
              <w:t>精神，</w:t>
            </w:r>
            <w:r>
              <w:rPr>
                <w:rFonts w:ascii="仿宋" w:hAnsi="仿宋" w:cs="仿宋" w:eastAsia="仿宋"/>
                <w:sz w:val="21"/>
              </w:rPr>
              <w:t>坚持以文塑旅、以旅彰文，推动文旅深度融合发展，奋力打造名扬天下、享誉全球</w:t>
            </w:r>
            <w:r>
              <w:rPr>
                <w:rFonts w:ascii="仿宋" w:hAnsi="仿宋" w:cs="仿宋" w:eastAsia="仿宋"/>
                <w:sz w:val="21"/>
              </w:rPr>
              <w:t>的世界重要旅游目的地</w:t>
            </w:r>
            <w:r>
              <w:rPr>
                <w:rFonts w:ascii="仿宋" w:hAnsi="仿宋" w:cs="仿宋" w:eastAsia="仿宋"/>
                <w:sz w:val="21"/>
              </w:rPr>
              <w:t>，加快建设文化强省旅游强省进行宣传。</w:t>
            </w:r>
          </w:p>
          <w:p>
            <w:pPr>
              <w:pStyle w:val="null3"/>
              <w:ind w:firstLine="480"/>
              <w:jc w:val="both"/>
            </w:pPr>
            <w:r>
              <w:rPr>
                <w:rFonts w:ascii="仿宋" w:hAnsi="仿宋" w:cs="仿宋" w:eastAsia="仿宋"/>
                <w:sz w:val="21"/>
              </w:rPr>
              <w:t>2．</w:t>
            </w:r>
            <w:r>
              <w:rPr>
                <w:rFonts w:ascii="仿宋" w:hAnsi="仿宋" w:cs="仿宋" w:eastAsia="仿宋"/>
                <w:sz w:val="21"/>
              </w:rPr>
              <w:t>围绕</w:t>
            </w:r>
            <w:r>
              <w:rPr>
                <w:rFonts w:ascii="仿宋" w:hAnsi="仿宋" w:cs="仿宋" w:eastAsia="仿宋"/>
                <w:sz w:val="21"/>
              </w:rPr>
              <w:t>“十四五”期间基本建成文化强省旅游强省目标，不断推动文化和旅游高质量发展，着力提升巴蜀文化影响力、区域协同带动力、文旅产业竞争力、优质产品供给力和文旅综合支撑力</w:t>
            </w:r>
            <w:r>
              <w:rPr>
                <w:rFonts w:ascii="仿宋" w:hAnsi="仿宋" w:cs="仿宋" w:eastAsia="仿宋"/>
                <w:sz w:val="21"/>
              </w:rPr>
              <w:t>等</w:t>
            </w:r>
            <w:r>
              <w:rPr>
                <w:rFonts w:ascii="仿宋" w:hAnsi="仿宋" w:cs="仿宋" w:eastAsia="仿宋"/>
                <w:sz w:val="21"/>
              </w:rPr>
              <w:t>方面宣传</w:t>
            </w:r>
            <w:r>
              <w:rPr>
                <w:rFonts w:ascii="仿宋" w:hAnsi="仿宋" w:cs="仿宋" w:eastAsia="仿宋"/>
                <w:sz w:val="21"/>
              </w:rPr>
              <w:t>。</w:t>
            </w:r>
          </w:p>
          <w:p>
            <w:pPr>
              <w:pStyle w:val="null3"/>
              <w:ind w:firstLine="480"/>
              <w:jc w:val="both"/>
            </w:pPr>
            <w:r>
              <w:rPr>
                <w:rFonts w:ascii="仿宋" w:hAnsi="仿宋" w:cs="仿宋" w:eastAsia="仿宋"/>
                <w:sz w:val="21"/>
              </w:rPr>
              <w:t>3．重点</w:t>
            </w:r>
            <w:r>
              <w:rPr>
                <w:rFonts w:ascii="仿宋" w:hAnsi="仿宋" w:cs="仿宋" w:eastAsia="仿宋"/>
                <w:sz w:val="21"/>
              </w:rPr>
              <w:t>推广</w:t>
            </w:r>
            <w:r>
              <w:rPr>
                <w:rFonts w:ascii="仿宋" w:hAnsi="仿宋" w:cs="仿宋" w:eastAsia="仿宋"/>
                <w:sz w:val="21"/>
              </w:rPr>
              <w:t>“天府之国”“安逸四川”“熊猫家园”“古蜀文明”</w:t>
            </w:r>
            <w:r>
              <w:rPr>
                <w:rFonts w:ascii="仿宋" w:hAnsi="仿宋" w:cs="仿宋" w:eastAsia="仿宋"/>
                <w:sz w:val="21"/>
              </w:rPr>
              <w:t>品牌形象，</w:t>
            </w:r>
            <w:r>
              <w:rPr>
                <w:rFonts w:ascii="仿宋" w:hAnsi="仿宋" w:cs="仿宋" w:eastAsia="仿宋"/>
                <w:sz w:val="21"/>
              </w:rPr>
              <w:t>做好</w:t>
            </w:r>
            <w:r>
              <w:rPr>
                <w:rFonts w:ascii="仿宋" w:hAnsi="仿宋" w:cs="仿宋" w:eastAsia="仿宋"/>
                <w:sz w:val="21"/>
              </w:rPr>
              <w:t>天府旅游名县、</w:t>
            </w:r>
            <w:r>
              <w:rPr>
                <w:rFonts w:ascii="仿宋" w:hAnsi="仿宋" w:cs="仿宋" w:eastAsia="仿宋"/>
                <w:sz w:val="21"/>
              </w:rPr>
              <w:t>天府旅游名牌宣传推广</w:t>
            </w:r>
            <w:r>
              <w:rPr>
                <w:rFonts w:ascii="仿宋" w:hAnsi="仿宋" w:cs="仿宋" w:eastAsia="仿宋"/>
                <w:sz w:val="21"/>
              </w:rPr>
              <w:t>，</w:t>
            </w:r>
            <w:r>
              <w:rPr>
                <w:rFonts w:ascii="仿宋" w:hAnsi="仿宋" w:cs="仿宋" w:eastAsia="仿宋"/>
                <w:sz w:val="21"/>
              </w:rPr>
              <w:t>围绕“三星堆-金沙、九寨沟-黄龙、大熊猫、都江堰-青城山、峨眉山-乐山大佛等</w:t>
            </w:r>
            <w:r>
              <w:rPr>
                <w:rFonts w:ascii="仿宋" w:hAnsi="仿宋" w:cs="仿宋" w:eastAsia="仿宋"/>
                <w:sz w:val="21"/>
              </w:rPr>
              <w:t>世界级旅游景区和“十大四廊”文旅精品</w:t>
            </w:r>
            <w:r>
              <w:rPr>
                <w:rFonts w:ascii="仿宋" w:hAnsi="仿宋" w:cs="仿宋" w:eastAsia="仿宋"/>
                <w:sz w:val="21"/>
              </w:rPr>
              <w:t>开展宣传</w:t>
            </w:r>
            <w:r>
              <w:rPr>
                <w:rFonts w:ascii="仿宋" w:hAnsi="仿宋" w:cs="仿宋" w:eastAsia="仿宋"/>
                <w:sz w:val="21"/>
              </w:rPr>
              <w:t>推广，围绕长江、黄河国家文化公园建设和嘉陵江、大渡河、安宁河等风景道建设做好宣传。</w:t>
            </w:r>
          </w:p>
          <w:p>
            <w:pPr>
              <w:pStyle w:val="null3"/>
              <w:ind w:firstLine="480"/>
              <w:jc w:val="both"/>
            </w:pPr>
            <w:r>
              <w:rPr>
                <w:rFonts w:ascii="仿宋" w:hAnsi="仿宋" w:cs="仿宋" w:eastAsia="仿宋"/>
                <w:sz w:val="21"/>
              </w:rPr>
              <w:t>4．</w:t>
            </w:r>
            <w:r>
              <w:rPr>
                <w:rFonts w:ascii="仿宋" w:hAnsi="仿宋" w:cs="仿宋" w:eastAsia="仿宋"/>
                <w:sz w:val="21"/>
              </w:rPr>
              <w:t>围绕加快建设巴蜀文化旅游走廊和</w:t>
            </w:r>
            <w:r>
              <w:rPr>
                <w:rFonts w:ascii="仿宋" w:hAnsi="仿宋" w:cs="仿宋" w:eastAsia="仿宋"/>
                <w:sz w:val="21"/>
              </w:rPr>
              <w:t>全省文旅重大部署、重点工作、重要节会</w:t>
            </w:r>
            <w:r>
              <w:rPr>
                <w:rFonts w:ascii="仿宋" w:hAnsi="仿宋" w:cs="仿宋" w:eastAsia="仿宋"/>
                <w:sz w:val="21"/>
              </w:rPr>
              <w:t>、重大</w:t>
            </w:r>
            <w:r>
              <w:rPr>
                <w:rFonts w:ascii="仿宋" w:hAnsi="仿宋" w:cs="仿宋" w:eastAsia="仿宋"/>
                <w:sz w:val="21"/>
              </w:rPr>
              <w:t>活动、</w:t>
            </w:r>
            <w:r>
              <w:rPr>
                <w:rFonts w:ascii="仿宋" w:hAnsi="仿宋" w:cs="仿宋" w:eastAsia="仿宋"/>
                <w:sz w:val="21"/>
              </w:rPr>
              <w:t>重点项目、</w:t>
            </w:r>
            <w:r>
              <w:rPr>
                <w:rFonts w:ascii="仿宋" w:hAnsi="仿宋" w:cs="仿宋" w:eastAsia="仿宋"/>
                <w:sz w:val="21"/>
              </w:rPr>
              <w:t>成绩成就等宣传。</w:t>
            </w:r>
          </w:p>
          <w:p>
            <w:pPr>
              <w:pStyle w:val="null3"/>
              <w:ind w:firstLine="480"/>
              <w:jc w:val="both"/>
            </w:pPr>
            <w:r>
              <w:rPr>
                <w:rFonts w:ascii="仿宋" w:hAnsi="仿宋" w:cs="仿宋" w:eastAsia="仿宋"/>
                <w:sz w:val="21"/>
              </w:rPr>
              <w:t>5</w:t>
            </w:r>
            <w:r>
              <w:rPr>
                <w:rFonts w:ascii="仿宋" w:hAnsi="仿宋" w:cs="仿宋" w:eastAsia="仿宋"/>
                <w:sz w:val="21"/>
              </w:rPr>
              <w:t>．</w:t>
            </w:r>
            <w:r>
              <w:rPr>
                <w:rFonts w:ascii="仿宋" w:hAnsi="仿宋" w:cs="仿宋" w:eastAsia="仿宋"/>
                <w:sz w:val="21"/>
              </w:rPr>
              <w:t>围绕</w:t>
            </w:r>
            <w:r>
              <w:rPr>
                <w:rFonts w:ascii="仿宋" w:hAnsi="仿宋" w:cs="仿宋" w:eastAsia="仿宋"/>
                <w:sz w:val="21"/>
              </w:rPr>
              <w:t>文艺</w:t>
            </w:r>
            <w:r>
              <w:rPr>
                <w:rFonts w:ascii="仿宋" w:hAnsi="仿宋" w:cs="仿宋" w:eastAsia="仿宋"/>
                <w:sz w:val="21"/>
              </w:rPr>
              <w:t>精品</w:t>
            </w:r>
            <w:r>
              <w:rPr>
                <w:rFonts w:ascii="仿宋" w:hAnsi="仿宋" w:cs="仿宋" w:eastAsia="仿宋"/>
                <w:sz w:val="21"/>
              </w:rPr>
              <w:t>创作生产</w:t>
            </w:r>
            <w:r>
              <w:rPr>
                <w:rFonts w:ascii="仿宋" w:hAnsi="仿宋" w:cs="仿宋" w:eastAsia="仿宋"/>
                <w:sz w:val="21"/>
              </w:rPr>
              <w:t>、</w:t>
            </w:r>
            <w:r>
              <w:rPr>
                <w:rFonts w:ascii="仿宋" w:hAnsi="仿宋" w:cs="仿宋" w:eastAsia="仿宋"/>
                <w:sz w:val="21"/>
              </w:rPr>
              <w:t>展示展演展播</w:t>
            </w:r>
            <w:r>
              <w:rPr>
                <w:rFonts w:ascii="仿宋" w:hAnsi="仿宋" w:cs="仿宋" w:eastAsia="仿宋"/>
                <w:sz w:val="21"/>
              </w:rPr>
              <w:t>、提升城乡公共文化服务、</w:t>
            </w:r>
            <w:r>
              <w:rPr>
                <w:rFonts w:ascii="仿宋" w:hAnsi="仿宋" w:cs="仿宋" w:eastAsia="仿宋"/>
                <w:sz w:val="21"/>
              </w:rPr>
              <w:t>加强文化遗产</w:t>
            </w:r>
            <w:r>
              <w:rPr>
                <w:rFonts w:ascii="仿宋" w:hAnsi="仿宋" w:cs="仿宋" w:eastAsia="仿宋"/>
                <w:sz w:val="21"/>
              </w:rPr>
              <w:t>系统性保护利用</w:t>
            </w:r>
            <w:r>
              <w:rPr>
                <w:rFonts w:ascii="仿宋" w:hAnsi="仿宋" w:cs="仿宋" w:eastAsia="仿宋"/>
                <w:sz w:val="21"/>
              </w:rPr>
              <w:t>、</w:t>
            </w:r>
            <w:r>
              <w:rPr>
                <w:rFonts w:ascii="仿宋" w:hAnsi="仿宋" w:cs="仿宋" w:eastAsia="仿宋"/>
                <w:sz w:val="21"/>
              </w:rPr>
              <w:t>推动文化旅游高质量发展、规范</w:t>
            </w:r>
            <w:r>
              <w:rPr>
                <w:rFonts w:ascii="仿宋" w:hAnsi="仿宋" w:cs="仿宋" w:eastAsia="仿宋"/>
                <w:sz w:val="21"/>
              </w:rPr>
              <w:t>文化和旅游</w:t>
            </w:r>
            <w:r>
              <w:rPr>
                <w:rFonts w:ascii="仿宋" w:hAnsi="仿宋" w:cs="仿宋" w:eastAsia="仿宋"/>
                <w:sz w:val="21"/>
              </w:rPr>
              <w:t>市场、</w:t>
            </w:r>
            <w:r>
              <w:rPr>
                <w:rFonts w:ascii="仿宋" w:hAnsi="仿宋" w:cs="仿宋" w:eastAsia="仿宋"/>
                <w:sz w:val="21"/>
              </w:rPr>
              <w:t>深化文化旅游</w:t>
            </w:r>
            <w:r>
              <w:rPr>
                <w:rFonts w:ascii="仿宋" w:hAnsi="仿宋" w:cs="仿宋" w:eastAsia="仿宋"/>
                <w:sz w:val="21"/>
              </w:rPr>
              <w:t>领域</w:t>
            </w:r>
            <w:r>
              <w:rPr>
                <w:rFonts w:ascii="仿宋" w:hAnsi="仿宋" w:cs="仿宋" w:eastAsia="仿宋"/>
                <w:sz w:val="21"/>
              </w:rPr>
              <w:t>改革、国际文化交流旅游合作</w:t>
            </w:r>
            <w:r>
              <w:rPr>
                <w:rFonts w:ascii="仿宋" w:hAnsi="仿宋" w:cs="仿宋" w:eastAsia="仿宋"/>
                <w:sz w:val="21"/>
              </w:rPr>
              <w:t>等</w:t>
            </w:r>
            <w:r>
              <w:rPr>
                <w:rFonts w:ascii="仿宋" w:hAnsi="仿宋" w:cs="仿宋" w:eastAsia="仿宋"/>
                <w:sz w:val="21"/>
              </w:rPr>
              <w:t>进行宣传</w:t>
            </w:r>
            <w:r>
              <w:rPr>
                <w:rFonts w:ascii="仿宋" w:hAnsi="仿宋" w:cs="仿宋" w:eastAsia="仿宋"/>
                <w:sz w:val="21"/>
              </w:rPr>
              <w:t>。</w:t>
            </w:r>
          </w:p>
          <w:p>
            <w:pPr>
              <w:pStyle w:val="null3"/>
              <w:ind w:firstLine="480"/>
              <w:jc w:val="both"/>
            </w:pPr>
            <w:r>
              <w:rPr>
                <w:rFonts w:ascii="仿宋" w:hAnsi="仿宋" w:cs="仿宋" w:eastAsia="仿宋"/>
                <w:sz w:val="21"/>
              </w:rPr>
              <w:t>6</w:t>
            </w:r>
            <w:r>
              <w:rPr>
                <w:rFonts w:ascii="仿宋" w:hAnsi="仿宋" w:cs="仿宋" w:eastAsia="仿宋"/>
                <w:sz w:val="21"/>
              </w:rPr>
              <w:t>．配合做好</w:t>
            </w:r>
            <w:r>
              <w:rPr>
                <w:rFonts w:ascii="仿宋" w:hAnsi="仿宋" w:cs="仿宋" w:eastAsia="仿宋"/>
                <w:sz w:val="21"/>
              </w:rPr>
              <w:t>文旅厅其他重要宣传和服务工作。</w:t>
            </w:r>
          </w:p>
        </w:tc>
      </w:tr>
      <w:tr>
        <w:tc>
          <w:tcPr>
            <w:tcW w:type="dxa" w:w="2769"/>
          </w:tcPr>
          <w:p>
            <w:pPr>
              <w:pStyle w:val="null3"/>
              <w:jc w:val="left"/>
            </w:pPr>
            <w:r>
              <w:rPr/>
              <w:t>★</w:t>
            </w:r>
          </w:p>
        </w:tc>
        <w:tc>
          <w:tcPr>
            <w:tcW w:type="dxa" w:w="2769"/>
          </w:tcPr>
          <w:p>
            <w:pPr>
              <w:pStyle w:val="null3"/>
              <w:jc w:val="left"/>
            </w:pPr>
            <w:r>
              <w:rPr/>
              <w:t>2</w:t>
            </w:r>
          </w:p>
        </w:tc>
        <w:tc>
          <w:tcPr>
            <w:tcW w:type="dxa" w:w="2769"/>
          </w:tcPr>
          <w:p>
            <w:pPr>
              <w:pStyle w:val="null3"/>
              <w:ind w:firstLine="480"/>
              <w:jc w:val="both"/>
            </w:pPr>
            <w:r>
              <w:rPr>
                <w:rFonts w:ascii="仿宋" w:hAnsi="仿宋" w:cs="仿宋" w:eastAsia="仿宋"/>
                <w:sz w:val="21"/>
              </w:rPr>
              <w:t>1．在《四川日报》推出10个彩色整版。</w:t>
            </w:r>
          </w:p>
          <w:p>
            <w:pPr>
              <w:pStyle w:val="null3"/>
              <w:ind w:firstLine="480"/>
              <w:jc w:val="both"/>
            </w:pPr>
            <w:r>
              <w:rPr>
                <w:rFonts w:ascii="仿宋" w:hAnsi="仿宋" w:cs="仿宋" w:eastAsia="仿宋"/>
                <w:sz w:val="21"/>
              </w:rPr>
              <w:t>2．依托四川日报报业集团所属的报纸、网站以及川观新闻APP、微博、微信公众号、抖音等新媒体平台，发布四川文旅信息不少于500条。其中，在川观新闻APP发布四川文旅信息不少于250条。</w:t>
            </w:r>
          </w:p>
          <w:p>
            <w:pPr>
              <w:pStyle w:val="null3"/>
              <w:ind w:firstLine="480"/>
              <w:jc w:val="both"/>
            </w:pPr>
            <w:r>
              <w:rPr>
                <w:rFonts w:ascii="仿宋" w:hAnsi="仿宋" w:cs="仿宋" w:eastAsia="仿宋"/>
                <w:sz w:val="21"/>
              </w:rPr>
              <w:t>3．围绕四川文化旅游宣传推广，策划实施6次专题宣传推广活动。包括1次“媒体说名牌”活动（“媒体说名牌”视频2支推广软文2篇），其他具体内容由双方协商确定。</w:t>
            </w:r>
          </w:p>
          <w:p>
            <w:pPr>
              <w:pStyle w:val="null3"/>
              <w:ind w:firstLine="480"/>
              <w:jc w:val="both"/>
            </w:pPr>
            <w:r>
              <w:rPr>
                <w:rFonts w:ascii="仿宋" w:hAnsi="仿宋" w:cs="仿宋" w:eastAsia="仿宋"/>
                <w:sz w:val="21"/>
              </w:rPr>
              <w:t>4．</w:t>
            </w:r>
            <w:r>
              <w:rPr>
                <w:rFonts w:ascii="仿宋" w:hAnsi="仿宋" w:cs="仿宋" w:eastAsia="仿宋"/>
                <w:sz w:val="21"/>
              </w:rPr>
              <w:t>创意设计并在</w:t>
            </w:r>
            <w:r>
              <w:rPr>
                <w:rFonts w:ascii="仿宋" w:hAnsi="仿宋" w:cs="仿宋" w:eastAsia="仿宋"/>
                <w:sz w:val="21"/>
              </w:rPr>
              <w:t>川观新闻APP推出四川文旅</w:t>
            </w:r>
            <w:r>
              <w:rPr>
                <w:rFonts w:ascii="仿宋" w:hAnsi="仿宋" w:cs="仿宋" w:eastAsia="仿宋"/>
                <w:sz w:val="21"/>
              </w:rPr>
              <w:t>宣传海报不少于</w:t>
            </w:r>
            <w:r>
              <w:rPr>
                <w:rFonts w:ascii="仿宋" w:hAnsi="仿宋" w:cs="仿宋" w:eastAsia="仿宋"/>
                <w:sz w:val="21"/>
              </w:rPr>
              <w:t>10</w:t>
            </w:r>
            <w:r>
              <w:rPr>
                <w:rFonts w:ascii="仿宋" w:hAnsi="仿宋" w:cs="仿宋" w:eastAsia="仿宋"/>
                <w:sz w:val="21"/>
              </w:rPr>
              <w:t>个。</w:t>
            </w:r>
          </w:p>
          <w:p>
            <w:pPr>
              <w:pStyle w:val="null3"/>
              <w:ind w:firstLine="480"/>
              <w:jc w:val="both"/>
            </w:pPr>
            <w:r>
              <w:rPr>
                <w:rFonts w:ascii="仿宋" w:hAnsi="仿宋" w:cs="仿宋" w:eastAsia="仿宋"/>
                <w:sz w:val="21"/>
              </w:rPr>
              <w:t>5．开展（安宁河、大渡河、嘉陵江）风景道线路体验暨媒体采风活动。</w:t>
            </w:r>
          </w:p>
          <w:p>
            <w:pPr>
              <w:pStyle w:val="null3"/>
              <w:ind w:firstLine="480"/>
              <w:jc w:val="both"/>
            </w:pPr>
            <w:r>
              <w:rPr>
                <w:rFonts w:ascii="仿宋" w:hAnsi="仿宋" w:cs="仿宋" w:eastAsia="仿宋"/>
                <w:sz w:val="21"/>
              </w:rPr>
              <w:t>6．合作期内，在《四川日报》</w:t>
            </w:r>
            <w:r>
              <w:rPr>
                <w:rFonts w:ascii="仿宋" w:hAnsi="仿宋" w:cs="仿宋" w:eastAsia="仿宋"/>
                <w:sz w:val="21"/>
              </w:rPr>
              <w:t>推出不少于</w:t>
            </w:r>
            <w:r>
              <w:rPr>
                <w:rFonts w:ascii="仿宋" w:hAnsi="仿宋" w:cs="仿宋" w:eastAsia="仿宋"/>
                <w:sz w:val="21"/>
              </w:rPr>
              <w:t>60</w:t>
            </w:r>
            <w:r>
              <w:rPr>
                <w:rFonts w:ascii="仿宋" w:hAnsi="仿宋" w:cs="仿宋" w:eastAsia="仿宋"/>
                <w:sz w:val="21"/>
              </w:rPr>
              <w:t>期文化和旅游周刊（包括专刊、特刊等）。</w:t>
            </w:r>
          </w:p>
          <w:p>
            <w:pPr>
              <w:pStyle w:val="null3"/>
              <w:ind w:firstLine="480"/>
              <w:jc w:val="both"/>
            </w:pPr>
            <w:r>
              <w:rPr>
                <w:rFonts w:ascii="仿宋" w:hAnsi="仿宋" w:cs="仿宋" w:eastAsia="仿宋"/>
                <w:sz w:val="21"/>
              </w:rPr>
              <w:t>7.采集发布“安逸四川”宣传推广平台信息不少于80条。</w:t>
            </w:r>
          </w:p>
        </w:tc>
      </w:tr>
    </w:tbl>
    <w:p>
      <w:pPr>
        <w:pStyle w:val="null3"/>
        <w:ind w:firstLine="480"/>
        <w:jc w:val="left"/>
        <w:outlineLvl w:val="2"/>
      </w:pPr>
      <w:r>
        <w:rPr>
          <w:b/>
          <w:sz w:val="28"/>
        </w:rPr>
        <w:t>3.2.3人员配置要求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无</w:t>
      </w:r>
    </w:p>
    <w:p>
      <w:pPr>
        <w:pStyle w:val="null3"/>
        <w:ind w:firstLine="480"/>
        <w:jc w:val="left"/>
        <w:outlineLvl w:val="2"/>
      </w:pPr>
      <w:r>
        <w:rPr>
          <w:b/>
          <w:sz w:val="28"/>
        </w:rPr>
        <w:t>3.2.4设施设备要求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无</w:t>
      </w:r>
    </w:p>
    <w:p>
      <w:pPr>
        <w:pStyle w:val="null3"/>
        <w:ind w:firstLine="480"/>
        <w:jc w:val="left"/>
        <w:outlineLvl w:val="2"/>
      </w:pPr>
      <w:r>
        <w:rPr>
          <w:b/>
          <w:sz w:val="28"/>
        </w:rPr>
        <w:t>3.2.5其他要求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无</w:t>
      </w:r>
    </w:p>
    <w:p>
      <w:pPr>
        <w:pStyle w:val="null3"/>
        <w:ind w:firstLine="480"/>
        <w:jc w:val="left"/>
        <w:outlineLvl w:val="2"/>
      </w:pPr>
      <w:r>
        <w:rPr>
          <w:b/>
          <w:sz w:val="28"/>
        </w:rPr>
        <w:t>3.3、商务要求</w:t>
      </w:r>
    </w:p>
    <w:p>
      <w:pPr>
        <w:pStyle w:val="null3"/>
        <w:ind w:firstLine="480"/>
        <w:jc w:val="left"/>
        <w:outlineLvl w:val="3"/>
      </w:pPr>
      <w:r>
        <w:rPr>
          <w:b/>
          <w:sz w:val="24"/>
        </w:rPr>
        <w:t>3.3.1服务期限</w:t>
      </w:r>
    </w:p>
    <w:p>
      <w:pPr>
        <w:pStyle w:val="null3"/>
        <w:jc w:val="left"/>
      </w:pPr>
    </w:p>
    <w:p>
      <w:pPr>
        <w:pStyle w:val="null3"/>
        <w:jc w:val="left"/>
      </w:pPr>
    </w:p>
    <w:p>
      <w:pPr>
        <w:pStyle w:val="null3"/>
        <w:jc w:val="left"/>
      </w:pPr>
    </w:p>
    <w:p>
      <w:pPr>
        <w:pStyle w:val="null3"/>
        <w:jc w:val="left"/>
      </w:pPr>
      <w:r>
        <w:rPr/>
        <w:t>采购包1：</w:t>
      </w:r>
    </w:p>
    <w:p>
      <w:pPr>
        <w:pStyle w:val="null3"/>
        <w:jc w:val="left"/>
      </w:pPr>
      <w:r>
        <w:rPr/>
        <w:t>自合同签订之日起365日</w:t>
      </w:r>
    </w:p>
    <w:p>
      <w:pPr>
        <w:pStyle w:val="null3"/>
        <w:ind w:firstLine="480"/>
        <w:jc w:val="left"/>
        <w:outlineLvl w:val="3"/>
      </w:pPr>
      <w:r>
        <w:rPr>
          <w:b/>
          <w:sz w:val="24"/>
        </w:rPr>
        <w:t>3.3.2服务地点</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采购人指定地点</w:t>
      </w:r>
    </w:p>
    <w:p>
      <w:pPr>
        <w:pStyle w:val="null3"/>
        <w:ind w:firstLine="480"/>
        <w:jc w:val="left"/>
        <w:outlineLvl w:val="3"/>
      </w:pPr>
      <w:r>
        <w:rPr>
          <w:b/>
          <w:sz w:val="24"/>
        </w:rPr>
        <w:t>3.3.3考核（验收）标准和方法</w:t>
      </w:r>
    </w:p>
    <w:p>
      <w:pPr>
        <w:pStyle w:val="null3"/>
        <w:jc w:val="left"/>
      </w:pPr>
    </w:p>
    <w:p>
      <w:pPr>
        <w:pStyle w:val="null3"/>
        <w:jc w:val="left"/>
      </w:pPr>
    </w:p>
    <w:p>
      <w:pPr>
        <w:pStyle w:val="null3"/>
        <w:jc w:val="left"/>
      </w:pPr>
    </w:p>
    <w:p>
      <w:pPr>
        <w:pStyle w:val="null3"/>
        <w:jc w:val="left"/>
      </w:pPr>
      <w:r>
        <w:rPr/>
        <w:t>采购包1：</w:t>
      </w:r>
    </w:p>
    <w:p>
      <w:pPr>
        <w:pStyle w:val="null3"/>
        <w:jc w:val="left"/>
      </w:pPr>
      <w:r>
        <w:rPr/>
        <w:t>严格按照政府采购相关法律法规、《财政部关于进一步加强政府采购需求和履约验收管理的指导意见》（财库〔2016〕205号）以及《政府采购需求管理办法》（财库〔2021〕22号）的要求进行验收。</w:t>
      </w:r>
    </w:p>
    <w:p>
      <w:pPr>
        <w:pStyle w:val="null3"/>
        <w:ind w:firstLine="480"/>
        <w:jc w:val="left"/>
        <w:outlineLvl w:val="3"/>
      </w:pPr>
      <w:r>
        <w:rPr>
          <w:b/>
          <w:sz w:val="24"/>
        </w:rPr>
        <w:t>3.3.4支付方式</w:t>
      </w:r>
    </w:p>
    <w:p>
      <w:pPr>
        <w:pStyle w:val="null3"/>
        <w:jc w:val="left"/>
      </w:pPr>
    </w:p>
    <w:p>
      <w:pPr>
        <w:pStyle w:val="null3"/>
        <w:jc w:val="left"/>
      </w:pPr>
    </w:p>
    <w:p>
      <w:pPr>
        <w:pStyle w:val="null3"/>
        <w:jc w:val="left"/>
      </w:pPr>
    </w:p>
    <w:p>
      <w:pPr>
        <w:pStyle w:val="null3"/>
        <w:jc w:val="left"/>
      </w:pPr>
      <w:r>
        <w:rPr/>
        <w:t>采购包1：</w:t>
      </w:r>
    </w:p>
    <w:p>
      <w:pPr>
        <w:pStyle w:val="null3"/>
        <w:jc w:val="left"/>
      </w:pPr>
      <w:r>
        <w:rPr/>
        <w:t>分期付款</w:t>
      </w:r>
    </w:p>
    <w:p>
      <w:pPr>
        <w:pStyle w:val="null3"/>
        <w:ind w:firstLine="480"/>
        <w:jc w:val="left"/>
        <w:outlineLvl w:val="3"/>
      </w:pPr>
      <w:r>
        <w:rPr>
          <w:b/>
          <w:sz w:val="24"/>
        </w:rPr>
        <w:t>3.3.5支付约定</w:t>
      </w:r>
    </w:p>
    <w:p>
      <w:pPr>
        <w:pStyle w:val="null3"/>
        <w:jc w:val="left"/>
      </w:pPr>
    </w:p>
    <w:p>
      <w:pPr>
        <w:pStyle w:val="null3"/>
        <w:jc w:val="left"/>
      </w:pPr>
    </w:p>
    <w:p>
      <w:pPr>
        <w:pStyle w:val="null3"/>
        <w:jc w:val="left"/>
      </w:pPr>
    </w:p>
    <w:p>
      <w:pPr>
        <w:pStyle w:val="null3"/>
        <w:jc w:val="left"/>
      </w:pPr>
      <w:r>
        <w:rPr/>
        <w:t>采购包1：</w:t>
      </w:r>
      <w:r>
        <w:rPr/>
        <w:t>付款条件说明：</w:t>
      </w:r>
      <w:r>
        <w:rPr/>
        <w:t>合同签订生效后</w:t>
      </w:r>
      <w:r>
        <w:rPr/>
        <w:t>，达到付款条件起</w:t>
      </w:r>
      <w:r>
        <w:rPr/>
        <w:t>15</w:t>
      </w:r>
      <w:r>
        <w:rPr/>
        <w:t>日，支付合同总金额的</w:t>
      </w:r>
      <w:r>
        <w:rPr/>
        <w:t>60.00</w:t>
      </w:r>
      <w:r>
        <w:rPr/>
        <w:t>%。</w:t>
      </w:r>
    </w:p>
    <w:p>
      <w:pPr>
        <w:pStyle w:val="null3"/>
        <w:jc w:val="left"/>
      </w:pPr>
      <w:r>
        <w:rPr/>
        <w:t>采购包1：</w:t>
      </w:r>
      <w:r>
        <w:rPr/>
        <w:t>付款条件说明：</w:t>
      </w:r>
      <w:r>
        <w:rPr/>
        <w:t>项目结束验收合格后</w:t>
      </w:r>
      <w:r>
        <w:rPr/>
        <w:t>，达到付款条件起</w:t>
      </w:r>
      <w:r>
        <w:rPr/>
        <w:t>30</w:t>
      </w:r>
      <w:r>
        <w:rPr/>
        <w:t>日，支付合同总金额的</w:t>
      </w:r>
      <w:r>
        <w:rPr/>
        <w:t>40.00</w:t>
      </w:r>
      <w:r>
        <w:rPr/>
        <w:t>%。</w:t>
      </w:r>
    </w:p>
    <w:p>
      <w:pPr>
        <w:pStyle w:val="null3"/>
        <w:ind w:firstLine="480"/>
        <w:jc w:val="left"/>
        <w:outlineLvl w:val="3"/>
      </w:pPr>
      <w:r>
        <w:rPr>
          <w:b/>
          <w:sz w:val="24"/>
        </w:rPr>
        <w:t>3.3.6违约责任及解决争议的方法</w:t>
      </w:r>
    </w:p>
    <w:p>
      <w:pPr>
        <w:pStyle w:val="null3"/>
        <w:jc w:val="left"/>
      </w:pPr>
    </w:p>
    <w:p>
      <w:pPr>
        <w:pStyle w:val="null3"/>
        <w:jc w:val="left"/>
      </w:pPr>
    </w:p>
    <w:p>
      <w:pPr>
        <w:pStyle w:val="null3"/>
        <w:jc w:val="left"/>
      </w:pPr>
    </w:p>
    <w:p>
      <w:pPr>
        <w:pStyle w:val="null3"/>
        <w:jc w:val="left"/>
      </w:pPr>
      <w:r>
        <w:rPr/>
        <w:t>采购包1：</w:t>
      </w:r>
    </w:p>
    <w:p>
      <w:pPr>
        <w:pStyle w:val="null3"/>
        <w:jc w:val="left"/>
      </w:pPr>
      <w:r>
        <w:rPr/>
        <w:t>本协议履行过程中如发生任何争议，由双方协商，协商不成的，任何一方可向原告所在地人民法院提起诉讼。</w:t>
      </w:r>
    </w:p>
    <w:p>
      <w:pPr>
        <w:pStyle w:val="null3"/>
        <w:ind w:firstLine="480"/>
        <w:jc w:val="left"/>
        <w:outlineLvl w:val="2"/>
      </w:pPr>
      <w:r>
        <w:rPr>
          <w:b/>
          <w:sz w:val="28"/>
        </w:rPr>
        <w:t>3.4其他要求</w:t>
      </w:r>
    </w:p>
    <w:p>
      <w:pPr>
        <w:pStyle w:val="null3"/>
        <w:jc w:val="left"/>
      </w:pPr>
    </w:p>
    <w:p>
      <w:pPr>
        <w:pStyle w:val="null3"/>
        <w:jc w:val="left"/>
      </w:pPr>
    </w:p>
    <w:p>
      <w:pPr>
        <w:pStyle w:val="null3"/>
        <w:jc w:val="left"/>
      </w:pPr>
      <w:r>
        <w:rPr/>
        <w:t>本协议未尽事宜，双方协商解决或另行签订补充协议。</w:t>
      </w:r>
    </w:p>
    <w:p>
      <w:pPr>
        <w:pStyle w:val="null3"/>
        <w:jc w:val="left"/>
      </w:pPr>
    </w:p>
    <w:p>
      <w:pPr>
        <w:pStyle w:val="null3"/>
        <w:ind w:firstLine="480"/>
        <w:jc w:val="left"/>
      </w:pPr>
      <w:r>
        <w:rPr/>
        <w:t xml:space="preserve"> </w:t>
      </w:r>
    </w:p>
    <w:p>
      <w:pPr>
        <w:pStyle w:val="null3"/>
        <w:ind w:firstLine="480"/>
        <w:jc w:val="center"/>
        <w:outlineLvl w:val="1"/>
      </w:pPr>
      <w:r>
        <w:rPr>
          <w:b/>
          <w:sz w:val="36"/>
        </w:rPr>
        <w:t>第四章 磋商过程中可实质性变动的内容</w:t>
      </w:r>
    </w:p>
    <w:p>
      <w:pPr>
        <w:pStyle w:val="null3"/>
        <w:ind w:firstLine="480"/>
        <w:jc w:val="left"/>
      </w:pPr>
      <w:r>
        <w:rPr/>
        <w:t>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jc w:val="left"/>
      </w:pPr>
    </w:p>
    <w:p>
      <w:pPr>
        <w:pStyle w:val="null3"/>
        <w:ind w:firstLine="480"/>
        <w:jc w:val="left"/>
      </w:pPr>
      <w:r>
        <w:rPr/>
        <w:t xml:space="preserve"> </w:t>
      </w:r>
    </w:p>
    <w:p>
      <w:pPr>
        <w:pStyle w:val="null3"/>
        <w:ind w:firstLine="480"/>
        <w:jc w:val="center"/>
        <w:outlineLvl w:val="1"/>
      </w:pPr>
      <w:r>
        <w:rPr>
          <w:b/>
          <w:sz w:val="36"/>
        </w:rPr>
        <w:t>第五章 磋商办法</w:t>
      </w:r>
    </w:p>
    <w:p>
      <w:pPr>
        <w:pStyle w:val="null3"/>
        <w:ind w:firstLine="480"/>
        <w:jc w:val="left"/>
        <w:outlineLvl w:val="2"/>
      </w:pPr>
      <w:r>
        <w:rPr>
          <w:b/>
          <w:sz w:val="28"/>
        </w:rPr>
        <w:t>5.1总则</w:t>
      </w:r>
    </w:p>
    <w:p>
      <w:pPr>
        <w:pStyle w:val="null3"/>
        <w:ind w:firstLine="480"/>
        <w:jc w:val="left"/>
      </w:pPr>
      <w:r>
        <w:rPr/>
        <w:t>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jc w:val="left"/>
      </w:pPr>
      <w:r>
        <w:rPr/>
        <w:t>二、评审工作由代理机构组织，具体评审事务由依法组建的磋商小组负责。</w:t>
      </w:r>
    </w:p>
    <w:p>
      <w:pPr>
        <w:pStyle w:val="null3"/>
        <w:ind w:firstLine="480"/>
        <w:jc w:val="left"/>
      </w:pPr>
      <w:r>
        <w:rPr/>
        <w:t>三、评审工作应遵循客观、公正、审慎的原则，并以相同的磋商程序和标准对待所有的供应商。</w:t>
      </w:r>
    </w:p>
    <w:p>
      <w:pPr>
        <w:pStyle w:val="null3"/>
        <w:ind w:firstLine="480"/>
        <w:jc w:val="left"/>
      </w:pPr>
      <w:r>
        <w:rPr/>
        <w:t>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jc w:val="left"/>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jc w:val="left"/>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ind w:firstLine="480"/>
        <w:jc w:val="left"/>
        <w:outlineLvl w:val="2"/>
      </w:pPr>
      <w:r>
        <w:rPr>
          <w:b/>
          <w:sz w:val="28"/>
        </w:rPr>
        <w:t>5.2 磋商小组</w:t>
      </w:r>
    </w:p>
    <w:p>
      <w:pPr>
        <w:pStyle w:val="null3"/>
        <w:ind w:firstLine="480"/>
        <w:jc w:val="left"/>
      </w:pPr>
      <w:r>
        <w:rPr/>
        <w:t>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left"/>
      </w:pPr>
      <w:r>
        <w:rPr/>
        <w:t>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jc w:val="left"/>
      </w:pPr>
      <w:r>
        <w:rPr/>
        <w:t>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t>四、磋商小组按照磋商文件规定的磋商程序、评分方法和标准进行评审，并独立履行下列职责：</w:t>
      </w:r>
    </w:p>
    <w:p>
      <w:pPr>
        <w:pStyle w:val="null3"/>
        <w:ind w:firstLine="480"/>
        <w:jc w:val="left"/>
      </w:pPr>
      <w:r>
        <w:rPr/>
        <w:t>（一）熟悉和理解磋商文件；</w:t>
      </w:r>
    </w:p>
    <w:p>
      <w:pPr>
        <w:pStyle w:val="null3"/>
        <w:ind w:firstLine="480"/>
        <w:jc w:val="left"/>
      </w:pPr>
      <w:r>
        <w:rPr/>
        <w:t>（二）审查供应商响应文件等是否满足磋商文件要求，并作出评价；</w:t>
      </w:r>
    </w:p>
    <w:p>
      <w:pPr>
        <w:pStyle w:val="null3"/>
        <w:ind w:firstLine="480"/>
        <w:jc w:val="left"/>
      </w:pPr>
      <w:r>
        <w:rPr/>
        <w:t>（三）根据需要要求采购组织单位对磋商文件作出解释；根据需要要求供应商对响应文件有关事项作出澄清、说明或者更正；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（五）起草资格审查报告、评审报告并进行签署；</w:t>
      </w:r>
    </w:p>
    <w:p>
      <w:pPr>
        <w:pStyle w:val="null3"/>
        <w:ind w:firstLine="480"/>
        <w:jc w:val="left"/>
      </w:pPr>
      <w:r>
        <w:rPr/>
        <w:t>（六）向采购组织单位、财政部门或者其他监督部门报告非法干预评审工作的行为；</w:t>
      </w:r>
    </w:p>
    <w:p>
      <w:pPr>
        <w:pStyle w:val="null3"/>
        <w:ind w:firstLine="480"/>
        <w:jc w:val="left"/>
      </w:pPr>
      <w:r>
        <w:rPr/>
        <w:t>（七）法律、法规和规章规定的其他职责。</w:t>
      </w:r>
    </w:p>
    <w:p>
      <w:pPr>
        <w:pStyle w:val="null3"/>
        <w:ind w:firstLine="480"/>
        <w:jc w:val="left"/>
        <w:outlineLvl w:val="2"/>
      </w:pPr>
      <w:r>
        <w:rPr>
          <w:b/>
          <w:sz w:val="28"/>
        </w:rPr>
        <w:t>5.3评审程序</w:t>
      </w:r>
    </w:p>
    <w:p>
      <w:pPr>
        <w:pStyle w:val="null3"/>
        <w:ind w:firstLine="480"/>
        <w:jc w:val="left"/>
        <w:outlineLvl w:val="3"/>
      </w:pPr>
      <w:r>
        <w:rPr>
          <w:b/>
          <w:sz w:val="24"/>
        </w:rPr>
        <w:t>5.3.1.熟悉和理解磋商文件和停止评审</w:t>
      </w:r>
    </w:p>
    <w:p>
      <w:pPr>
        <w:pStyle w:val="null3"/>
        <w:ind w:firstLine="480"/>
        <w:jc w:val="left"/>
      </w:pPr>
      <w:r>
        <w:rPr/>
        <w:t>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jc w:val="left"/>
      </w:pPr>
      <w:r>
        <w:rPr/>
        <w:t>二、本磋商文件有下列情形之一的，磋商小组应当停止评审：</w:t>
      </w:r>
    </w:p>
    <w:p>
      <w:pPr>
        <w:pStyle w:val="null3"/>
        <w:ind w:firstLine="480"/>
        <w:jc w:val="left"/>
      </w:pPr>
      <w:r>
        <w:rPr/>
        <w:t>（一）磋商文件的规定存在歧义、重大缺陷的；</w:t>
      </w:r>
    </w:p>
    <w:p>
      <w:pPr>
        <w:pStyle w:val="null3"/>
        <w:ind w:firstLine="480"/>
        <w:jc w:val="left"/>
      </w:pPr>
      <w:r>
        <w:rPr/>
        <w:t>（二）磋商文件明显以不合理条件对供应商实行差别待遇或者歧视待遇的；</w:t>
      </w:r>
    </w:p>
    <w:p>
      <w:pPr>
        <w:pStyle w:val="null3"/>
        <w:ind w:firstLine="480"/>
        <w:jc w:val="left"/>
      </w:pPr>
      <w:r>
        <w:rPr/>
        <w:t>（三）采购项目属于国家规定的优先、强制采购范围，但是磋商文件未依法体现优先、强制采购相关规定的；</w:t>
      </w:r>
    </w:p>
    <w:p>
      <w:pPr>
        <w:pStyle w:val="null3"/>
        <w:ind w:firstLine="480"/>
        <w:jc w:val="left"/>
      </w:pPr>
      <w:r>
        <w:rPr/>
        <w:t>（四）采购项目属于政府采购促进中小企业发展的范围，但是磋商文件未依法体现促进中小企业发展相关规定的；</w:t>
      </w:r>
    </w:p>
    <w:p>
      <w:pPr>
        <w:pStyle w:val="null3"/>
        <w:ind w:firstLine="480"/>
        <w:jc w:val="left"/>
      </w:pPr>
      <w:r>
        <w:rPr/>
        <w:t>（五）磋商文件将供应商的资格条件列为评分因素的；</w:t>
      </w:r>
    </w:p>
    <w:p>
      <w:pPr>
        <w:pStyle w:val="null3"/>
        <w:ind w:firstLine="480"/>
        <w:jc w:val="left"/>
      </w:pPr>
      <w:r>
        <w:rPr/>
        <w:t>（六）磋商文件载明的成交原则不合法的；</w:t>
      </w:r>
    </w:p>
    <w:p>
      <w:pPr>
        <w:pStyle w:val="null3"/>
        <w:ind w:firstLine="480"/>
        <w:jc w:val="left"/>
      </w:pPr>
      <w:r>
        <w:rPr/>
        <w:t>（七）磋商文件有违反国家其他有关强制性规定的情形。</w:t>
      </w:r>
    </w:p>
    <w:p>
      <w:pPr>
        <w:pStyle w:val="null3"/>
        <w:ind w:firstLine="480"/>
        <w:jc w:val="left"/>
      </w:pPr>
      <w:r>
        <w:rPr/>
        <w:t>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ind w:firstLine="480"/>
        <w:jc w:val="left"/>
        <w:outlineLvl w:val="3"/>
      </w:pPr>
      <w:r>
        <w:rPr>
          <w:b/>
          <w:sz w:val="24"/>
        </w:rPr>
        <w:t>5.3.2资格审查</w:t>
      </w:r>
    </w:p>
    <w:p>
      <w:pPr>
        <w:pStyle w:val="null3"/>
        <w:jc w:val="left"/>
      </w:pPr>
    </w:p>
    <w:p>
      <w:pPr>
        <w:pStyle w:val="null3"/>
        <w:jc w:val="left"/>
      </w:pPr>
    </w:p>
    <w:p>
      <w:pPr>
        <w:pStyle w:val="null3"/>
        <w:ind w:firstLine="480"/>
        <w:jc w:val="left"/>
      </w:pPr>
      <w:r>
        <w:rPr/>
        <w:t>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jc w:val="left"/>
        <w:outlineLvl w:val="3"/>
      </w:pPr>
      <w:r>
        <w:rPr>
          <w:b/>
          <w:sz w:val="24"/>
        </w:rPr>
        <w:t>5.3.2.1一般资格审查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响应文件封面 投标（响应）函</w:t>
            </w:r>
          </w:p>
        </w:tc>
      </w:tr>
      <w:tr>
        <w:tc>
          <w:tcPr>
            <w:tcW w:type="dxa" w:w="831"/>
          </w:tcPr>
          <w:p>
            <w:pPr>
              <w:pStyle w:val="null3"/>
              <w:jc w:val="left"/>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3</w:t>
            </w:r>
          </w:p>
        </w:tc>
        <w:tc>
          <w:tcPr>
            <w:tcW w:type="dxa" w:w="2492"/>
          </w:tcPr>
          <w:p>
            <w:pPr>
              <w:pStyle w:val="null3"/>
              <w:jc w:val="left"/>
            </w:pPr>
            <w:r>
              <w:rPr/>
              <w:t>具有健全的财务会计制度。</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bl>
    <w:p>
      <w:pPr>
        <w:pStyle w:val="null3"/>
        <w:ind w:firstLine="480"/>
        <w:jc w:val="left"/>
        <w:outlineLvl w:val="3"/>
      </w:pPr>
      <w:r>
        <w:rPr>
          <w:b/>
          <w:sz w:val="24"/>
        </w:rPr>
        <w:t>5.3.2.2特殊资格审查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供应商须取得四川日报报业集团授权或代理资格</w:t>
            </w:r>
          </w:p>
        </w:tc>
        <w:tc>
          <w:tcPr>
            <w:tcW w:type="dxa" w:w="3322"/>
          </w:tcPr>
          <w:p>
            <w:pPr>
              <w:pStyle w:val="null3"/>
              <w:jc w:val="left"/>
            </w:pPr>
            <w:r>
              <w:rPr/>
              <w:t>供应商须取得四川日报报业集团授权或代理资格；（注：提供相关授权或代理证明材料并进行电子签章）</w:t>
            </w:r>
          </w:p>
        </w:tc>
        <w:tc>
          <w:tcPr>
            <w:tcW w:type="dxa" w:w="1661"/>
          </w:tcPr>
          <w:p>
            <w:pPr>
              <w:pStyle w:val="null3"/>
              <w:jc w:val="left"/>
            </w:pPr>
            <w:r>
              <w:rPr/>
              <w:t>供应商应提交的相关资格证明材料 投标（响应）函</w:t>
            </w:r>
          </w:p>
        </w:tc>
      </w:tr>
      <w:tr>
        <w:tc>
          <w:tcPr>
            <w:tcW w:type="dxa" w:w="831"/>
          </w:tcPr>
          <w:p>
            <w:pPr>
              <w:pStyle w:val="null3"/>
              <w:jc w:val="left"/>
            </w:pPr>
            <w:r>
              <w:rPr/>
              <w:t>2</w:t>
            </w:r>
          </w:p>
        </w:tc>
        <w:tc>
          <w:tcPr>
            <w:tcW w:type="dxa" w:w="2492"/>
          </w:tcPr>
          <w:p>
            <w:pPr>
              <w:pStyle w:val="null3"/>
              <w:jc w:val="left"/>
            </w:pPr>
            <w:r>
              <w:rPr/>
              <w:t>本项目参加磋商活动的供应商单位及其法定代表人/主要负责人不得具有行贿犯罪记录。</w:t>
            </w:r>
          </w:p>
        </w:tc>
        <w:tc>
          <w:tcPr>
            <w:tcW w:type="dxa" w:w="3322"/>
          </w:tcPr>
          <w:p>
            <w:pPr>
              <w:pStyle w:val="null3"/>
              <w:jc w:val="left"/>
            </w:pPr>
            <w:r>
              <w:rPr/>
              <w:t>本项目参加磋商活动的供应商单位及其法定代表人/主要负责人不得具有行贿犯罪记录。（注：提供承诺函并进行电子签章。）</w:t>
            </w:r>
          </w:p>
        </w:tc>
        <w:tc>
          <w:tcPr>
            <w:tcW w:type="dxa" w:w="1661"/>
          </w:tcPr>
          <w:p>
            <w:pPr>
              <w:pStyle w:val="null3"/>
              <w:jc w:val="left"/>
            </w:pPr>
            <w:r>
              <w:rPr/>
              <w:t>投标（响应）函</w:t>
            </w:r>
          </w:p>
        </w:tc>
      </w:tr>
    </w:tbl>
    <w:p>
      <w:pPr>
        <w:pStyle w:val="null3"/>
        <w:ind w:firstLine="480"/>
        <w:jc w:val="left"/>
        <w:outlineLvl w:val="3"/>
      </w:pPr>
      <w:r>
        <w:rPr>
          <w:b/>
          <w:sz w:val="24"/>
        </w:rPr>
        <w:t>5.3.2.3落实政府采购政策资格审查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06"/>
            <w:gridSpan w:val="4"/>
          </w:tcPr>
          <w:p>
            <w:pPr>
              <w:pStyle w:val="null3"/>
              <w:jc w:val="left"/>
            </w:pPr>
            <w:r>
              <w:rPr/>
              <w:t>无</w:t>
            </w:r>
          </w:p>
        </w:tc>
      </w:tr>
    </w:tbl>
    <w:p>
      <w:pPr>
        <w:pStyle w:val="null3"/>
        <w:ind w:firstLine="480"/>
        <w:jc w:val="left"/>
        <w:outlineLvl w:val="3"/>
      </w:pPr>
      <w:r>
        <w:rPr>
          <w:b/>
          <w:sz w:val="24"/>
        </w:rPr>
        <w:t>5.3.3磋商</w:t>
      </w:r>
    </w:p>
    <w:p>
      <w:pPr>
        <w:pStyle w:val="null3"/>
        <w:ind w:firstLine="480"/>
        <w:jc w:val="left"/>
      </w:pPr>
      <w:r>
        <w:rPr/>
        <w:t>一、         磋商小组按照磋商文件的规定与邀请参加磋商的供应商分别进行磋商，磋商顺序由磋商小组确定。</w:t>
      </w:r>
    </w:p>
    <w:p>
      <w:pPr>
        <w:pStyle w:val="null3"/>
        <w:ind w:firstLine="480"/>
        <w:jc w:val="left"/>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jc w:val="left"/>
      </w:pPr>
      <w:r>
        <w:rPr/>
        <w:t>三、磋商小组可以根据磋商文件和磋商情况实质性变动第三章“磋商项目技术、服务、商务及其他要求”、第六章“拟签订的合同文本”，但不得变动磋商文件中的其他内容。实质性变动的内容，须经采购人代表确认。</w:t>
      </w:r>
    </w:p>
    <w:p>
      <w:pPr>
        <w:pStyle w:val="null3"/>
        <w:ind w:firstLine="480"/>
        <w:jc w:val="left"/>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jc w:val="left"/>
      </w:pPr>
      <w:r>
        <w:rPr/>
        <w:t>五、         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t>六、经最终磋商后，响应文件仍有下列情况之一的，应按照无效响应处理：</w:t>
      </w:r>
    </w:p>
    <w:p>
      <w:pPr>
        <w:pStyle w:val="null3"/>
        <w:ind w:firstLine="480"/>
        <w:jc w:val="left"/>
      </w:pPr>
      <w:r>
        <w:rPr/>
        <w:t>（一）响应文件仍不能实质响应磋商文件可实质性变动的实质性要求的；</w:t>
      </w:r>
    </w:p>
    <w:p>
      <w:pPr>
        <w:pStyle w:val="null3"/>
        <w:ind w:firstLine="480"/>
        <w:jc w:val="left"/>
      </w:pPr>
      <w:r>
        <w:rPr/>
        <w:t>（二）响应文件中仍有磋商文件规定的其他无效响应情形的。</w:t>
      </w:r>
    </w:p>
    <w:p>
      <w:pPr>
        <w:pStyle w:val="null3"/>
        <w:ind w:firstLine="480"/>
        <w:jc w:val="left"/>
      </w:pPr>
      <w:r>
        <w:rPr/>
        <w:t>七、         磋商过程中，磋商的任何一方不得透露与磋商有关的其他供应商的技术资料、价格和其他信息。</w:t>
      </w:r>
    </w:p>
    <w:p>
      <w:pPr>
        <w:pStyle w:val="null3"/>
        <w:ind w:firstLine="480"/>
        <w:jc w:val="left"/>
      </w:pPr>
      <w:r>
        <w:rPr/>
        <w:t>八、         磋商过程中，磋商小组发现或者知晓供应商存在违法行为的，应当磋商报告中予以记录，并向本级财政部门报告，依法应将该供应商响应文件作无效处理的，应当作无效处理。</w:t>
      </w:r>
    </w:p>
    <w:p>
      <w:pPr>
        <w:pStyle w:val="null3"/>
        <w:ind w:firstLine="480"/>
        <w:jc w:val="left"/>
        <w:outlineLvl w:val="3"/>
      </w:pPr>
      <w:r>
        <w:rPr>
          <w:b/>
          <w:sz w:val="24"/>
        </w:rPr>
        <w:t>5.3.4符合性审查</w:t>
      </w:r>
    </w:p>
    <w:p>
      <w:pPr>
        <w:pStyle w:val="null3"/>
        <w:ind w:firstLine="480"/>
        <w:jc w:val="left"/>
      </w:pPr>
      <w:r>
        <w:rPr/>
        <w:t>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jc w:val="left"/>
      </w:pPr>
      <w:r>
        <w:rPr/>
        <w:t>在符合性审查过程中，如果出现磋商小组成员意见不一致的情况，按照少数服从多数的原则确定，但不得违背政府采购基本原则和磋商文件规定。</w:t>
      </w:r>
    </w:p>
    <w:p>
      <w:pPr>
        <w:pStyle w:val="null3"/>
        <w:ind w:firstLine="480"/>
        <w:jc w:val="left"/>
      </w:pPr>
      <w:r>
        <w:rPr/>
        <w:t>符合性审查标准见下表：</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符合审查要求概况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不正当竞争预防措施（实质性要求）</w:t>
            </w:r>
          </w:p>
        </w:tc>
        <w:tc>
          <w:tcPr>
            <w:tcW w:type="dxa" w:w="3322"/>
          </w:tcPr>
          <w:p>
            <w:pPr>
              <w:pStyle w:val="null3"/>
              <w:jc w:val="left"/>
            </w:pPr>
            <w:r>
              <w:rPr/>
              <w:t>1.在磋商过程中，磋商小组认为供应商报价低于最高限价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jc w:val="left"/>
            </w:pPr>
            <w:r>
              <w:rPr/>
              <w:t>分项报价表 报价表</w:t>
            </w:r>
          </w:p>
        </w:tc>
      </w:tr>
      <w:tr>
        <w:tc>
          <w:tcPr>
            <w:tcW w:type="dxa" w:w="831"/>
          </w:tcPr>
          <w:p>
            <w:pPr>
              <w:pStyle w:val="null3"/>
              <w:jc w:val="left"/>
            </w:pPr>
            <w:r>
              <w:rPr/>
              <w:t>2</w:t>
            </w:r>
          </w:p>
        </w:tc>
        <w:tc>
          <w:tcPr>
            <w:tcW w:type="dxa" w:w="2492"/>
          </w:tcPr>
          <w:p>
            <w:pPr>
              <w:pStyle w:val="null3"/>
              <w:jc w:val="left"/>
            </w:pPr>
            <w:r>
              <w:rPr/>
              <w:t>其他符合性审查</w:t>
            </w:r>
          </w:p>
        </w:tc>
        <w:tc>
          <w:tcPr>
            <w:tcW w:type="dxa" w:w="3322"/>
          </w:tcPr>
          <w:p>
            <w:pPr>
              <w:pStyle w:val="null3"/>
              <w:jc w:val="left"/>
            </w:pPr>
            <w:r>
              <w:rPr/>
              <w:t>磋商文件中其他符合性审查情况</w:t>
            </w:r>
          </w:p>
        </w:tc>
        <w:tc>
          <w:tcPr>
            <w:tcW w:type="dxa" w:w="1661"/>
          </w:tcPr>
          <w:p>
            <w:pPr>
              <w:pStyle w:val="null3"/>
              <w:jc w:val="left"/>
            </w:pPr>
            <w:r>
              <w:rPr/>
              <w:t>供应商认为需要提供的其它相关资料. 服务要求应答表</w:t>
            </w:r>
          </w:p>
        </w:tc>
      </w:tr>
    </w:tbl>
    <w:p>
      <w:pPr>
        <w:pStyle w:val="null3"/>
        <w:ind w:firstLine="480"/>
        <w:jc w:val="left"/>
        <w:outlineLvl w:val="3"/>
      </w:pPr>
      <w:r>
        <w:rPr>
          <w:b/>
          <w:sz w:val="24"/>
        </w:rPr>
        <w:t>5.3.5最后报价</w:t>
      </w:r>
    </w:p>
    <w:p>
      <w:pPr>
        <w:pStyle w:val="null3"/>
        <w:ind w:firstLine="480"/>
        <w:jc w:val="left"/>
      </w:pPr>
      <w:r>
        <w:rPr/>
        <w:t>一、方案评审</w:t>
      </w:r>
    </w:p>
    <w:p>
      <w:pPr>
        <w:pStyle w:val="null3"/>
        <w:jc w:val="left"/>
      </w:pPr>
    </w:p>
    <w:p>
      <w:pPr>
        <w:pStyle w:val="null3"/>
        <w:jc w:val="left"/>
      </w:pPr>
    </w:p>
    <w:p>
      <w:pPr>
        <w:pStyle w:val="null3"/>
        <w:jc w:val="left"/>
      </w:pPr>
      <w:r>
        <w:rPr/>
        <w:t>采购包1：磋商文件能够详细列明采购标的的技术、服务要求，磋商结束后，磋商小组可以根据磋商情况要求所有实质性响应的供应商在规定时间内提交最后报价，提交最后报价的供应商不得少于3家。</w:t>
      </w:r>
    </w:p>
    <w:p>
      <w:pPr>
        <w:pStyle w:val="null3"/>
        <w:ind w:firstLine="480"/>
        <w:jc w:val="left"/>
      </w:pPr>
      <w:r>
        <w:rPr/>
        <w:t>二、磋商小组开启报价后，供应商应随时关注项目电子化交易系统信息提醒，登录项目电子化交易系统，通过“等候大厅”进行报价并签章后提交。</w:t>
      </w:r>
    </w:p>
    <w:p>
      <w:pPr>
        <w:pStyle w:val="null3"/>
        <w:ind w:firstLine="480"/>
        <w:jc w:val="left"/>
      </w:pPr>
      <w:r>
        <w:rPr/>
        <w:t>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四.供应商未在响应文件提交截止时间内提交报价或未按要求进行报价的，视为无效响应，由供应商自行承担不利后果。</w:t>
      </w:r>
    </w:p>
    <w:p>
      <w:pPr>
        <w:pStyle w:val="null3"/>
        <w:ind w:firstLine="480"/>
        <w:jc w:val="left"/>
      </w:pPr>
      <w:r>
        <w:rPr/>
        <w:t>五、供应商未按磋商小组要求在规定时间内提交最后报价的，视为其退出磋商。</w:t>
      </w:r>
    </w:p>
    <w:p>
      <w:pPr>
        <w:pStyle w:val="null3"/>
        <w:ind w:firstLine="480"/>
        <w:jc w:val="left"/>
      </w:pPr>
      <w:r>
        <w:rPr/>
        <w:t>六、最后报价一旦提交后，供应商不得以任何理由撤回。</w:t>
      </w:r>
    </w:p>
    <w:p>
      <w:pPr>
        <w:pStyle w:val="null3"/>
        <w:ind w:firstLine="480"/>
        <w:jc w:val="left"/>
      </w:pPr>
      <w:r>
        <w:rPr/>
        <w:t>七、最后报价为有效报价应符合下列条件：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（三）供应商的最后报价应符合磋商文件的要求。</w:t>
      </w:r>
    </w:p>
    <w:p>
      <w:pPr>
        <w:pStyle w:val="null3"/>
        <w:ind w:firstLine="480"/>
        <w:jc w:val="left"/>
      </w:pPr>
      <w:r>
        <w:rPr/>
        <w:t>（四）最后报价唯一，且不高于最高限价。</w:t>
      </w:r>
    </w:p>
    <w:p>
      <w:pPr>
        <w:pStyle w:val="null3"/>
        <w:ind w:firstLine="480"/>
        <w:jc w:val="left"/>
      </w:pPr>
      <w:r>
        <w:rPr/>
        <w:t>八、最后报价出现下列情况的，不需要供应商澄清，按以下原则处理：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同时出现两种以上不一致的，按照前款规定的顺序修正。修正后的最后报价经加盖供应商（法定名称）电子印章后产生约束力，供应商不确认的，其最后报价无效。</w:t>
      </w:r>
    </w:p>
    <w:p>
      <w:pPr>
        <w:pStyle w:val="null3"/>
        <w:ind w:firstLine="480"/>
        <w:jc w:val="left"/>
        <w:outlineLvl w:val="3"/>
      </w:pPr>
      <w:r>
        <w:rPr>
          <w:b/>
          <w:sz w:val="24"/>
        </w:rPr>
        <w:t>5.3.6解释、澄清有关问题</w:t>
      </w:r>
    </w:p>
    <w:p>
      <w:pPr>
        <w:pStyle w:val="null3"/>
        <w:ind w:firstLine="480"/>
        <w:jc w:val="left"/>
      </w:pPr>
      <w:r>
        <w:rP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jc w:val="left"/>
      </w:pPr>
      <w:r>
        <w:rPr/>
        <w:t>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jc w:val="left"/>
      </w:pPr>
      <w:r>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jc w:val="left"/>
      </w:pPr>
      <w:r>
        <w:rPr/>
        <w:t>（一）供应商响应文件中不响应磋商文件规定的技术参数指标和商务应答；</w:t>
      </w:r>
    </w:p>
    <w:p>
      <w:pPr>
        <w:pStyle w:val="null3"/>
        <w:ind w:firstLine="480"/>
        <w:jc w:val="left"/>
      </w:pPr>
      <w:r>
        <w:rPr/>
        <w:t>（二）供应商响应文件中未提供的证明其是否符合磋商文件资格、符合性规定要求的相关材料。</w:t>
      </w:r>
    </w:p>
    <w:p>
      <w:pPr>
        <w:pStyle w:val="null3"/>
        <w:ind w:firstLine="480"/>
        <w:jc w:val="left"/>
      </w:pPr>
      <w:r>
        <w:rPr/>
        <w:t>（三）供应商响应文件中的材料因印刷、影印等不清晰而难以辨认的。</w:t>
      </w:r>
    </w:p>
    <w:p>
      <w:pPr>
        <w:pStyle w:val="null3"/>
        <w:ind w:firstLine="480"/>
        <w:jc w:val="left"/>
      </w:pPr>
      <w:r>
        <w:rPr/>
        <w:t>四、响应文件报价出现前后不一致的情形，按照本章前述规定予以处理，不需要供应商澄清。</w:t>
      </w:r>
    </w:p>
    <w:p>
      <w:pPr>
        <w:pStyle w:val="null3"/>
        <w:ind w:firstLine="480"/>
        <w:jc w:val="left"/>
      </w:pPr>
      <w:r>
        <w:rPr/>
        <w:t>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jc w:val="left"/>
      </w:pPr>
      <w:r>
        <w:rPr/>
        <w:t>六、磋商小组应当积极履行澄清、说明或者更正的职责，不得滥用权力。</w:t>
      </w:r>
    </w:p>
    <w:p>
      <w:pPr>
        <w:pStyle w:val="null3"/>
        <w:ind w:firstLine="480"/>
        <w:jc w:val="left"/>
        <w:outlineLvl w:val="3"/>
      </w:pPr>
      <w:r>
        <w:rPr>
          <w:b/>
          <w:sz w:val="24"/>
        </w:rPr>
        <w:t>5.3.7比较与评价</w:t>
      </w:r>
    </w:p>
    <w:p>
      <w:pPr>
        <w:pStyle w:val="null3"/>
        <w:ind w:firstLine="480"/>
        <w:jc w:val="left"/>
      </w:pPr>
      <w:r>
        <w:rPr/>
        <w:t>磋商小组应当按照磋商文件规定的评标细则及标准，对符合性检查合格的响应文件进行商务和技术评估，综合比较和评价。</w:t>
      </w:r>
    </w:p>
    <w:p>
      <w:pPr>
        <w:pStyle w:val="null3"/>
        <w:ind w:firstLine="480"/>
        <w:jc w:val="left"/>
        <w:outlineLvl w:val="3"/>
      </w:pPr>
      <w:r>
        <w:rPr>
          <w:b/>
          <w:sz w:val="24"/>
        </w:rPr>
        <w:t>5.3.8复核</w:t>
      </w:r>
    </w:p>
    <w:p>
      <w:pPr>
        <w:pStyle w:val="null3"/>
        <w:ind w:firstLine="480"/>
        <w:jc w:val="left"/>
      </w:pPr>
      <w:r>
        <w:rPr/>
        <w:t>评审结束后，磋商小组应当进行复核，特别要对拟推荐为成交候选供应商的、报价最低的、响应文件被认定为无效的进行重点复核。</w:t>
      </w:r>
    </w:p>
    <w:p>
      <w:pPr>
        <w:pStyle w:val="null3"/>
        <w:ind w:firstLine="480"/>
        <w:jc w:val="left"/>
      </w:pPr>
      <w:r>
        <w:rPr/>
        <w:t>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jc w:val="left"/>
      </w:pPr>
      <w:r>
        <w:rP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ind w:firstLine="480"/>
        <w:jc w:val="left"/>
        <w:outlineLvl w:val="3"/>
      </w:pPr>
      <w:r>
        <w:rPr>
          <w:b/>
          <w:sz w:val="24"/>
        </w:rPr>
        <w:t>5.3.9推荐成交候选供应商</w:t>
      </w:r>
    </w:p>
    <w:p>
      <w:pPr>
        <w:pStyle w:val="null3"/>
        <w:jc w:val="left"/>
      </w:pPr>
    </w:p>
    <w:p>
      <w:pPr>
        <w:pStyle w:val="null3"/>
        <w:jc w:val="left"/>
      </w:pPr>
    </w:p>
    <w:p>
      <w:pPr>
        <w:pStyle w:val="null3"/>
        <w:jc w:val="left"/>
      </w:pPr>
      <w:r>
        <w:rPr/>
        <w:t>采购包1：</w:t>
      </w:r>
      <w:r>
        <w:rPr/>
        <w:t>候选供应商数量3名。</w:t>
      </w:r>
    </w:p>
    <w:p>
      <w:pPr>
        <w:pStyle w:val="null3"/>
        <w:ind w:firstLine="480"/>
        <w:jc w:val="left"/>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jc w:val="left"/>
      </w:pPr>
      <w:r>
        <w:rPr/>
        <w:t>评审得分相同的，按照最后报价由低到高的顺序推荐。评审得分且最后报价相同的，按照技术指标优劣（本项目的技术指标为：</w:t>
      </w:r>
      <w:r>
        <w:rPr/>
        <w:t>/</w:t>
      </w:r>
      <w:r>
        <w:rPr/>
        <w:t>，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ind w:firstLine="480"/>
        <w:jc w:val="left"/>
        <w:outlineLvl w:val="3"/>
      </w:pPr>
      <w:r>
        <w:rPr>
          <w:b/>
          <w:sz w:val="24"/>
        </w:rPr>
        <w:t>5.3.10编写磋商报告</w:t>
      </w:r>
    </w:p>
    <w:p>
      <w:pPr>
        <w:pStyle w:val="null3"/>
        <w:ind w:firstLine="480"/>
        <w:jc w:val="left"/>
      </w:pPr>
      <w:r>
        <w:rPr/>
        <w:t>磋商小组推荐成交候选供应商后，应向代理机构出具磋商报告。磋商报告应当包括以下主要内容：</w:t>
      </w:r>
    </w:p>
    <w:p>
      <w:pPr>
        <w:pStyle w:val="null3"/>
        <w:ind w:firstLine="480"/>
        <w:jc w:val="left"/>
      </w:pPr>
      <w:r>
        <w:rPr/>
        <w:t>（一）邀请供应商参加采购活动的具体方式和相关情况；</w:t>
      </w:r>
    </w:p>
    <w:p>
      <w:pPr>
        <w:pStyle w:val="null3"/>
        <w:ind w:firstLine="480"/>
        <w:jc w:val="left"/>
      </w:pPr>
      <w:r>
        <w:rPr/>
        <w:t>（二）响应文件开启日期和地点；</w:t>
      </w:r>
    </w:p>
    <w:p>
      <w:pPr>
        <w:pStyle w:val="null3"/>
        <w:ind w:firstLine="480"/>
        <w:jc w:val="left"/>
      </w:pPr>
      <w:r>
        <w:rPr/>
        <w:t>（三）获取磋商文件的供应商名单和磋商小组成员名单；</w:t>
      </w:r>
    </w:p>
    <w:p>
      <w:pPr>
        <w:pStyle w:val="null3"/>
        <w:ind w:firstLine="480"/>
        <w:jc w:val="left"/>
      </w:pPr>
      <w:r>
        <w:rPr/>
        <w:t>（四）评审情况记录和说明，包括对供应商响应文件审查情况、磋商情况、报价情况等；</w:t>
      </w:r>
    </w:p>
    <w:p>
      <w:pPr>
        <w:pStyle w:val="null3"/>
        <w:ind w:firstLine="480"/>
        <w:jc w:val="left"/>
      </w:pPr>
      <w:r>
        <w:rPr/>
        <w:t>（五）提出的成交候选供应商的排序名单及理由。</w:t>
      </w:r>
    </w:p>
    <w:p>
      <w:pPr>
        <w:pStyle w:val="null3"/>
        <w:ind w:firstLine="480"/>
        <w:jc w:val="left"/>
      </w:pPr>
      <w:r>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ind w:firstLine="480"/>
        <w:jc w:val="left"/>
        <w:outlineLvl w:val="3"/>
      </w:pPr>
      <w:r>
        <w:rPr>
          <w:b/>
          <w:sz w:val="24"/>
        </w:rPr>
        <w:t>5.3.11评审争议处理规则</w:t>
      </w:r>
    </w:p>
    <w:p>
      <w:pPr>
        <w:pStyle w:val="null3"/>
        <w:ind w:firstLine="480"/>
        <w:jc w:val="left"/>
      </w:pPr>
      <w:r>
        <w:rPr/>
        <w:t>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ind w:firstLine="480"/>
        <w:jc w:val="left"/>
        <w:outlineLvl w:val="2"/>
      </w:pPr>
      <w:r>
        <w:rPr>
          <w:b/>
          <w:sz w:val="28"/>
        </w:rPr>
        <w:t>5.4评审办法及标准</w:t>
      </w:r>
    </w:p>
    <w:p>
      <w:pPr>
        <w:pStyle w:val="null3"/>
        <w:ind w:firstLine="480"/>
        <w:jc w:val="left"/>
      </w:pPr>
      <w:r>
        <w:rPr/>
        <w:t>一、磋商小组只对通过资格审查的响应文件，根据磋商文件的要求采用相同的评审程序、评分办法及标准进行评价和比较。</w:t>
      </w:r>
    </w:p>
    <w:p>
      <w:pPr>
        <w:pStyle w:val="null3"/>
        <w:ind w:firstLine="480"/>
        <w:jc w:val="left"/>
      </w:pPr>
      <w:r>
        <w:rPr/>
        <w:t>二、磋商小组成员应依据磋商文件规定的评分标准和方法独立对每个有效响应的文件进行评价、打分，然后汇总每个供应商每项评分因素的得分。</w:t>
      </w:r>
    </w:p>
    <w:p>
      <w:pPr>
        <w:pStyle w:val="null3"/>
        <w:ind w:firstLine="480"/>
        <w:jc w:val="left"/>
        <w:outlineLvl w:val="3"/>
      </w:pPr>
      <w:r>
        <w:rPr>
          <w:b/>
          <w:sz w:val="24"/>
        </w:rPr>
        <w:t>5.4.1评分办法</w:t>
      </w:r>
    </w:p>
    <w:p>
      <w:pPr>
        <w:pStyle w:val="null3"/>
        <w:ind w:firstLine="480"/>
        <w:jc w:val="left"/>
      </w:pPr>
      <w:r>
        <w:rPr/>
        <w:t>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b/>
          <w:sz w:val="24"/>
        </w:rPr>
        <w:t>5.4.2评分标准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评审因素</w:t>
            </w:r>
          </w:p>
        </w:tc>
        <w:tc>
          <w:tcPr>
            <w:tcW w:type="dxa" w:w="5815"/>
            <w:gridSpan w:val="4"/>
          </w:tcPr>
          <w:p>
            <w:pPr>
              <w:pStyle w:val="null3"/>
              <w:jc w:val="center"/>
            </w:pPr>
            <w:r>
              <w:rPr/>
              <w:t>评审标准</w:t>
            </w:r>
          </w:p>
        </w:tc>
      </w:tr>
      <w:tr>
        <w:tc>
          <w:tcPr>
            <w:tcW w:type="dxa" w:w="2492"/>
            <w:gridSpan w:val="2"/>
          </w:tcPr>
          <w:p>
            <w:pPr>
              <w:pStyle w:val="null3"/>
              <w:jc w:val="center"/>
            </w:pPr>
            <w:r>
              <w:rPr/>
              <w:t>分值构成</w:t>
            </w:r>
          </w:p>
        </w:tc>
        <w:tc>
          <w:tcPr>
            <w:tcW w:type="dxa" w:w="5815"/>
            <w:gridSpan w:val="4"/>
          </w:tcPr>
          <w:p>
            <w:pPr>
              <w:pStyle w:val="null3"/>
              <w:jc w:val="left"/>
            </w:pPr>
            <w:r>
              <w:rPr/>
              <w:t>详细评审90.00分</w:t>
            </w:r>
          </w:p>
          <w:p>
            <w:pPr>
              <w:pStyle w:val="null3"/>
              <w:jc w:val="left"/>
            </w:pPr>
            <w:r>
              <w:rPr/>
              <w:t>报价得分10.00分</w:t>
            </w:r>
          </w:p>
        </w:tc>
      </w:tr>
      <w:tr>
        <w:tc>
          <w:tcPr>
            <w:tcW w:type="dxa" w:w="831"/>
          </w:tcPr>
          <w:p>
            <w:pPr>
              <w:pStyle w:val="null3"/>
              <w:jc w:val="center"/>
            </w:pPr>
            <w:r>
              <w:rPr/>
              <w:t>评审因素分类</w:t>
            </w:r>
          </w:p>
        </w:tc>
        <w:tc>
          <w:tcPr>
            <w:tcW w:type="dxa" w:w="1661"/>
          </w:tcPr>
          <w:p>
            <w:pPr>
              <w:pStyle w:val="null3"/>
              <w:jc w:val="center"/>
            </w:pPr>
            <w:r>
              <w:rPr/>
              <w:t>评审项</w:t>
            </w:r>
          </w:p>
        </w:tc>
        <w:tc>
          <w:tcPr>
            <w:tcW w:type="dxa" w:w="2492"/>
          </w:tcPr>
          <w:p>
            <w:pPr>
              <w:pStyle w:val="null3"/>
              <w:jc w:val="center"/>
            </w:pPr>
            <w:r>
              <w:rPr/>
              <w:t>详细描述</w:t>
            </w:r>
          </w:p>
        </w:tc>
        <w:tc>
          <w:tcPr>
            <w:tcW w:type="dxa" w:w="831"/>
          </w:tcPr>
          <w:p>
            <w:pPr>
              <w:pStyle w:val="null3"/>
              <w:jc w:val="center"/>
            </w:pPr>
            <w:r>
              <w:rPr/>
              <w:t>分值</w:t>
            </w:r>
          </w:p>
        </w:tc>
        <w:tc>
          <w:tcPr>
            <w:tcW w:type="dxa" w:w="831"/>
          </w:tcPr>
          <w:p>
            <w:pPr>
              <w:pStyle w:val="null3"/>
              <w:jc w:val="center"/>
            </w:pPr>
            <w:r>
              <w:rPr/>
              <w:t>客观/主观</w:t>
            </w:r>
          </w:p>
        </w:tc>
        <w:tc>
          <w:tcPr>
            <w:tcW w:type="dxa" w:w="1661"/>
          </w:tcPr>
          <w:p>
            <w:pPr>
              <w:pStyle w:val="null3"/>
              <w:jc w:val="center"/>
            </w:pPr>
            <w:r>
              <w:rPr/>
              <w:t>关联格式</w:t>
            </w:r>
          </w:p>
        </w:tc>
      </w:tr>
      <w:tr>
        <w:tc>
          <w:tcPr>
            <w:tcW w:type="dxa" w:w="831"/>
            <w:vMerge w:val="restart"/>
          </w:tcPr>
          <w:p>
            <w:pPr>
              <w:pStyle w:val="null3"/>
              <w:jc w:val="left"/>
            </w:pPr>
            <w:r>
              <w:rPr/>
              <w:t>详细评审</w:t>
            </w:r>
          </w:p>
        </w:tc>
        <w:tc>
          <w:tcPr>
            <w:tcW w:type="dxa" w:w="1661"/>
          </w:tcPr>
          <w:p>
            <w:pPr>
              <w:pStyle w:val="null3"/>
              <w:jc w:val="left"/>
            </w:pPr>
            <w:r>
              <w:rPr/>
              <w:t>服务方案</w:t>
            </w:r>
          </w:p>
        </w:tc>
        <w:tc>
          <w:tcPr>
            <w:tcW w:type="dxa" w:w="2492"/>
          </w:tcPr>
          <w:p>
            <w:pPr>
              <w:pStyle w:val="null3"/>
              <w:jc w:val="left"/>
            </w:pPr>
            <w:r>
              <w:rPr/>
              <w:t>根据供应商针对本项目的实施方案包括：（1）项目分析理解、（2）宣传总体策划、（3）报纸专版方案、（4）信息发布方案、（5）专题宣传推广活动策划方案、（6）创意海报方案、（7）风景道线路体验暨媒体采风活动方案、（8）周刊推出方案、（9）“安逸四川”宣传推广平台信息采集和发布方案，共9项内容进行综合评分，方案包含以上所有内容并且专门针对本项目需求得45分。每缺少一项扣5分，每有一项内容存在缺陷扣2.5分，直至该项分值扣完为止。 注：缺陷是指：内容与实际情况不符、内容与项目无关、内容表述错误、内容前后表述矛盾、内容与项目不匹配、项目信息错误、不符合本项目涉及的相关规范或标准要求的任意一种情形等。</w:t>
            </w:r>
          </w:p>
        </w:tc>
        <w:tc>
          <w:tcPr>
            <w:tcW w:type="dxa" w:w="831"/>
          </w:tcPr>
          <w:p>
            <w:pPr>
              <w:pStyle w:val="null3"/>
              <w:jc w:val="right"/>
            </w:pPr>
            <w:r>
              <w:rPr/>
              <w:t>45.00</w:t>
            </w:r>
          </w:p>
        </w:tc>
        <w:tc>
          <w:tcPr>
            <w:tcW w:type="dxa" w:w="831"/>
          </w:tcPr>
          <w:p>
            <w:pPr>
              <w:pStyle w:val="null3"/>
              <w:jc w:val="left"/>
            </w:pPr>
            <w:r>
              <w:rPr/>
              <w:t>主观</w:t>
            </w:r>
          </w:p>
        </w:tc>
        <w:tc>
          <w:tcPr>
            <w:tcW w:type="dxa" w:w="1661"/>
          </w:tcPr>
          <w:p>
            <w:pPr>
              <w:pStyle w:val="null3"/>
              <w:jc w:val="left"/>
            </w:pPr>
            <w:r>
              <w:rPr/>
              <w:t>供应商本项目管理、技术、服务人员情况表</w:t>
            </w:r>
          </w:p>
          <w:p>
            <w:pPr>
              <w:pStyle w:val="null3"/>
              <w:jc w:val="left"/>
            </w:pPr>
            <w:r>
              <w:rPr/>
              <w:t>供应商类似项目业绩一览表</w:t>
            </w:r>
          </w:p>
          <w:p>
            <w:pPr>
              <w:pStyle w:val="null3"/>
              <w:jc w:val="left"/>
            </w:pPr>
            <w:r>
              <w:rPr/>
              <w:t>供应商认为需要提供的其它相关资料.</w:t>
            </w:r>
          </w:p>
          <w:p>
            <w:pPr>
              <w:pStyle w:val="null3"/>
              <w:jc w:val="left"/>
            </w:pPr>
            <w:r>
              <w:rPr/>
              <w:t>商务应答表</w:t>
            </w:r>
          </w:p>
        </w:tc>
      </w:tr>
      <w:tr>
        <w:tc>
          <w:tcPr>
            <w:tcW w:type="dxa" w:w="831"/>
            <w:vMerge/>
          </w:tcPr>
          <w:p/>
        </w:tc>
        <w:tc>
          <w:tcPr>
            <w:tcW w:type="dxa" w:w="1661"/>
          </w:tcPr>
          <w:p>
            <w:pPr>
              <w:pStyle w:val="null3"/>
              <w:jc w:val="left"/>
            </w:pPr>
            <w:r>
              <w:rPr/>
              <w:t>组织方案</w:t>
            </w:r>
          </w:p>
        </w:tc>
        <w:tc>
          <w:tcPr>
            <w:tcW w:type="dxa" w:w="2492"/>
          </w:tcPr>
          <w:p>
            <w:pPr>
              <w:pStyle w:val="null3"/>
              <w:jc w:val="left"/>
            </w:pPr>
            <w:r>
              <w:rPr/>
              <w:t>根据供应商提供的组织方案包括（1）工作运行机制的组织架构、（2）运行办法、（3）服务承诺、（4）效果保障措施、（5）应急解决方案，共5项内容进行综合评分，方案包含以上所有内容并且专门针对本项目需求得15分，每缺少一项上述内容扣3分，每有一项内容存在缺陷扣1.5分，扣完为止。 注：缺陷是指：内容与实际情况不符、内容与项目无关、内容表述错误、内容前后表述矛盾、内容与项目不匹配、项目信息错误、不符合本项目涉及的相关规范或标准要求的任意一种情形等。</w:t>
            </w:r>
          </w:p>
        </w:tc>
        <w:tc>
          <w:tcPr>
            <w:tcW w:type="dxa" w:w="831"/>
          </w:tcPr>
          <w:p>
            <w:pPr>
              <w:pStyle w:val="null3"/>
              <w:jc w:val="right"/>
            </w:pPr>
            <w:r>
              <w:rPr/>
              <w:t>15.00</w:t>
            </w:r>
          </w:p>
        </w:tc>
        <w:tc>
          <w:tcPr>
            <w:tcW w:type="dxa" w:w="831"/>
          </w:tcPr>
          <w:p>
            <w:pPr>
              <w:pStyle w:val="null3"/>
              <w:jc w:val="left"/>
            </w:pPr>
            <w:r>
              <w:rPr/>
              <w:t>主观</w:t>
            </w:r>
          </w:p>
        </w:tc>
        <w:tc>
          <w:tcPr>
            <w:tcW w:type="dxa" w:w="1661"/>
          </w:tcPr>
          <w:p>
            <w:pPr>
              <w:pStyle w:val="null3"/>
              <w:jc w:val="left"/>
            </w:pPr>
            <w:r>
              <w:rPr/>
              <w:t>供应商认为需要提供的其它相关资料.</w:t>
            </w:r>
          </w:p>
          <w:p>
            <w:pPr>
              <w:pStyle w:val="null3"/>
              <w:jc w:val="left"/>
            </w:pPr>
            <w:r>
              <w:rPr/>
              <w:t>供应商本项目管理、技术、服务人员情况表</w:t>
            </w:r>
          </w:p>
          <w:p>
            <w:pPr>
              <w:pStyle w:val="null3"/>
              <w:jc w:val="left"/>
            </w:pPr>
            <w:r>
              <w:rPr/>
              <w:t>供应商类似项目业绩一览表</w:t>
            </w:r>
          </w:p>
        </w:tc>
      </w:tr>
      <w:tr>
        <w:tc>
          <w:tcPr>
            <w:tcW w:type="dxa" w:w="831"/>
            <w:vMerge/>
          </w:tcPr>
          <w:p/>
        </w:tc>
        <w:tc>
          <w:tcPr>
            <w:tcW w:type="dxa" w:w="1661"/>
          </w:tcPr>
          <w:p>
            <w:pPr>
              <w:pStyle w:val="null3"/>
              <w:jc w:val="left"/>
            </w:pPr>
            <w:r>
              <w:rPr/>
              <w:t>人员配置</w:t>
            </w:r>
          </w:p>
        </w:tc>
        <w:tc>
          <w:tcPr>
            <w:tcW w:type="dxa" w:w="2492"/>
          </w:tcPr>
          <w:p>
            <w:pPr>
              <w:pStyle w:val="null3"/>
              <w:jc w:val="left"/>
            </w:pPr>
            <w:r>
              <w:rPr/>
              <w:t>1、针对本项目提供的项目管理人员，每提供1名具备新闻系列或广告系列中级及以上职称人员，得4分；本项最多得8分；未提供不得分。 2、针对本项目提供的工作人员，每提供1名具有新闻采编从业资格证或广告专业技术人员职业资格证，得3分；本项最多得6分；未提供不得分。注：项目管理人员和工作人员不能兼任，须提供相关人员证明材料（职称或资格证书）并进行电子签章。</w:t>
            </w:r>
          </w:p>
        </w:tc>
        <w:tc>
          <w:tcPr>
            <w:tcW w:type="dxa" w:w="831"/>
          </w:tcPr>
          <w:p>
            <w:pPr>
              <w:pStyle w:val="null3"/>
              <w:jc w:val="right"/>
            </w:pPr>
            <w:r>
              <w:rPr/>
              <w:t>14.00</w:t>
            </w:r>
          </w:p>
        </w:tc>
        <w:tc>
          <w:tcPr>
            <w:tcW w:type="dxa" w:w="831"/>
          </w:tcPr>
          <w:p>
            <w:pPr>
              <w:pStyle w:val="null3"/>
              <w:jc w:val="left"/>
            </w:pPr>
            <w:r>
              <w:rPr/>
              <w:t>客观</w:t>
            </w:r>
          </w:p>
        </w:tc>
        <w:tc>
          <w:tcPr>
            <w:tcW w:type="dxa" w:w="1661"/>
          </w:tcPr>
          <w:p>
            <w:pPr>
              <w:pStyle w:val="null3"/>
              <w:jc w:val="left"/>
            </w:pPr>
            <w:r>
              <w:rPr/>
              <w:t>供应商本项目管理、技术、服务人员情况表</w:t>
            </w:r>
          </w:p>
          <w:p>
            <w:pPr>
              <w:pStyle w:val="null3"/>
              <w:jc w:val="left"/>
            </w:pPr>
            <w:r>
              <w:rPr/>
              <w:t>供应商认为需要提供的其它相关资料.</w:t>
            </w:r>
          </w:p>
        </w:tc>
      </w:tr>
      <w:tr>
        <w:tc>
          <w:tcPr>
            <w:tcW w:type="dxa" w:w="831"/>
            <w:vMerge/>
          </w:tcPr>
          <w:p/>
        </w:tc>
        <w:tc>
          <w:tcPr>
            <w:tcW w:type="dxa" w:w="1661"/>
          </w:tcPr>
          <w:p>
            <w:pPr>
              <w:pStyle w:val="null3"/>
              <w:jc w:val="left"/>
            </w:pPr>
            <w:r>
              <w:rPr/>
              <w:t>履约经验</w:t>
            </w:r>
          </w:p>
        </w:tc>
        <w:tc>
          <w:tcPr>
            <w:tcW w:type="dxa" w:w="2492"/>
          </w:tcPr>
          <w:p>
            <w:pPr>
              <w:pStyle w:val="null3"/>
              <w:jc w:val="left"/>
            </w:pPr>
            <w:r>
              <w:rPr/>
              <w:t>供应商自2020年1月1日至今的同类项目业绩（同类项目指媒体宣传推广项目），每提供一个得4分，最高得16分，未提供的不得分。注：提供中标（成交）通知书或合同复印件并进行电子签章。</w:t>
            </w:r>
          </w:p>
        </w:tc>
        <w:tc>
          <w:tcPr>
            <w:tcW w:type="dxa" w:w="831"/>
          </w:tcPr>
          <w:p>
            <w:pPr>
              <w:pStyle w:val="null3"/>
              <w:jc w:val="right"/>
            </w:pPr>
            <w:r>
              <w:rPr/>
              <w:t>16.00</w:t>
            </w:r>
          </w:p>
        </w:tc>
        <w:tc>
          <w:tcPr>
            <w:tcW w:type="dxa" w:w="831"/>
          </w:tcPr>
          <w:p>
            <w:pPr>
              <w:pStyle w:val="null3"/>
              <w:jc w:val="left"/>
            </w:pPr>
            <w:r>
              <w:rPr/>
              <w:t>客观</w:t>
            </w:r>
          </w:p>
        </w:tc>
        <w:tc>
          <w:tcPr>
            <w:tcW w:type="dxa" w:w="1661"/>
          </w:tcPr>
          <w:p>
            <w:pPr>
              <w:pStyle w:val="null3"/>
              <w:jc w:val="left"/>
            </w:pPr>
            <w:r>
              <w:rPr/>
              <w:t>供应商类似项目业绩一览表</w:t>
            </w:r>
          </w:p>
          <w:p>
            <w:pPr>
              <w:pStyle w:val="null3"/>
              <w:jc w:val="left"/>
            </w:pPr>
            <w:r>
              <w:rPr/>
              <w:t>供应商认为需要提供的其它相关资料.</w:t>
            </w:r>
          </w:p>
        </w:tc>
      </w:tr>
      <w:tr>
        <w:tc>
          <w:tcPr>
            <w:tcW w:type="dxa" w:w="831"/>
          </w:tcPr>
          <w:p>
            <w:pPr>
              <w:pStyle w:val="null3"/>
              <w:jc w:val="left"/>
            </w:pPr>
            <w:r>
              <w:rPr/>
              <w:t>价格分</w:t>
            </w:r>
          </w:p>
        </w:tc>
        <w:tc>
          <w:tcPr>
            <w:tcW w:type="dxa" w:w="1661"/>
          </w:tcPr>
          <w:p>
            <w:pPr>
              <w:pStyle w:val="null3"/>
              <w:jc w:val="left"/>
            </w:pPr>
            <w:r>
              <w:rPr/>
              <w:t>价格分</w:t>
            </w:r>
          </w:p>
        </w:tc>
        <w:tc>
          <w:tcPr>
            <w:tcW w:type="dxa" w:w="2492"/>
          </w:tcPr>
          <w:p>
            <w:pPr>
              <w:pStyle w:val="null3"/>
              <w:jc w:val="left"/>
            </w:pPr>
            <w:r>
              <w:rPr/>
              <w:t>满足采购文件要求且最后报价最低的供应商的价格为基准价，其价格分为满分。其他供应商的价格分统一按照下列公式计算：报价得分=(基准价/最后报价)×10%×100。</w:t>
            </w:r>
          </w:p>
        </w:tc>
        <w:tc>
          <w:tcPr>
            <w:tcW w:type="dxa" w:w="831"/>
          </w:tcPr>
          <w:p>
            <w:pPr>
              <w:pStyle w:val="null3"/>
              <w:jc w:val="right"/>
            </w:pPr>
            <w:r>
              <w:rPr/>
              <w:t>10.00</w:t>
            </w:r>
          </w:p>
        </w:tc>
        <w:tc>
          <w:tcPr>
            <w:tcW w:type="dxa" w:w="831"/>
          </w:tcPr>
          <w:p>
            <w:pPr>
              <w:pStyle w:val="null3"/>
              <w:jc w:val="left"/>
            </w:pPr>
            <w:r>
              <w:rPr/>
              <w:t>客观</w:t>
            </w:r>
          </w:p>
        </w:tc>
        <w:tc>
          <w:tcPr>
            <w:tcW w:type="dxa" w:w="1661"/>
          </w:tcPr>
          <w:p>
            <w:pPr>
              <w:pStyle w:val="null3"/>
              <w:jc w:val="left"/>
            </w:pPr>
            <w:r>
              <w:rPr/>
              <w:t>报价表</w:t>
            </w:r>
          </w:p>
          <w:p>
            <w:pPr>
              <w:pStyle w:val="null3"/>
              <w:jc w:val="left"/>
            </w:pPr>
            <w:r>
              <w:rPr/>
              <w:t>分项报价表</w:t>
            </w:r>
          </w:p>
        </w:tc>
      </w:tr>
    </w:tbl>
    <w:p>
      <w:pPr>
        <w:pStyle w:val="null3"/>
        <w:jc w:val="left"/>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t>序号</w:t>
            </w:r>
          </w:p>
        </w:tc>
        <w:tc>
          <w:tcPr>
            <w:tcW w:type="dxa" w:w="1661"/>
          </w:tcPr>
          <w:p>
            <w:pPr>
              <w:pStyle w:val="null3"/>
              <w:jc w:val="left"/>
            </w:pPr>
            <w:r>
              <w:rPr/>
              <w:t>情形</w:t>
            </w:r>
          </w:p>
        </w:tc>
        <w:tc>
          <w:tcPr>
            <w:tcW w:type="dxa" w:w="1661"/>
          </w:tcPr>
          <w:p>
            <w:pPr>
              <w:pStyle w:val="null3"/>
              <w:jc w:val="left"/>
            </w:pPr>
            <w:r>
              <w:rPr/>
              <w:t>适用对象</w:t>
            </w:r>
          </w:p>
        </w:tc>
        <w:tc>
          <w:tcPr>
            <w:tcW w:type="dxa" w:w="831"/>
          </w:tcPr>
          <w:p>
            <w:pPr>
              <w:pStyle w:val="null3"/>
              <w:jc w:val="left"/>
            </w:pPr>
            <w:r>
              <w:rPr/>
              <w:t>比例</w:t>
            </w:r>
          </w:p>
        </w:tc>
        <w:tc>
          <w:tcPr>
            <w:tcW w:type="dxa" w:w="1661"/>
          </w:tcPr>
          <w:p>
            <w:pPr>
              <w:pStyle w:val="null3"/>
              <w:jc w:val="left"/>
            </w:pPr>
            <w:r>
              <w:rPr/>
              <w:t>说明</w:t>
            </w:r>
          </w:p>
        </w:tc>
        <w:tc>
          <w:tcPr>
            <w:tcW w:type="dxa" w:w="1661"/>
          </w:tcPr>
          <w:p>
            <w:pPr>
              <w:pStyle w:val="null3"/>
              <w:jc w:val="left"/>
            </w:pPr>
            <w:r>
              <w:rPr/>
              <w:t>关联格式</w:t>
            </w:r>
          </w:p>
        </w:tc>
      </w:tr>
      <w:tr>
        <w:tc>
          <w:tcPr>
            <w:tcW w:type="dxa" w:w="831"/>
          </w:tcPr>
          <w:p>
            <w:pPr>
              <w:pStyle w:val="null3"/>
              <w:jc w:val="left"/>
            </w:pPr>
            <w:r>
              <w:rPr/>
              <w:t>1</w:t>
            </w:r>
          </w:p>
        </w:tc>
        <w:tc>
          <w:tcPr>
            <w:tcW w:type="dxa" w:w="1661"/>
          </w:tcPr>
          <w:p>
            <w:pPr>
              <w:pStyle w:val="null3"/>
              <w:jc w:val="left"/>
            </w:pPr>
            <w:r>
              <w:rPr/>
              <w:t>小型、微型企业，监狱企业，残疾人福利性单位</w:t>
            </w:r>
          </w:p>
        </w:tc>
        <w:tc>
          <w:tcPr>
            <w:tcW w:type="dxa" w:w="1661"/>
          </w:tcPr>
          <w:p>
            <w:pPr>
              <w:pStyle w:val="null3"/>
              <w:jc w:val="left"/>
            </w:pPr>
            <w:r>
              <w:rPr/>
              <w:t>非联合体</w:t>
            </w:r>
          </w:p>
        </w:tc>
        <w:tc>
          <w:tcPr>
            <w:tcW w:type="dxa" w:w="831"/>
          </w:tcPr>
          <w:p>
            <w:pPr>
              <w:pStyle w:val="null3"/>
              <w:jc w:val="right"/>
            </w:pPr>
            <w:r>
              <w:rPr/>
              <w:t>10.00%</w:t>
            </w:r>
          </w:p>
        </w:tc>
        <w:tc>
          <w:tcPr>
            <w:tcW w:type="dxa" w:w="1661"/>
          </w:tcPr>
          <w:p>
            <w:pPr>
              <w:pStyle w:val="null3"/>
              <w:jc w:val="left"/>
            </w:pPr>
            <w:r>
              <w:rP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c>
          <w:tcPr>
            <w:tcW w:type="dxa" w:w="1661"/>
          </w:tcPr>
          <w:p>
            <w:pPr>
              <w:pStyle w:val="null3"/>
              <w:jc w:val="left"/>
            </w:pPr>
            <w:r>
              <w:rPr/>
              <w:t>分项报价表 中小企业声明函 残疾人福利性单位声明函 报价表 监狱企业的证明文件</w:t>
            </w:r>
          </w:p>
        </w:tc>
      </w:tr>
    </w:tbl>
    <w:p>
      <w:pPr>
        <w:pStyle w:val="null3"/>
        <w:ind w:firstLine="480"/>
        <w:jc w:val="left"/>
      </w:pPr>
      <w:r>
        <w:rPr/>
        <w:t>说明：</w:t>
      </w:r>
    </w:p>
    <w:p>
      <w:pPr>
        <w:pStyle w:val="null3"/>
        <w:ind w:firstLine="480"/>
        <w:jc w:val="left"/>
      </w:pPr>
      <w:r>
        <w:rPr/>
        <w:t>1、所有的评分、价格等涉及小数计算，先四舍五入再计算；</w:t>
      </w:r>
    </w:p>
    <w:p>
      <w:pPr>
        <w:pStyle w:val="null3"/>
        <w:ind w:firstLine="480"/>
        <w:jc w:val="left"/>
      </w:pPr>
      <w:r>
        <w:rPr/>
        <w:t>2、评分标准中要求提供的证明材料须清晰可辨。</w:t>
      </w:r>
    </w:p>
    <w:p>
      <w:pPr>
        <w:pStyle w:val="null3"/>
        <w:ind w:firstLine="480"/>
        <w:jc w:val="left"/>
        <w:outlineLvl w:val="2"/>
      </w:pPr>
      <w:r>
        <w:rPr>
          <w:b/>
          <w:sz w:val="28"/>
        </w:rPr>
        <w:t>5.5终止采购活动</w:t>
      </w:r>
    </w:p>
    <w:p>
      <w:pPr>
        <w:pStyle w:val="null3"/>
        <w:ind w:firstLine="480"/>
        <w:jc w:val="left"/>
      </w:pPr>
      <w:r>
        <w:rPr/>
        <w:t>出现下列情形之一的，采购人或者代理机构应当终止竞争性磋商采购活动，发布项目终止公告并说明原因，重新开展采购活动：</w:t>
      </w:r>
    </w:p>
    <w:p>
      <w:pPr>
        <w:pStyle w:val="null3"/>
        <w:ind w:firstLine="480"/>
        <w:jc w:val="left"/>
      </w:pPr>
      <w:r>
        <w:rPr/>
        <w:t>（一）因情况变化，不再符合规定的竞争性磋商采购方式适用情形的；</w:t>
      </w:r>
    </w:p>
    <w:p>
      <w:pPr>
        <w:pStyle w:val="null3"/>
        <w:ind w:firstLine="480"/>
        <w:jc w:val="left"/>
      </w:pPr>
      <w:r>
        <w:rPr/>
        <w:t>（二）出现影响采购公正的违法、违规行为的；</w:t>
      </w:r>
    </w:p>
    <w:p>
      <w:pPr>
        <w:pStyle w:val="null3"/>
        <w:ind w:firstLine="480"/>
        <w:jc w:val="left"/>
      </w:pPr>
      <w:r>
        <w:rPr/>
        <w:t>（三）除《政府采购竞争性磋商采购方式管理暂行办法》第二十一条第三款规定的情形外，在采购过程中符合要求的供应商或者报价未超过采购预算的供应商不足3家的（财政部另有规定的除外）；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jc w:val="left"/>
      </w:pPr>
      <w:r>
        <w:rPr/>
        <w:t>（四）法律法规规定的其他情形。</w:t>
      </w:r>
    </w:p>
    <w:p>
      <w:pPr>
        <w:pStyle w:val="null3"/>
        <w:ind w:firstLine="480"/>
        <w:jc w:val="left"/>
        <w:outlineLvl w:val="2"/>
      </w:pPr>
      <w:r>
        <w:rPr>
          <w:b/>
          <w:sz w:val="28"/>
        </w:rPr>
        <w:t>5.6确定成交供应商</w:t>
      </w:r>
    </w:p>
    <w:p>
      <w:pPr>
        <w:pStyle w:val="null3"/>
        <w:jc w:val="left"/>
      </w:pPr>
    </w:p>
    <w:p>
      <w:pPr>
        <w:pStyle w:val="null3"/>
        <w:jc w:val="left"/>
      </w:pPr>
    </w:p>
    <w:p>
      <w:pPr>
        <w:pStyle w:val="null3"/>
        <w:jc w:val="left"/>
      </w:pPr>
      <w:r>
        <w:rPr/>
        <w:t>一、评审结束后，代理机构在评审结束之日起2个工作日内将磋商报告及有关资料送交采购人。</w:t>
      </w:r>
    </w:p>
    <w:p>
      <w:pPr>
        <w:pStyle w:val="null3"/>
        <w:jc w:val="left"/>
      </w:pPr>
      <w:r>
        <w:rPr/>
        <w:t>二、采购人在收到磋商报告后5个工作日内，在磋商报告确定的成交候选供应商名单中按顺序确定成交供应商。成交候选供应商并列的，由采购人采取随机抽取的方式确定成交供应商。</w:t>
      </w:r>
    </w:p>
    <w:p>
      <w:pPr>
        <w:pStyle w:val="null3"/>
        <w:jc w:val="left"/>
      </w:pPr>
      <w:r>
        <w:rPr/>
        <w:t>三、采购人逾期未确定成交供应商且不提出异议的，视为确定磋商报告提出的排序第一的供应商为成交供应商。</w:t>
      </w:r>
    </w:p>
    <w:p>
      <w:pPr>
        <w:pStyle w:val="null3"/>
        <w:jc w:val="left"/>
      </w:pPr>
      <w:r>
        <w:rPr/>
        <w:t>四、根据采购人确定的成交供应商，代理机构在四川政府采购网上发布成交结果公告，同时向成交供应商发出成交通知书。</w:t>
      </w:r>
    </w:p>
    <w:p>
      <w:pPr>
        <w:pStyle w:val="null3"/>
        <w:ind w:firstLine="480"/>
        <w:jc w:val="left"/>
        <w:outlineLvl w:val="2"/>
      </w:pPr>
      <w:r>
        <w:rPr>
          <w:b/>
          <w:sz w:val="28"/>
        </w:rPr>
        <w:t>5.7评审专家在政府采购活动中承担以下义务</w:t>
      </w:r>
    </w:p>
    <w:p>
      <w:pPr>
        <w:pStyle w:val="null3"/>
        <w:ind w:firstLine="480"/>
        <w:jc w:val="left"/>
      </w:pPr>
      <w:r>
        <w:rPr/>
        <w:t>（一）遵守评审工作纪律；</w:t>
      </w:r>
    </w:p>
    <w:p>
      <w:pPr>
        <w:pStyle w:val="null3"/>
        <w:ind w:firstLine="480"/>
        <w:jc w:val="left"/>
      </w:pPr>
      <w:r>
        <w:rPr/>
        <w:t>（二）按照客观、公正、审慎的原则，根据采购文件规定的评审程序、评审方法和评审标准进行独立评审；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jc w:val="left"/>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ind w:firstLine="480"/>
        <w:jc w:val="left"/>
        <w:outlineLvl w:val="2"/>
      </w:pPr>
      <w:r>
        <w:rPr>
          <w:b/>
          <w:sz w:val="28"/>
        </w:rPr>
        <w:t>5.8评审专家在政府采购活动中应当遵守以下工作纪律</w:t>
      </w:r>
    </w:p>
    <w:p>
      <w:pPr>
        <w:pStyle w:val="null3"/>
        <w:ind w:firstLine="480"/>
        <w:jc w:val="left"/>
      </w:pPr>
      <w:r>
        <w:rPr/>
        <w:t>（一）遵行《中华人民共和国政府采购法》第十二条和《中华人民共和国政府采购法实施条例》第九条及财政部关于回避的规定。</w:t>
      </w:r>
    </w:p>
    <w:p>
      <w:pPr>
        <w:pStyle w:val="null3"/>
        <w:ind w:firstLine="480"/>
        <w:jc w:val="left"/>
      </w:pPr>
      <w:r>
        <w:rPr/>
        <w:t>（二）评审前，应当将通讯工具或者相关电子设备交由采购组织单位统一保管。</w:t>
      </w:r>
    </w:p>
    <w:p>
      <w:pPr>
        <w:pStyle w:val="null3"/>
        <w:ind w:firstLine="480"/>
        <w:jc w:val="left"/>
      </w:pPr>
      <w:r>
        <w:rPr/>
        <w:t>（三）评审过程中，不得与外界联系，因发生不可预见情况，确实需要与外界联系的，         应当在监督人员监督之下办理。</w:t>
      </w:r>
    </w:p>
    <w:p>
      <w:pPr>
        <w:pStyle w:val="null3"/>
        <w:ind w:firstLine="480"/>
        <w:jc w:val="left"/>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jc w:val="left"/>
      </w:pPr>
      <w:r>
        <w:rPr/>
        <w:t>（六）服从评审现场采购组织单位的现场秩序管理，接受评审现场监督人员的合法监督。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（七）遵守有关廉洁自律规定，不得私下接触供应商，不得收受供应商及有关业务单位和个人的财物或好处，不得接受采购组织单位的请托。</w:t>
      </w:r>
    </w:p>
    <w:p>
      <w:pPr>
        <w:pStyle w:val="null3"/>
        <w:jc w:val="left"/>
      </w:pPr>
    </w:p>
    <w:p>
      <w:pPr>
        <w:pStyle w:val="null3"/>
        <w:ind w:firstLine="480"/>
        <w:jc w:val="left"/>
      </w:pPr>
      <w:r>
        <w:rPr/>
        <w:t xml:space="preserve"> </w:t>
      </w:r>
    </w:p>
    <w:p>
      <w:pPr>
        <w:pStyle w:val="null3"/>
        <w:ind w:firstLine="480"/>
        <w:jc w:val="center"/>
        <w:outlineLvl w:val="1"/>
      </w:pPr>
      <w:r>
        <w:rPr>
          <w:b/>
          <w:sz w:val="36"/>
        </w:rPr>
        <w:t>第六章 响应文件格式</w:t>
      </w:r>
    </w:p>
    <w:p>
      <w:pPr>
        <w:pStyle w:val="null3"/>
        <w:jc w:val="left"/>
      </w:pPr>
    </w:p>
    <w:p>
      <w:pPr>
        <w:pStyle w:val="null3"/>
        <w:jc w:val="left"/>
      </w:pPr>
    </w:p>
    <w:p>
      <w:pPr>
        <w:pStyle w:val="null3"/>
        <w:jc w:val="left"/>
      </w:pP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详见附件：供应商应提交的相关资格证明材料</w:t>
      </w:r>
    </w:p>
    <w:p>
      <w:pPr>
        <w:pStyle w:val="null3"/>
        <w:ind w:firstLine="960"/>
        <w:jc w:val="left"/>
      </w:pPr>
      <w:r>
        <w:rPr/>
        <w:t>详见附件：商务应答表</w:t>
      </w:r>
    </w:p>
    <w:p>
      <w:pPr>
        <w:pStyle w:val="null3"/>
        <w:ind w:firstLine="960"/>
        <w:jc w:val="left"/>
      </w:pPr>
      <w:r>
        <w:rPr/>
        <w:t>详见附件：报价表</w:t>
      </w:r>
    </w:p>
    <w:p>
      <w:pPr>
        <w:pStyle w:val="null3"/>
        <w:ind w:firstLine="960"/>
        <w:jc w:val="left"/>
      </w:pPr>
      <w:r>
        <w:rPr/>
        <w:t>详见附件：分项报价表</w:t>
      </w:r>
    </w:p>
    <w:p>
      <w:pPr>
        <w:pStyle w:val="null3"/>
        <w:ind w:firstLine="960"/>
        <w:jc w:val="left"/>
      </w:pPr>
      <w:r>
        <w:rPr/>
        <w:t>详见附件：供应商本项目管理、技术、服务人员情况表</w:t>
      </w:r>
    </w:p>
    <w:p>
      <w:pPr>
        <w:pStyle w:val="null3"/>
        <w:ind w:firstLine="960"/>
        <w:jc w:val="left"/>
      </w:pPr>
      <w:r>
        <w:rPr/>
        <w:t>详见附件：供应商类似项目业绩一览表</w:t>
      </w:r>
    </w:p>
    <w:p>
      <w:pPr>
        <w:pStyle w:val="null3"/>
        <w:ind w:firstLine="960"/>
        <w:jc w:val="left"/>
      </w:pPr>
      <w:r>
        <w:rPr/>
        <w:t>详见附件：供应商认为需要提供的其它相关资料.</w:t>
      </w:r>
    </w:p>
    <w:p>
      <w:pPr>
        <w:pStyle w:val="null3"/>
        <w:ind w:firstLine="960"/>
        <w:jc w:val="left"/>
      </w:pPr>
      <w:r>
        <w:rPr/>
        <w:t>详见附件：服务要求应答表</w:t>
      </w:r>
    </w:p>
    <w:p>
      <w:pPr>
        <w:pStyle w:val="null3"/>
        <w:jc w:val="left"/>
      </w:pPr>
    </w:p>
    <w:p>
      <w:pPr>
        <w:pStyle w:val="null3"/>
        <w:ind w:firstLine="480"/>
        <w:jc w:val="left"/>
      </w:pPr>
      <w:r>
        <w:rPr/>
        <w:t xml:space="preserve"> </w:t>
      </w:r>
    </w:p>
    <w:p>
      <w:pPr>
        <w:pStyle w:val="null3"/>
        <w:ind w:firstLine="480"/>
        <w:jc w:val="center"/>
        <w:outlineLvl w:val="1"/>
      </w:pPr>
      <w:r>
        <w:rPr>
          <w:b/>
          <w:sz w:val="36"/>
        </w:rPr>
        <w:t>第七章 拟签订采购合同文本</w:t>
      </w:r>
    </w:p>
    <w:p>
      <w:pPr>
        <w:pStyle w:val="null3"/>
        <w:jc w:val="left"/>
      </w:pPr>
    </w:p>
    <w:p>
      <w:pPr>
        <w:pStyle w:val="null3"/>
        <w:jc w:val="left"/>
      </w:pPr>
    </w:p>
    <w:p>
      <w:pPr>
        <w:pStyle w:val="null3"/>
        <w:jc w:val="left"/>
      </w:pPr>
    </w:p>
    <w:p>
      <w:pPr>
        <w:pStyle w:val="null3"/>
        <w:jc w:val="left"/>
      </w:pPr>
    </w:p>
    <w:p>
      <w:pPr>
        <w:pStyle w:val="null3"/>
        <w:jc w:val="left"/>
      </w:pPr>
    </w:p>
    <w:p>
      <w:pPr>
        <w:pStyle w:val="null3"/>
        <w:ind w:firstLine="480"/>
        <w:jc w:val="center"/>
        <w:outlineLvl w:val="0"/>
      </w:pPr>
      <w:r>
        <w:rPr>
          <w:b/>
          <w:sz w:val="48"/>
        </w:rPr>
        <w:t>政府采购合同（服务类）</w:t>
      </w:r>
      <w:r>
        <w:br/>
      </w:r>
    </w:p>
    <w:p>
      <w:pPr>
        <w:pStyle w:val="null3"/>
        <w:jc w:val="left"/>
      </w:pPr>
      <w:r>
        <w:rPr/>
        <w:t>政府采购合同编号： __________________</w:t>
      </w:r>
    </w:p>
    <w:p>
      <w:pPr>
        <w:pStyle w:val="null3"/>
        <w:jc w:val="left"/>
      </w:pPr>
      <w:r>
        <w:rPr/>
        <w:t>履约地点：__________________</w:t>
      </w:r>
    </w:p>
    <w:p>
      <w:pPr>
        <w:pStyle w:val="null3"/>
        <w:jc w:val="left"/>
      </w:pPr>
      <w:r>
        <w:rPr/>
        <w:t>签订日期：20___年___月___日</w:t>
      </w:r>
    </w:p>
    <w:p>
      <w:pPr>
        <w:pStyle w:val="null3"/>
        <w:jc w:val="left"/>
      </w:pPr>
      <w:r>
        <w:rPr/>
        <w:t>签订地点：__________________</w:t>
      </w:r>
    </w:p>
    <w:p>
      <w:pPr>
        <w:pStyle w:val="null3"/>
        <w:jc w:val="left"/>
      </w:pPr>
      <w:r>
        <w:rPr/>
        <w:t>采购人（甲方）：__________________</w:t>
      </w:r>
    </w:p>
    <w:p>
      <w:pPr>
        <w:pStyle w:val="null3"/>
        <w:jc w:val="left"/>
      </w:pPr>
      <w:r>
        <w:rPr/>
        <w:t>地址：__________________</w:t>
      </w:r>
    </w:p>
    <w:p>
      <w:pPr>
        <w:pStyle w:val="null3"/>
        <w:jc w:val="left"/>
      </w:pPr>
      <w:r>
        <w:rPr/>
        <w:t>供应商(乙方)：__________________</w:t>
      </w:r>
    </w:p>
    <w:p>
      <w:pPr>
        <w:pStyle w:val="null3"/>
        <w:jc w:val="left"/>
      </w:pPr>
      <w:r>
        <w:rPr/>
        <w:t>地址：__________________</w:t>
      </w:r>
    </w:p>
    <w:p>
      <w:pPr>
        <w:pStyle w:val="null3"/>
        <w:jc w:val="left"/>
      </w:pPr>
      <w:r>
        <w:rPr/>
        <w:t>依据《中华人民共和国民法典》《中华人民共和国政府采购法》与项目行业有关的法律法规，以及XXX采购项目的</w:t>
      </w:r>
      <w:r>
        <w:rPr/>
        <w:t>《磋商文件》</w:t>
      </w:r>
      <w:r>
        <w:rPr/>
        <w:t>，乙方的《投标（响应）文件》及《中标（成交）通知书》，甲乙双方同意签订本合同。具体情况及要求如下</w:t>
      </w:r>
    </w:p>
    <w:p>
      <w:pPr>
        <w:pStyle w:val="null3"/>
        <w:jc w:val="left"/>
        <w:outlineLvl w:val="3"/>
      </w:pPr>
      <w:r>
        <w:rPr>
          <w:b/>
          <w:sz w:val="24"/>
        </w:rPr>
        <w:t>一、标的信息</w:t>
      </w:r>
      <w:r>
        <w:br/>
      </w:r>
    </w:p>
    <w:p>
      <w:pPr>
        <w:pStyle w:val="null3"/>
        <w:jc w:val="left"/>
        <w:outlineLvl w:val="3"/>
      </w:pPr>
      <w:r>
        <w:rPr>
          <w:b/>
          <w:sz w:val="24"/>
        </w:rPr>
        <w:t>二、服务要求</w:t>
      </w:r>
      <w:r>
        <w:br/>
      </w:r>
    </w:p>
    <w:p>
      <w:pPr>
        <w:pStyle w:val="null3"/>
        <w:jc w:val="left"/>
        <w:outlineLvl w:val="3"/>
      </w:pPr>
      <w:r>
        <w:rPr>
          <w:b/>
          <w:sz w:val="24"/>
        </w:rPr>
        <w:t>三、合同定价方式、付款进度和支付方式</w:t>
      </w:r>
      <w:r>
        <w:br/>
      </w:r>
    </w:p>
    <w:p>
      <w:pPr>
        <w:pStyle w:val="null3"/>
        <w:jc w:val="left"/>
        <w:outlineLvl w:val="3"/>
      </w:pPr>
      <w:r>
        <w:rPr>
          <w:b/>
          <w:sz w:val="24"/>
        </w:rPr>
        <w:t>四、履约保证金</w:t>
      </w:r>
      <w:r>
        <w:br/>
      </w:r>
    </w:p>
    <w:p>
      <w:pPr>
        <w:pStyle w:val="null3"/>
        <w:jc w:val="left"/>
        <w:outlineLvl w:val="3"/>
      </w:pPr>
      <w:r>
        <w:rPr>
          <w:b/>
          <w:sz w:val="24"/>
        </w:rPr>
        <w:t>五、验收标准和方法</w:t>
      </w:r>
      <w:r>
        <w:br/>
      </w:r>
    </w:p>
    <w:p>
      <w:pPr>
        <w:pStyle w:val="null3"/>
        <w:jc w:val="left"/>
        <w:outlineLvl w:val="3"/>
      </w:pPr>
      <w:r>
        <w:rPr>
          <w:b/>
          <w:sz w:val="24"/>
        </w:rPr>
        <w:t>六、甲方的权利和义务</w:t>
      </w:r>
    </w:p>
    <w:p>
      <w:pPr>
        <w:pStyle w:val="null3"/>
        <w:jc w:val="left"/>
      </w:pPr>
      <w:r>
        <w:rPr/>
        <w:t>1.甲方有权对合同规定范围内乙方的服务行为进行监督和检查，拥有监管权。有权定期核对乙方提供服务所配备的人员数量。对甲方认为不合理的部分XXX。</w:t>
      </w:r>
    </w:p>
    <w:p>
      <w:pPr>
        <w:pStyle w:val="null3"/>
        <w:jc w:val="left"/>
      </w:pPr>
      <w:r>
        <w:rPr/>
        <w:t>2.根据本合同规定，按时向乙方支付应付服务费用。</w:t>
      </w:r>
    </w:p>
    <w:p>
      <w:pPr>
        <w:pStyle w:val="null3"/>
        <w:jc w:val="left"/>
      </w:pPr>
      <w:r>
        <w:rPr/>
        <w:t>3.国家法律、法规所规定由甲方承担的其它责任。</w:t>
      </w:r>
    </w:p>
    <w:p>
      <w:pPr>
        <w:pStyle w:val="null3"/>
        <w:jc w:val="left"/>
      </w:pPr>
      <w:r>
        <w:rPr/>
        <w:t>......</w:t>
      </w:r>
    </w:p>
    <w:p>
      <w:pPr>
        <w:pStyle w:val="null3"/>
        <w:jc w:val="left"/>
        <w:outlineLvl w:val="3"/>
      </w:pPr>
      <w:r>
        <w:rPr>
          <w:b/>
          <w:sz w:val="24"/>
        </w:rPr>
        <w:t>七、乙方的权利和义务</w:t>
      </w:r>
    </w:p>
    <w:p>
      <w:pPr>
        <w:pStyle w:val="null3"/>
        <w:jc w:val="left"/>
      </w:pPr>
      <w:r>
        <w:rPr/>
        <w:t>1.根据本合同的约定向甲方收取相关服务费用。</w:t>
      </w:r>
    </w:p>
    <w:p>
      <w:pPr>
        <w:pStyle w:val="null3"/>
        <w:jc w:val="left"/>
      </w:pPr>
      <w:r>
        <w:rPr/>
        <w:t>2.接受项目行业管理部门及政府有关部门的指导，接受甲方的监督。</w:t>
      </w:r>
    </w:p>
    <w:p>
      <w:pPr>
        <w:pStyle w:val="null3"/>
        <w:jc w:val="left"/>
      </w:pPr>
      <w:r>
        <w:rPr/>
        <w:t>3.国家法律、法规所规定由乙方承担的其它责任。</w:t>
      </w:r>
    </w:p>
    <w:p>
      <w:pPr>
        <w:pStyle w:val="null3"/>
        <w:jc w:val="left"/>
      </w:pPr>
      <w:r>
        <w:rPr/>
        <w:t>......</w:t>
      </w:r>
    </w:p>
    <w:p>
      <w:pPr>
        <w:pStyle w:val="null3"/>
        <w:jc w:val="left"/>
        <w:outlineLvl w:val="3"/>
      </w:pPr>
      <w:r>
        <w:rPr>
          <w:b/>
          <w:sz w:val="24"/>
        </w:rPr>
        <w:t>八、违约责任</w:t>
      </w:r>
    </w:p>
    <w:p>
      <w:pPr>
        <w:pStyle w:val="null3"/>
        <w:jc w:val="left"/>
      </w:pPr>
      <w:r>
        <w:rPr/>
        <w:t>1.若甲方未按照合同约定逾期向乙方支付货物费用，每逾期一天，按应支付金额的X‰作为违约金支付给乙方，直至实际支付之日</w:t>
      </w:r>
    </w:p>
    <w:p>
      <w:pPr>
        <w:pStyle w:val="null3"/>
        <w:jc w:val="left"/>
      </w:pPr>
      <w:r>
        <w:rPr/>
        <w:t>2.因甲方原因导致变更、中止或者终止政府采购合同的，应对乙方受到的损失予以赔偿或者补偿。</w:t>
      </w:r>
    </w:p>
    <w:p>
      <w:pPr>
        <w:pStyle w:val="null3"/>
        <w:jc w:val="left"/>
      </w:pPr>
      <w:r>
        <w:rPr/>
        <w:t>......</w:t>
      </w:r>
    </w:p>
    <w:p>
      <w:pPr>
        <w:pStyle w:val="null3"/>
        <w:jc w:val="left"/>
        <w:outlineLvl w:val="3"/>
      </w:pPr>
      <w:r>
        <w:rPr>
          <w:b/>
          <w:sz w:val="24"/>
        </w:rPr>
        <w:t>九、不可抗事件处理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2.受阻一方应在不可抗力事件发生后尽快用电话通知对方并于事故发生后XX天内将有关部门出具的证明文件等用特快专递或挂号信寄给对方审阅确认。</w:t>
      </w:r>
    </w:p>
    <w:p>
      <w:pPr>
        <w:pStyle w:val="null3"/>
        <w:jc w:val="left"/>
      </w:pPr>
      <w:r>
        <w:rPr/>
        <w:t>3.不可抗力事件延续XX天以上，双方应通过友好协商，确定是否继续履行合同</w:t>
      </w:r>
    </w:p>
    <w:p>
      <w:pPr>
        <w:pStyle w:val="null3"/>
        <w:jc w:val="left"/>
      </w:pPr>
      <w:r>
        <w:rPr/>
        <w:t>......</w:t>
      </w:r>
    </w:p>
    <w:p>
      <w:pPr>
        <w:pStyle w:val="null3"/>
        <w:jc w:val="left"/>
        <w:outlineLvl w:val="3"/>
      </w:pPr>
      <w:r>
        <w:rPr>
          <w:b/>
          <w:sz w:val="24"/>
        </w:rPr>
        <w:t>十、解决合同纠纷的方式</w:t>
      </w:r>
      <w:r>
        <w:br/>
      </w:r>
    </w:p>
    <w:p>
      <w:pPr>
        <w:pStyle w:val="null3"/>
        <w:jc w:val="left"/>
        <w:outlineLvl w:val="3"/>
      </w:pPr>
      <w:r>
        <w:rPr>
          <w:b/>
          <w:sz w:val="24"/>
        </w:rPr>
        <w:t>十一、合同生效及其他</w:t>
      </w:r>
    </w:p>
    <w:p>
      <w:pPr>
        <w:pStyle w:val="null3"/>
        <w:jc w:val="left"/>
      </w:pP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r>
        <w:br/>
      </w:r>
      <w:r>
        <w:br/>
      </w:r>
      <w:r>
        <w:br/>
      </w:r>
      <w:r>
        <w:br/>
      </w:r>
      <w:r>
        <w:br/>
      </w:r>
    </w:p>
    <w:p>
      <w:pPr>
        <w:pStyle w:val="null3"/>
        <w:jc w:val="left"/>
      </w:pPr>
    </w:p>
    <w:p>
      <w:pPr>
        <w:pStyle w:val="null3"/>
        <w:jc w:val="left"/>
      </w:pPr>
    </w:p>
    <w:p>
      <w:pPr>
        <w:pStyle w:val="null3"/>
        <w:ind w:firstLine="480"/>
        <w:jc w:val="left"/>
      </w:pPr>
    </w:p>
    <w:p>
      <w:pPr>
        <w:pStyle w:val="null3"/>
        <w:jc w:val="left"/>
      </w:pPr>
      <w:r>
        <w:rPr/>
        <w:t>甲方： （盖章）</w:t>
      </w:r>
    </w:p>
    <w:p>
      <w:pPr>
        <w:pStyle w:val="null3"/>
        <w:jc w:val="left"/>
      </w:pPr>
      <w:r>
        <w:rPr/>
        <w:t>法定（授权）代表人：</w:t>
      </w:r>
    </w:p>
    <w:p>
      <w:pPr>
        <w:pStyle w:val="null3"/>
        <w:jc w:val="left"/>
      </w:pPr>
      <w:r>
        <w:rPr/>
        <w:t>地 址：</w:t>
      </w:r>
    </w:p>
    <w:p>
      <w:pPr>
        <w:pStyle w:val="null3"/>
        <w:jc w:val="left"/>
      </w:pPr>
      <w:r>
        <w:rPr/>
        <w:t>开户银行：</w:t>
      </w:r>
    </w:p>
    <w:p>
      <w:pPr>
        <w:pStyle w:val="null3"/>
        <w:jc w:val="left"/>
      </w:pPr>
      <w:r>
        <w:rPr/>
        <w:t>账号：</w:t>
      </w:r>
    </w:p>
    <w:p>
      <w:pPr>
        <w:pStyle w:val="null3"/>
        <w:jc w:val="left"/>
      </w:pPr>
      <w:r>
        <w:rPr/>
        <w:t>签订日期：  年   月   日</w:t>
      </w:r>
    </w:p>
    <w:p>
      <w:pPr>
        <w:pStyle w:val="null3"/>
        <w:ind w:firstLine="480"/>
        <w:jc w:val="left"/>
      </w:pPr>
    </w:p>
    <w:p>
      <w:pPr>
        <w:pStyle w:val="null3"/>
        <w:spacing w:after="375"/>
        <w:ind w:firstLine="480"/>
        <w:jc w:val="left"/>
      </w:pPr>
    </w:p>
    <w:p>
      <w:pPr>
        <w:pStyle w:val="null3"/>
        <w:jc w:val="left"/>
      </w:pPr>
      <w:r>
        <w:rPr/>
        <w:t>乙方：(盖章）</w:t>
      </w:r>
    </w:p>
    <w:p>
      <w:pPr>
        <w:pStyle w:val="null3"/>
        <w:jc w:val="left"/>
      </w:pPr>
      <w:r>
        <w:rPr/>
        <w:t>法定（授权）代表人：</w:t>
      </w:r>
    </w:p>
    <w:p>
      <w:pPr>
        <w:pStyle w:val="null3"/>
        <w:jc w:val="left"/>
      </w:pPr>
      <w:r>
        <w:rPr/>
        <w:t>地 址：</w:t>
      </w:r>
    </w:p>
    <w:p>
      <w:pPr>
        <w:pStyle w:val="null3"/>
        <w:jc w:val="left"/>
      </w:pPr>
      <w:r>
        <w:rPr/>
        <w:t>开户银行：</w:t>
      </w:r>
    </w:p>
    <w:p>
      <w:pPr>
        <w:pStyle w:val="null3"/>
        <w:jc w:val="left"/>
      </w:pPr>
      <w:r>
        <w:rPr/>
        <w:t>账号：</w:t>
      </w:r>
    </w:p>
    <w:p>
      <w:pPr>
        <w:pStyle w:val="null3"/>
        <w:jc w:val="left"/>
      </w:pPr>
      <w:r>
        <w:rPr/>
        <w:t>签订日期：  年   月   日</w:t>
      </w:r>
    </w:p>
    <w:p>
      <w:pPr>
        <w:pStyle w:val="null3"/>
        <w:jc w:val="left"/>
      </w:pPr>
    </w:p>
    <w:p>
      <w:pPr>
        <w:pStyle w:val="null3"/>
        <w:ind w:firstLine="480"/>
        <w:jc w:val="left"/>
      </w:pPr>
      <w:r>
        <w:rPr/>
        <w:t xml:space="preserve"> </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