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cs="仿宋"/>
          <w:sz w:val="28"/>
          <w:szCs w:val="36"/>
        </w:rPr>
      </w:pPr>
      <w:bookmarkStart w:id="29" w:name="_GoBack"/>
      <w:bookmarkEnd w:id="29"/>
      <w:bookmarkStart w:id="0" w:name="_Toc8652"/>
      <w:bookmarkStart w:id="1" w:name="_Toc1642"/>
      <w:bookmarkStart w:id="2" w:name="_Toc27217"/>
      <w:bookmarkStart w:id="3" w:name="_Toc23643"/>
      <w:r>
        <w:rPr>
          <w:rFonts w:hint="eastAsia" w:ascii="仿宋" w:hAnsi="仿宋" w:eastAsia="仿宋" w:cs="仿宋"/>
          <w:b/>
          <w:bCs/>
          <w:color w:val="000000"/>
          <w:sz w:val="36"/>
          <w:szCs w:val="36"/>
        </w:rPr>
        <w:t xml:space="preserve">  采购</w:t>
      </w:r>
      <w:r>
        <w:rPr>
          <w:rFonts w:hint="eastAsia" w:ascii="仿宋" w:hAnsi="仿宋" w:eastAsia="仿宋" w:cs="仿宋"/>
          <w:b/>
          <w:bCs/>
          <w:color w:val="000000"/>
          <w:sz w:val="36"/>
          <w:szCs w:val="36"/>
          <w:lang w:eastAsia="zh-CN"/>
        </w:rPr>
        <w:t>需</w:t>
      </w:r>
      <w:r>
        <w:rPr>
          <w:rFonts w:hint="eastAsia" w:ascii="仿宋" w:hAnsi="仿宋" w:eastAsia="仿宋" w:cs="仿宋"/>
          <w:b/>
          <w:bCs/>
          <w:color w:val="000000"/>
          <w:sz w:val="36"/>
          <w:szCs w:val="36"/>
        </w:rPr>
        <w:t>求</w:t>
      </w:r>
      <w:bookmarkEnd w:id="0"/>
      <w:bookmarkEnd w:id="1"/>
      <w:bookmarkEnd w:id="2"/>
      <w:bookmarkEnd w:id="3"/>
    </w:p>
    <w:p>
      <w:pPr>
        <w:pStyle w:val="2"/>
        <w:spacing w:before="0" w:after="0" w:line="560" w:lineRule="exact"/>
        <w:jc w:val="left"/>
        <w:rPr>
          <w:rFonts w:hint="eastAsia" w:ascii="仿宋" w:hAnsi="仿宋" w:eastAsia="仿宋" w:cs="仿宋"/>
          <w:color w:val="000000"/>
        </w:rPr>
      </w:pPr>
      <w:bookmarkStart w:id="4" w:name="_Toc15228"/>
      <w:bookmarkStart w:id="5" w:name="_Toc16711"/>
      <w:bookmarkStart w:id="6" w:name="_Toc5688"/>
      <w:bookmarkStart w:id="7" w:name="_Toc27362"/>
      <w:bookmarkStart w:id="8" w:name="_Toc1622"/>
      <w:bookmarkStart w:id="9" w:name="_Toc217446094"/>
      <w:bookmarkStart w:id="10" w:name="_Toc5413"/>
      <w:bookmarkStart w:id="11" w:name="_Toc24135"/>
      <w:bookmarkStart w:id="12" w:name="_Toc5068"/>
      <w:bookmarkStart w:id="13" w:name="_Toc7601"/>
      <w:r>
        <w:rPr>
          <w:rFonts w:hint="eastAsia" w:ascii="仿宋" w:hAnsi="仿宋" w:eastAsia="仿宋" w:cs="仿宋"/>
          <w:color w:val="000000"/>
        </w:rPr>
        <w:t>一、项目概述</w:t>
      </w:r>
      <w:bookmarkEnd w:id="4"/>
      <w:bookmarkEnd w:id="5"/>
      <w:bookmarkEnd w:id="6"/>
      <w:bookmarkEnd w:id="7"/>
      <w:bookmarkEnd w:id="8"/>
      <w:bookmarkEnd w:id="9"/>
      <w:bookmarkEnd w:id="10"/>
      <w:bookmarkEnd w:id="11"/>
      <w:bookmarkEnd w:id="12"/>
      <w:bookmarkEnd w:id="13"/>
    </w:p>
    <w:p>
      <w:pPr>
        <w:widowControl/>
        <w:adjustRightInd w:val="0"/>
        <w:snapToGrid w:val="0"/>
        <w:spacing w:line="560" w:lineRule="exact"/>
        <w:ind w:firstLine="480" w:firstLineChars="200"/>
        <w:jc w:val="left"/>
        <w:rPr>
          <w:rFonts w:hint="eastAsia" w:ascii="仿宋" w:hAnsi="仿宋" w:eastAsia="仿宋"/>
          <w:kern w:val="0"/>
          <w:sz w:val="24"/>
        </w:rPr>
      </w:pPr>
      <w:bookmarkStart w:id="14" w:name="_Toc26777"/>
      <w:bookmarkStart w:id="15" w:name="_Toc31964"/>
      <w:bookmarkStart w:id="16" w:name="_Toc14996"/>
      <w:bookmarkStart w:id="17" w:name="_Toc11720"/>
      <w:bookmarkStart w:id="18" w:name="_Toc2810"/>
      <w:bookmarkStart w:id="19" w:name="_Toc217446095"/>
      <w:bookmarkStart w:id="20" w:name="_Toc16061"/>
      <w:bookmarkStart w:id="21" w:name="_Toc10246"/>
      <w:bookmarkStart w:id="22" w:name="_Toc18296"/>
      <w:r>
        <w:rPr>
          <w:rFonts w:hint="eastAsia" w:ascii="仿宋" w:hAnsi="仿宋" w:eastAsia="仿宋"/>
          <w:kern w:val="0"/>
          <w:sz w:val="24"/>
        </w:rPr>
        <w:t>本项目共1个包。采购2023年存储器1套。此次采购包括货物的配送、安装调试及售后服务等内容。</w:t>
      </w:r>
    </w:p>
    <w:p>
      <w:pPr>
        <w:pStyle w:val="2"/>
        <w:spacing w:before="0" w:after="0" w:line="560" w:lineRule="exact"/>
        <w:jc w:val="left"/>
        <w:rPr>
          <w:rFonts w:hint="eastAsia" w:ascii="仿宋" w:hAnsi="仿宋" w:eastAsia="仿宋" w:cs="仿宋"/>
          <w:color w:val="000000"/>
        </w:rPr>
      </w:pPr>
      <w:bookmarkStart w:id="23" w:name="_Toc2388"/>
      <w:r>
        <w:rPr>
          <w:rFonts w:hint="eastAsia" w:ascii="仿宋" w:hAnsi="仿宋" w:eastAsia="仿宋" w:cs="仿宋"/>
          <w:color w:val="000000"/>
        </w:rPr>
        <w:t>二、</w:t>
      </w:r>
      <w:bookmarkEnd w:id="14"/>
      <w:r>
        <w:rPr>
          <w:rFonts w:hint="eastAsia" w:ascii="仿宋" w:hAnsi="仿宋" w:eastAsia="仿宋" w:cs="仿宋"/>
          <w:snapToGrid w:val="0"/>
        </w:rPr>
        <w:t>产品所属行业</w:t>
      </w:r>
      <w:bookmarkEnd w:id="23"/>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4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2" w:type="pct"/>
            <w:noWrap w:val="0"/>
            <w:vAlign w:val="center"/>
          </w:tcPr>
          <w:p>
            <w:pPr>
              <w:widowControl/>
              <w:spacing w:line="360" w:lineRule="auto"/>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序号</w:t>
            </w:r>
          </w:p>
        </w:tc>
        <w:tc>
          <w:tcPr>
            <w:tcW w:w="2840" w:type="pct"/>
            <w:noWrap w:val="0"/>
            <w:vAlign w:val="center"/>
          </w:tcPr>
          <w:p>
            <w:pPr>
              <w:widowControl/>
              <w:spacing w:line="360" w:lineRule="auto"/>
              <w:jc w:val="center"/>
              <w:textAlignment w:val="center"/>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产品（标的）名称</w:t>
            </w:r>
          </w:p>
        </w:tc>
        <w:tc>
          <w:tcPr>
            <w:tcW w:w="1667" w:type="pct"/>
            <w:noWrap w:val="0"/>
            <w:vAlign w:val="center"/>
          </w:tcPr>
          <w:p>
            <w:pPr>
              <w:widowControl/>
              <w:spacing w:line="360" w:lineRule="auto"/>
              <w:jc w:val="center"/>
              <w:textAlignment w:val="center"/>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产品所属行业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2" w:type="pct"/>
            <w:noWrap w:val="0"/>
            <w:vAlign w:val="center"/>
          </w:tcPr>
          <w:p>
            <w:pPr>
              <w:widowControl/>
              <w:spacing w:line="360" w:lineRule="auto"/>
              <w:jc w:val="center"/>
              <w:textAlignment w:val="center"/>
              <w:rPr>
                <w:rFonts w:ascii="仿宋" w:hAnsi="仿宋" w:eastAsia="仿宋"/>
                <w:kern w:val="0"/>
                <w:sz w:val="24"/>
              </w:rPr>
            </w:pPr>
            <w:r>
              <w:rPr>
                <w:rFonts w:hint="eastAsia" w:ascii="仿宋" w:hAnsi="仿宋" w:eastAsia="仿宋" w:cs="仿宋"/>
                <w:color w:val="000000"/>
                <w:kern w:val="0"/>
                <w:sz w:val="24"/>
                <w:lang w:bidi="ar"/>
              </w:rPr>
              <w:t>1</w:t>
            </w:r>
          </w:p>
        </w:tc>
        <w:tc>
          <w:tcPr>
            <w:tcW w:w="2840" w:type="pct"/>
            <w:noWrap w:val="0"/>
            <w:vAlign w:val="center"/>
          </w:tcPr>
          <w:p>
            <w:pPr>
              <w:widowControl/>
              <w:spacing w:line="360" w:lineRule="auto"/>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NAS存储系统</w:t>
            </w:r>
          </w:p>
        </w:tc>
        <w:tc>
          <w:tcPr>
            <w:tcW w:w="1667" w:type="pct"/>
            <w:noWrap w:val="0"/>
            <w:vAlign w:val="center"/>
          </w:tcPr>
          <w:p>
            <w:pPr>
              <w:widowControl/>
              <w:spacing w:line="360" w:lineRule="auto"/>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工业</w:t>
            </w:r>
          </w:p>
        </w:tc>
      </w:tr>
      <w:bookmarkEnd w:id="15"/>
      <w:bookmarkEnd w:id="16"/>
    </w:tbl>
    <w:p>
      <w:pPr>
        <w:pStyle w:val="2"/>
        <w:spacing w:before="0" w:after="0" w:line="560" w:lineRule="exact"/>
        <w:jc w:val="left"/>
        <w:rPr>
          <w:rFonts w:hint="eastAsia" w:ascii="仿宋" w:hAnsi="仿宋" w:eastAsia="仿宋" w:cs="仿宋"/>
        </w:rPr>
      </w:pPr>
      <w:bookmarkStart w:id="24" w:name="_Toc14773"/>
      <w:bookmarkStart w:id="25" w:name="_Toc22197"/>
      <w:r>
        <w:rPr>
          <w:rFonts w:hint="eastAsia" w:ascii="仿宋" w:hAnsi="仿宋" w:eastAsia="仿宋" w:cs="仿宋"/>
        </w:rPr>
        <w:t>三、项目清单及技术参数要求</w:t>
      </w:r>
      <w:bookmarkEnd w:id="24"/>
      <w:bookmarkEnd w:id="25"/>
    </w:p>
    <w:bookmarkEnd w:id="17"/>
    <w:bookmarkEnd w:id="18"/>
    <w:bookmarkEnd w:id="19"/>
    <w:bookmarkEnd w:id="20"/>
    <w:bookmarkEnd w:id="21"/>
    <w:bookmarkEnd w:id="22"/>
    <w:tbl>
      <w:tblPr>
        <w:tblStyle w:val="3"/>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731"/>
        <w:gridCol w:w="5862"/>
        <w:gridCol w:w="687"/>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noWrap w:val="0"/>
            <w:vAlign w:val="center"/>
          </w:tcPr>
          <w:p>
            <w:pPr>
              <w:widowControl/>
              <w:snapToGrid w:val="0"/>
              <w:spacing w:line="360" w:lineRule="auto"/>
              <w:jc w:val="center"/>
              <w:rPr>
                <w:rFonts w:ascii="仿宋" w:hAnsi="仿宋" w:eastAsia="仿宋" w:cs="宋体"/>
                <w:b/>
                <w:bCs/>
                <w:kern w:val="0"/>
                <w:sz w:val="24"/>
              </w:rPr>
            </w:pPr>
            <w:r>
              <w:rPr>
                <w:rFonts w:hint="eastAsia" w:ascii="仿宋" w:hAnsi="仿宋" w:eastAsia="仿宋" w:cs="宋体"/>
                <w:b/>
                <w:bCs/>
                <w:kern w:val="0"/>
                <w:sz w:val="24"/>
              </w:rPr>
              <w:t>序号</w:t>
            </w:r>
          </w:p>
        </w:tc>
        <w:tc>
          <w:tcPr>
            <w:tcW w:w="430" w:type="pct"/>
            <w:noWrap w:val="0"/>
            <w:vAlign w:val="center"/>
          </w:tcPr>
          <w:p>
            <w:pPr>
              <w:widowControl/>
              <w:snapToGrid w:val="0"/>
              <w:spacing w:line="360" w:lineRule="auto"/>
              <w:jc w:val="center"/>
              <w:rPr>
                <w:rFonts w:hint="eastAsia" w:ascii="仿宋" w:hAnsi="仿宋" w:eastAsia="仿宋" w:cs="宋体"/>
                <w:b/>
                <w:bCs/>
                <w:kern w:val="0"/>
                <w:sz w:val="24"/>
              </w:rPr>
            </w:pPr>
            <w:r>
              <w:rPr>
                <w:rFonts w:hint="eastAsia" w:ascii="仿宋" w:hAnsi="仿宋" w:eastAsia="仿宋" w:cs="宋体"/>
                <w:b/>
                <w:bCs/>
                <w:kern w:val="0"/>
                <w:sz w:val="24"/>
              </w:rPr>
              <w:t>产品名称</w:t>
            </w:r>
          </w:p>
        </w:tc>
        <w:tc>
          <w:tcPr>
            <w:tcW w:w="3446" w:type="pct"/>
            <w:noWrap w:val="0"/>
            <w:vAlign w:val="center"/>
          </w:tcPr>
          <w:p>
            <w:pPr>
              <w:widowControl/>
              <w:snapToGrid w:val="0"/>
              <w:spacing w:line="360" w:lineRule="auto"/>
              <w:jc w:val="center"/>
              <w:rPr>
                <w:rFonts w:hint="eastAsia" w:ascii="仿宋" w:hAnsi="仿宋" w:eastAsia="仿宋" w:cs="宋体"/>
                <w:b/>
                <w:bCs/>
                <w:kern w:val="0"/>
                <w:sz w:val="24"/>
              </w:rPr>
            </w:pPr>
            <w:r>
              <w:rPr>
                <w:rFonts w:hint="eastAsia" w:ascii="仿宋" w:hAnsi="仿宋" w:eastAsia="仿宋" w:cs="宋体"/>
                <w:b/>
                <w:bCs/>
                <w:kern w:val="0"/>
                <w:sz w:val="24"/>
              </w:rPr>
              <w:t>技术参数要求</w:t>
            </w:r>
          </w:p>
        </w:tc>
        <w:tc>
          <w:tcPr>
            <w:tcW w:w="404" w:type="pct"/>
            <w:noWrap w:val="0"/>
            <w:vAlign w:val="center"/>
          </w:tcPr>
          <w:p>
            <w:pPr>
              <w:widowControl/>
              <w:snapToGrid w:val="0"/>
              <w:spacing w:line="360" w:lineRule="auto"/>
              <w:jc w:val="center"/>
              <w:rPr>
                <w:rFonts w:ascii="仿宋" w:hAnsi="仿宋" w:eastAsia="仿宋" w:cs="宋体"/>
                <w:b/>
                <w:bCs/>
                <w:kern w:val="0"/>
                <w:sz w:val="24"/>
              </w:rPr>
            </w:pPr>
            <w:r>
              <w:rPr>
                <w:rFonts w:hint="eastAsia" w:ascii="仿宋" w:hAnsi="仿宋" w:eastAsia="仿宋" w:cs="宋体"/>
                <w:b/>
                <w:bCs/>
                <w:kern w:val="0"/>
                <w:sz w:val="24"/>
              </w:rPr>
              <w:t>数量</w:t>
            </w:r>
          </w:p>
        </w:tc>
        <w:tc>
          <w:tcPr>
            <w:tcW w:w="407" w:type="pct"/>
            <w:noWrap w:val="0"/>
            <w:vAlign w:val="center"/>
          </w:tcPr>
          <w:p>
            <w:pPr>
              <w:widowControl/>
              <w:snapToGrid w:val="0"/>
              <w:spacing w:line="360" w:lineRule="auto"/>
              <w:jc w:val="center"/>
              <w:rPr>
                <w:rFonts w:ascii="仿宋" w:hAnsi="仿宋" w:eastAsia="仿宋" w:cs="宋体"/>
                <w:b/>
                <w:bCs/>
                <w:kern w:val="0"/>
                <w:sz w:val="24"/>
              </w:rPr>
            </w:pPr>
            <w:r>
              <w:rPr>
                <w:rFonts w:hint="eastAsia" w:ascii="仿宋" w:hAnsi="仿宋" w:eastAsia="仿宋"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noWrap w:val="0"/>
            <w:vAlign w:val="center"/>
          </w:tcPr>
          <w:p>
            <w:pPr>
              <w:widowControl/>
              <w:snapToGrid w:val="0"/>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430" w:type="pct"/>
            <w:noWrap w:val="0"/>
            <w:vAlign w:val="center"/>
          </w:tcPr>
          <w:p>
            <w:pPr>
              <w:widowControl/>
              <w:snapToGrid w:val="0"/>
              <w:spacing w:line="360" w:lineRule="auto"/>
              <w:jc w:val="center"/>
              <w:rPr>
                <w:rFonts w:hint="eastAsia" w:ascii="仿宋" w:hAnsi="仿宋" w:eastAsia="仿宋" w:cs="宋体"/>
                <w:kern w:val="0"/>
                <w:sz w:val="24"/>
              </w:rPr>
            </w:pPr>
            <w:r>
              <w:rPr>
                <w:rFonts w:hint="eastAsia" w:ascii="仿宋" w:hAnsi="仿宋" w:eastAsia="仿宋" w:cs="宋体"/>
                <w:kern w:val="0"/>
                <w:sz w:val="24"/>
              </w:rPr>
              <w:t>NAS存储系统</w:t>
            </w:r>
          </w:p>
        </w:tc>
        <w:tc>
          <w:tcPr>
            <w:tcW w:w="3446" w:type="pct"/>
            <w:noWrap w:val="0"/>
            <w:vAlign w:val="top"/>
          </w:tcPr>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★1、存储架构：采用盘控分离的高端存储架构。</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★2、SAN存储控制器最大可扩展至≥32控。（在响应文件中提供响应产品最大可扩展控制器数量的官网截图佐证，并加盖供应商公章）</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★3、配置≥2个控制器，双控配置≥512GB一级缓存（缓存不包括SSD盘、闪存、FlashCahe、NAS机头的内存等)，掉电保护功能。每控制器配置≥2颗X86架构CPU，单CPU不低于10核2.4GHZ。</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★4、控制器接口：双控配置≥8个16G FC 接口（含多模光模块），≥8个10GIP接口（含多模光模块），≥8个SAS3.0接口。</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★5、硬盘：配置≥4块1.2TB 10K SAS硬盘，≥3块1.92TB SAS SSD硬盘，≥45块8TB 7.2K NL-SAS硬盘（其中4块作为冷备盘）</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★6、性能：响应产品存储在SPC-1模型下，最大IOPS性能≥600万。(在响应文件中提供SPC-1官网截图佐证，并加盖供应商公章）</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★7、高级别 RAID 保护功能：配置基于存储阵列本身提供的高级别的 RAID 保护功能，容错保护等级高于 RAID6。配置三重检验的 RAID 方式，允许同一个 RAID 组中任意三块硬盘发生整盘物理故障，数据不丢失。</w:t>
            </w:r>
          </w:p>
          <w:p>
            <w:pPr>
              <w:widowControl/>
              <w:snapToGrid w:val="0"/>
              <w:spacing w:line="360" w:lineRule="auto"/>
              <w:jc w:val="left"/>
              <w:rPr>
                <w:rFonts w:hint="eastAsia" w:ascii="仿宋" w:hAnsi="仿宋" w:eastAsia="仿宋" w:cs="宋体"/>
                <w:color w:val="auto"/>
                <w:kern w:val="0"/>
                <w:sz w:val="24"/>
              </w:rPr>
            </w:pPr>
            <w:r>
              <w:rPr>
                <w:rFonts w:hint="eastAsia" w:ascii="仿宋" w:hAnsi="仿宋" w:eastAsia="仿宋" w:cs="宋体"/>
                <w:kern w:val="0"/>
                <w:sz w:val="24"/>
              </w:rPr>
              <w:t>★8、配置NAS功能，实现NFS、CIFS、FTP等协议访问。NAS文件系统最大</w:t>
            </w:r>
            <w:r>
              <w:rPr>
                <w:rFonts w:hint="eastAsia" w:ascii="仿宋" w:hAnsi="仿宋" w:eastAsia="仿宋" w:cs="宋体"/>
                <w:color w:val="auto"/>
                <w:kern w:val="0"/>
                <w:sz w:val="24"/>
              </w:rPr>
              <w:t>共享数支持≥256个。</w:t>
            </w:r>
          </w:p>
          <w:p>
            <w:pPr>
              <w:widowControl/>
              <w:snapToGrid w:val="0"/>
              <w:spacing w:line="360" w:lineRule="auto"/>
              <w:jc w:val="left"/>
              <w:rPr>
                <w:rFonts w:hint="eastAsia" w:ascii="仿宋" w:hAnsi="仿宋" w:eastAsia="仿宋" w:cs="宋体"/>
                <w:color w:val="auto"/>
                <w:kern w:val="0"/>
                <w:sz w:val="24"/>
              </w:rPr>
            </w:pPr>
            <w:r>
              <w:rPr>
                <w:rFonts w:hint="eastAsia" w:ascii="仿宋" w:hAnsi="仿宋" w:eastAsia="仿宋" w:cs="宋体"/>
                <w:color w:val="auto"/>
                <w:kern w:val="0"/>
                <w:sz w:val="24"/>
              </w:rPr>
              <w:t>9、自动精简：配置自动精简软件功能，能够实现LUN自动平滑扩展。</w:t>
            </w:r>
          </w:p>
          <w:p>
            <w:pPr>
              <w:widowControl/>
              <w:snapToGrid w:val="0"/>
              <w:spacing w:line="360" w:lineRule="auto"/>
              <w:jc w:val="left"/>
              <w:rPr>
                <w:rFonts w:hint="eastAsia" w:ascii="仿宋" w:hAnsi="仿宋" w:eastAsia="仿宋" w:cs="宋体"/>
                <w:color w:val="auto"/>
                <w:kern w:val="0"/>
                <w:sz w:val="24"/>
              </w:rPr>
            </w:pPr>
            <w:r>
              <w:rPr>
                <w:rFonts w:hint="eastAsia" w:ascii="仿宋" w:hAnsi="仿宋" w:eastAsia="仿宋" w:cs="宋体"/>
                <w:color w:val="auto"/>
                <w:kern w:val="0"/>
                <w:sz w:val="24"/>
              </w:rPr>
              <w:t>10、QOS功能：配置</w:t>
            </w:r>
            <w:r>
              <w:rPr>
                <w:rFonts w:ascii="仿宋" w:hAnsi="仿宋" w:eastAsia="仿宋" w:cs="宋体"/>
                <w:color w:val="auto"/>
                <w:kern w:val="0"/>
                <w:sz w:val="24"/>
              </w:rPr>
              <w:t>QOS</w:t>
            </w:r>
            <w:r>
              <w:rPr>
                <w:rFonts w:hint="eastAsia" w:ascii="仿宋" w:hAnsi="仿宋" w:eastAsia="仿宋" w:cs="宋体"/>
                <w:color w:val="auto"/>
                <w:kern w:val="0"/>
                <w:sz w:val="24"/>
              </w:rPr>
              <w:t>软件功能，能够实现设备层面资源智能与业务匹配优化。</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11、存储管理软件：配置中文图形化管理软件平台。</w:t>
            </w:r>
          </w:p>
          <w:p>
            <w:pPr>
              <w:widowControl/>
              <w:snapToGrid w:val="0"/>
              <w:spacing w:line="360" w:lineRule="auto"/>
              <w:jc w:val="left"/>
              <w:rPr>
                <w:rFonts w:hint="eastAsia" w:ascii="仿宋" w:hAnsi="仿宋" w:eastAsia="仿宋" w:cs="宋体"/>
                <w:kern w:val="0"/>
                <w:sz w:val="24"/>
              </w:rPr>
            </w:pPr>
            <w:r>
              <w:rPr>
                <w:rFonts w:hint="eastAsia" w:ascii="仿宋" w:hAnsi="仿宋" w:eastAsia="仿宋" w:cs="宋体"/>
                <w:kern w:val="0"/>
                <w:sz w:val="24"/>
              </w:rPr>
              <w:t>12、自动巡检功能：配置自动巡检功能软件，自动生成巡检报表。</w:t>
            </w:r>
          </w:p>
        </w:tc>
        <w:tc>
          <w:tcPr>
            <w:tcW w:w="404" w:type="pct"/>
            <w:noWrap w:val="0"/>
            <w:vAlign w:val="center"/>
          </w:tcPr>
          <w:p>
            <w:pPr>
              <w:widowControl/>
              <w:snapToGrid w:val="0"/>
              <w:spacing w:line="360" w:lineRule="auto"/>
              <w:jc w:val="center"/>
              <w:rPr>
                <w:rFonts w:hint="eastAsia" w:ascii="仿宋" w:hAnsi="仿宋" w:eastAsia="仿宋" w:cs="宋体"/>
                <w:kern w:val="0"/>
                <w:sz w:val="24"/>
              </w:rPr>
            </w:pPr>
            <w:r>
              <w:rPr>
                <w:rFonts w:hint="eastAsia" w:ascii="仿宋" w:hAnsi="仿宋" w:eastAsia="仿宋" w:cs="宋体"/>
                <w:kern w:val="0"/>
                <w:sz w:val="24"/>
              </w:rPr>
              <w:t>1</w:t>
            </w:r>
          </w:p>
        </w:tc>
        <w:tc>
          <w:tcPr>
            <w:tcW w:w="407" w:type="pct"/>
            <w:noWrap w:val="0"/>
            <w:vAlign w:val="center"/>
          </w:tcPr>
          <w:p>
            <w:pPr>
              <w:widowControl/>
              <w:snapToGrid w:val="0"/>
              <w:spacing w:line="360" w:lineRule="auto"/>
              <w:jc w:val="center"/>
              <w:rPr>
                <w:rFonts w:ascii="仿宋" w:hAnsi="仿宋" w:eastAsia="仿宋" w:cs="宋体"/>
                <w:kern w:val="0"/>
                <w:sz w:val="24"/>
              </w:rPr>
            </w:pPr>
            <w:r>
              <w:rPr>
                <w:rFonts w:hint="eastAsia" w:ascii="仿宋" w:hAnsi="仿宋" w:eastAsia="仿宋" w:cs="宋体"/>
                <w:kern w:val="0"/>
                <w:sz w:val="24"/>
              </w:rPr>
              <w:t>套</w:t>
            </w:r>
          </w:p>
        </w:tc>
      </w:tr>
    </w:tbl>
    <w:p>
      <w:pPr>
        <w:spacing w:line="600" w:lineRule="exact"/>
        <w:ind w:right="280"/>
        <w:jc w:val="left"/>
        <w:outlineLvl w:val="1"/>
        <w:rPr>
          <w:rFonts w:hint="eastAsia" w:ascii="仿宋" w:hAnsi="仿宋" w:eastAsia="仿宋" w:cs="仿宋"/>
          <w:b/>
          <w:sz w:val="32"/>
          <w:szCs w:val="32"/>
        </w:rPr>
      </w:pPr>
      <w:bookmarkStart w:id="26" w:name="_Toc29427"/>
      <w:r>
        <w:rPr>
          <w:rFonts w:hint="eastAsia" w:ascii="仿宋" w:hAnsi="仿宋" w:eastAsia="仿宋" w:cs="仿宋"/>
          <w:b/>
          <w:sz w:val="32"/>
          <w:szCs w:val="32"/>
        </w:rPr>
        <w:t>★四、安装及配套工程</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供应商应根据学校现场情况提供详细的项目实施文档，包括部署配置、技术文档等，投标文件中应包括相关工程施工及费用，并负责完成全部安装工作直至整个系统上线测试后可正常运行，供应商从合同签订日起计30天内保证完成系统安装调试并达到交付使用标准。</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（2）供应商应提供完整的产品配置清单和产品装箱清单，并提供安装设备以及设备连接校内现有设备所需的所有配件，如16G FC光模块、万兆光纤跳线、万兆光模块、千兆光模块、千兆网线等；</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（3）NAS存储系统接入学校现有云平台，在云平台上能实现NAS存储空间的统一分配与使用。在五年维保期内，学校云平台如有更换，要免费对接。</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（4）报价应包含上述所有要求，包括但不限于项目实施、培训认证、质保服务等，无需额外支付费用。</w:t>
      </w:r>
    </w:p>
    <w:p>
      <w:pPr>
        <w:spacing w:line="600" w:lineRule="exact"/>
        <w:ind w:right="280"/>
        <w:jc w:val="left"/>
        <w:outlineLvl w:val="1"/>
        <w:rPr>
          <w:rFonts w:hint="eastAsia" w:eastAsia="仿宋_GB2312"/>
          <w:b/>
          <w:bCs/>
          <w:sz w:val="28"/>
          <w:szCs w:val="28"/>
        </w:rPr>
      </w:pPr>
      <w:r>
        <w:rPr>
          <w:rFonts w:hint="eastAsia" w:ascii="仿宋" w:hAnsi="仿宋" w:eastAsia="仿宋" w:cs="仿宋"/>
          <w:b/>
          <w:sz w:val="32"/>
          <w:szCs w:val="32"/>
        </w:rPr>
        <w:t>★五、商务要求</w:t>
      </w:r>
      <w:bookmarkEnd w:id="26"/>
      <w:bookmarkStart w:id="27" w:name="第七章  评标办法"/>
      <w:bookmarkEnd w:id="27"/>
      <w:bookmarkStart w:id="28" w:name="_bookmark6"/>
      <w:bookmarkEnd w:id="28"/>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（一）供货时间、交货地点及方式：签订合同后30日内完成供货和安装调试并交付使用。交货地点：宜宾学院。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（二）付款方式：</w:t>
      </w:r>
      <w:r>
        <w:rPr>
          <w:rFonts w:hint="eastAsia" w:ascii="仿宋" w:hAnsi="仿宋" w:eastAsia="仿宋" w:cs="仿宋"/>
          <w:color w:val="000000"/>
          <w:sz w:val="24"/>
        </w:rPr>
        <w:t>验收合格后支付合同金额的100%。</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三）履约保证金：供应商须在成交后、合同签订前，向采购人缴纳成交金额的5%的履约保证金，履约保证金在货物验收合格后一年产品无质量问题后无息退还，如出现质量问题供应商不能及时修复的将没收履约保证金。</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auto"/>
          <w:sz w:val="24"/>
        </w:rPr>
        <w:t>（四）</w:t>
      </w:r>
      <w:r>
        <w:rPr>
          <w:rFonts w:hint="eastAsia" w:ascii="仿宋" w:hAnsi="仿宋" w:eastAsia="仿宋" w:cs="仿宋"/>
          <w:sz w:val="24"/>
        </w:rPr>
        <w:t>质保要求、售后服务：</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1.提供售后服务电话和服务人员名单（加盖公章）。</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本项目的所有产品均提供5年（含）以上的免费质保服务和免费技术支持服务。质保期间产品维修及零件更换费用由成交供应商负担。成交供应商需提供电话、远程、上门三种服务模式，电话和远程30分钟内响应，上门服务6小时内到达现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本项目中设备要求提供5年7*24小时原厂免费服务，项目验收时向采购人提供售后服务承诺函并加盖制造商公章。备案记录1名售后技术服务人员（须有制造商认证资格证书，原件备查），在质保期内由专人负责维护本项目产品的技术问题和使用方维护要求。</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eastAsia="zh-CN"/>
        </w:rPr>
        <w:t>五</w:t>
      </w:r>
      <w:r>
        <w:rPr>
          <w:rFonts w:hint="eastAsia" w:ascii="仿宋" w:hAnsi="仿宋" w:eastAsia="仿宋" w:cs="仿宋"/>
          <w:color w:val="000000"/>
          <w:sz w:val="24"/>
        </w:rPr>
        <w:t>）安装要求：</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供应商要根据本项目特点，提供项目实施进度表、项目实施人员配置及实名证明材料、安装施工调试方案，负责本次所有响应产品的安装调试等服务工作。成交供应商在安装过程中应提供相应的安全措施，安装过程中出现的一切安全问题均由成交供应商负责并承担全部责任和由此产生的一切费用。</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2.成交供应商需对采购人使用本项目的管理人员进行培训，完成培训工作后，方可进入验收申请程序。</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eastAsia="zh-CN"/>
        </w:rPr>
        <w:t>六</w:t>
      </w:r>
      <w:r>
        <w:rPr>
          <w:rFonts w:hint="eastAsia" w:ascii="仿宋" w:hAnsi="仿宋" w:eastAsia="仿宋" w:cs="仿宋"/>
          <w:color w:val="000000"/>
          <w:sz w:val="24"/>
        </w:rPr>
        <w:t>）验收标准：</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验收由采购人组织，成交供应商配合进行：</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1.货物在成交供应商通知安装调试完毕后 5 日内初步验收。初步验收合格后，进入30天试用期；试用期期间发生重大质量问题，修复后试用期相应顺延；试用期结束后5日内完成最终验收。</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验收标准：按国家有关规定以及招标文件的质量要求和技术指标、成交供应商的响应文件及承诺与本项目合同约定标准进行验收；双方如对质量要求和技术指标的约定标准有相互抵触或异议的事项，由采购人在采购文件与响应文件中按质量要求和技术指标比较优胜的原则确定该项的约定标准进行验收。</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验收时如发现所交付的货物有短装、次品、损坏或其它不符合标准及本项目合同规定之情形者，采购人应做出详尽的现场记录，或由双方签署备忘录，且此现场记录或备忘录可用作补充、缺失和更换损坏部件的有效证据。由此产生的时间延误与有关费用由成交供应商承担，验收期限相应顺延。</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4.如质量验收合格，双方签署质量验收报告。</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成交供应商应将所提供货物的装箱清单、配件、随机工具、用户使用手册、原厂保修卡等资料交付给采购方；成交供应商不能完整交付货物及本款规定的单证和工具的，必须负责补齐，否则视为未按合同约定交货。</w:t>
      </w:r>
    </w:p>
    <w:p>
      <w:pPr>
        <w:widowControl/>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6.在验收之前，如货物经成交供应商 1 次维修仍不能达到本项目合同约定的质量标准，成交供应商无条件更换新品，确保达到合同约定的质量标准，否则采购人有权退货，并视作成交供应商不能交付货物并支付违约赔偿金给采购人，采购人还可依法追究成交供应商违约责任。</w:t>
      </w:r>
    </w:p>
    <w:p>
      <w:pPr>
        <w:widowControl/>
        <w:spacing w:line="360" w:lineRule="auto"/>
        <w:ind w:firstLine="480" w:firstLineChars="200"/>
        <w:jc w:val="left"/>
        <w:rPr>
          <w:rFonts w:hint="eastAsia" w:ascii="仿宋_GB2312" w:hAnsi="仿宋_GB2312" w:cs="仿宋_GB2312"/>
          <w:spacing w:val="3"/>
          <w:w w:val="96"/>
          <w:sz w:val="24"/>
        </w:rPr>
      </w:pPr>
      <w:r>
        <w:rPr>
          <w:rFonts w:hint="eastAsia" w:ascii="仿宋" w:hAnsi="仿宋" w:eastAsia="仿宋" w:cs="仿宋"/>
          <w:color w:val="000000"/>
          <w:sz w:val="24"/>
        </w:rPr>
        <w:t>7.其他未尽事宜，应严格按照《财政部关于进一步加强政府采购需求和履约验收管理的指导意见》(财库〔2016〕205号)等有关要求进行。</w:t>
      </w:r>
    </w:p>
    <w:p>
      <w:pPr>
        <w:keepNext/>
        <w:keepLines/>
        <w:spacing w:line="360" w:lineRule="auto"/>
        <w:rPr>
          <w:rFonts w:hint="eastAsia" w:ascii="仿宋" w:hAnsi="仿宋" w:eastAsia="仿宋" w:cs="仿宋"/>
          <w:color w:val="FF0000"/>
          <w:szCs w:val="21"/>
        </w:rPr>
      </w:pPr>
      <w:r>
        <w:rPr>
          <w:rFonts w:hint="eastAsia" w:ascii="仿宋" w:hAnsi="仿宋" w:eastAsia="仿宋" w:cs="仿宋"/>
          <w:b/>
          <w:bCs/>
          <w:sz w:val="24"/>
        </w:rPr>
        <w:t>注：本采购需求中标注“★”号的条款为本次采购项目的实质性要求，供应商应全部满足。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YWZmYmMxNDkzZTUzYTE2ZGRiY2ZmNWQ3ZTYxNTYifQ=="/>
  </w:docVars>
  <w:rsids>
    <w:rsidRoot w:val="1CDD5F8F"/>
    <w:rsid w:val="1CDD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2023-09-27T08:58:00Z</dcterms:created>
  <dc:creator>acumen</dc:creator>
  <cp:lastModifiedBy>acumen</cp:lastModifiedBy>
  <dcterms:modified xsi:type="dcterms:W3CDTF">2023-09-27T08:58:45Z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F109666A4ABE47BAB9D3E54E1E7107FF_11</vt:lpwstr>
  </property>
</Properties>
</file>