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3AAD" w14:textId="77777777" w:rsidR="00BF34C9" w:rsidRDefault="00BF34C9" w:rsidP="00BF34C9">
      <w:pPr>
        <w:pStyle w:val="20"/>
        <w:spacing w:line="400" w:lineRule="exact"/>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w:t>
      </w:r>
      <w:r>
        <w:rPr>
          <w:rFonts w:ascii="仿宋" w:eastAsia="仿宋" w:hAnsi="仿宋"/>
          <w:sz w:val="24"/>
          <w:szCs w:val="24"/>
        </w:rPr>
        <w:t>项目概述</w:t>
      </w:r>
    </w:p>
    <w:p w14:paraId="12E6C07D" w14:textId="77777777" w:rsidR="00BF34C9" w:rsidRDefault="00BF34C9" w:rsidP="00BF34C9">
      <w:pPr>
        <w:pStyle w:val="20"/>
        <w:tabs>
          <w:tab w:val="left" w:pos="6938"/>
        </w:tabs>
        <w:spacing w:line="400" w:lineRule="exact"/>
        <w:rPr>
          <w:rFonts w:ascii="仿宋" w:eastAsia="仿宋" w:hAnsi="仿宋" w:cs="仿宋"/>
          <w:sz w:val="24"/>
          <w:szCs w:val="24"/>
        </w:rPr>
      </w:pPr>
      <w:r>
        <w:rPr>
          <w:rFonts w:ascii="仿宋" w:eastAsia="仿宋" w:hAnsi="仿宋" w:cs="仿宋" w:hint="eastAsia"/>
          <w:sz w:val="24"/>
          <w:szCs w:val="24"/>
        </w:rPr>
        <w:t>1.项目概况：城市道路桥梁维护项目是保障城市交通畅通，其经济效益和社会效益意义重大，是城市国民经济建设的重要基础设施维护项目。成都市城市道路桥梁监管服务中心承担了我市城市道路桥梁及检查井 维护项目的质量、安全监督管理工作。按照《城镇道路养护技术规范》（CJJ36-2017）、《四川省城市道路桥梁隧道管理维护办法》（川建行规〔2019〕4号）、《成都市中心城区城市道路桥梁大修及专项维护整治项目质量安全管理办法》（成城发〔2019〕77号） 等有关规定，为了确保道路桥梁及其附属 设施的正常运行，需动态地、长期地对中心实施的与各区（市）县维护项目开展实体质量检测、材料抽检等工作，具有一定的零散性和不确定性。 现需选择具备相应资质的检测单位为采购人提供各类检测服务。</w:t>
      </w:r>
    </w:p>
    <w:p w14:paraId="39733362" w14:textId="77777777" w:rsidR="00BF34C9" w:rsidRDefault="00BF34C9" w:rsidP="00BF34C9">
      <w:pPr>
        <w:pStyle w:val="20"/>
        <w:tabs>
          <w:tab w:val="left" w:pos="6938"/>
        </w:tabs>
        <w:spacing w:line="400" w:lineRule="exact"/>
      </w:pPr>
      <w:r>
        <w:rPr>
          <w:rFonts w:ascii="仿宋" w:eastAsia="仿宋" w:hAnsi="仿宋" w:cs="仿宋" w:hint="eastAsia"/>
          <w:sz w:val="24"/>
          <w:szCs w:val="24"/>
        </w:rPr>
        <w:t>2.标的名称及所属行业：本项目共</w:t>
      </w:r>
      <w:r>
        <w:rPr>
          <w:rFonts w:ascii="仿宋" w:eastAsia="仿宋" w:hAnsi="仿宋" w:cs="仿宋"/>
          <w:sz w:val="24"/>
          <w:szCs w:val="24"/>
        </w:rPr>
        <w:t>1</w:t>
      </w:r>
      <w:r>
        <w:rPr>
          <w:rFonts w:ascii="仿宋" w:eastAsia="仿宋" w:hAnsi="仿宋" w:cs="仿宋" w:hint="eastAsia"/>
          <w:sz w:val="24"/>
          <w:szCs w:val="24"/>
        </w:rPr>
        <w:t>个包。</w:t>
      </w:r>
      <w: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283"/>
        <w:gridCol w:w="3261"/>
        <w:gridCol w:w="1980"/>
        <w:gridCol w:w="1980"/>
      </w:tblGrid>
      <w:tr w:rsidR="00BF34C9" w14:paraId="76F7212D" w14:textId="77777777" w:rsidTr="00BF6387">
        <w:trPr>
          <w:trHeight w:val="390"/>
        </w:trPr>
        <w:tc>
          <w:tcPr>
            <w:tcW w:w="781" w:type="dxa"/>
            <w:vAlign w:val="center"/>
          </w:tcPr>
          <w:p w14:paraId="13870461" w14:textId="77777777" w:rsidR="00BF34C9" w:rsidRDefault="00BF34C9" w:rsidP="00BF6387">
            <w:pPr>
              <w:widowControl/>
              <w:spacing w:line="360" w:lineRule="atLeast"/>
              <w:jc w:val="center"/>
              <w:outlineLvl w:val="1"/>
              <w:rPr>
                <w:rFonts w:ascii="仿宋" w:eastAsia="仿宋" w:hAnsi="仿宋"/>
                <w:sz w:val="24"/>
              </w:rPr>
            </w:pPr>
            <w:bookmarkStart w:id="0" w:name="_Toc5013"/>
            <w:r>
              <w:rPr>
                <w:rFonts w:ascii="仿宋" w:eastAsia="仿宋" w:hAnsi="仿宋" w:hint="eastAsia"/>
                <w:sz w:val="24"/>
              </w:rPr>
              <w:t>包号</w:t>
            </w:r>
            <w:bookmarkEnd w:id="0"/>
          </w:p>
        </w:tc>
        <w:tc>
          <w:tcPr>
            <w:tcW w:w="1283" w:type="dxa"/>
          </w:tcPr>
          <w:p w14:paraId="3DBFC58B" w14:textId="77777777" w:rsidR="00BF34C9" w:rsidRDefault="00BF34C9" w:rsidP="00BF6387">
            <w:pPr>
              <w:widowControl/>
              <w:spacing w:line="360" w:lineRule="atLeast"/>
              <w:jc w:val="center"/>
              <w:outlineLvl w:val="1"/>
              <w:rPr>
                <w:rFonts w:ascii="仿宋" w:eastAsia="仿宋" w:hAnsi="仿宋"/>
                <w:sz w:val="24"/>
              </w:rPr>
            </w:pPr>
            <w:r>
              <w:rPr>
                <w:rFonts w:ascii="仿宋" w:eastAsia="仿宋" w:hAnsi="仿宋" w:cs="仿宋" w:hint="eastAsia"/>
                <w:bCs/>
                <w:sz w:val="24"/>
              </w:rPr>
              <w:t>序号</w:t>
            </w:r>
          </w:p>
        </w:tc>
        <w:tc>
          <w:tcPr>
            <w:tcW w:w="3261" w:type="dxa"/>
            <w:vAlign w:val="center"/>
          </w:tcPr>
          <w:p w14:paraId="010A4A34" w14:textId="77777777" w:rsidR="00BF34C9" w:rsidRDefault="00BF34C9" w:rsidP="00BF6387">
            <w:pPr>
              <w:widowControl/>
              <w:spacing w:line="360" w:lineRule="atLeast"/>
              <w:jc w:val="center"/>
              <w:outlineLvl w:val="1"/>
              <w:rPr>
                <w:rFonts w:ascii="仿宋" w:eastAsia="仿宋" w:hAnsi="仿宋"/>
                <w:sz w:val="24"/>
              </w:rPr>
            </w:pPr>
            <w:bookmarkStart w:id="1" w:name="_Toc20321"/>
            <w:r>
              <w:rPr>
                <w:rFonts w:ascii="仿宋" w:eastAsia="仿宋" w:hAnsi="仿宋" w:hint="eastAsia"/>
                <w:sz w:val="24"/>
              </w:rPr>
              <w:t>标的名称</w:t>
            </w:r>
            <w:bookmarkEnd w:id="1"/>
          </w:p>
        </w:tc>
        <w:tc>
          <w:tcPr>
            <w:tcW w:w="1980" w:type="dxa"/>
          </w:tcPr>
          <w:p w14:paraId="02CD652A" w14:textId="77777777" w:rsidR="00BF34C9" w:rsidRDefault="00BF34C9" w:rsidP="00BF6387">
            <w:pPr>
              <w:widowControl/>
              <w:spacing w:line="360" w:lineRule="atLeast"/>
              <w:jc w:val="center"/>
              <w:outlineLvl w:val="1"/>
              <w:rPr>
                <w:rFonts w:ascii="仿宋" w:eastAsia="仿宋" w:hAnsi="仿宋"/>
                <w:sz w:val="24"/>
              </w:rPr>
            </w:pPr>
            <w:bookmarkStart w:id="2" w:name="_Toc245"/>
            <w:r>
              <w:rPr>
                <w:rFonts w:ascii="仿宋" w:eastAsia="仿宋" w:hAnsi="仿宋" w:hint="eastAsia"/>
                <w:sz w:val="24"/>
              </w:rPr>
              <w:t>所属行业</w:t>
            </w:r>
            <w:bookmarkEnd w:id="2"/>
          </w:p>
        </w:tc>
        <w:tc>
          <w:tcPr>
            <w:tcW w:w="1980" w:type="dxa"/>
          </w:tcPr>
          <w:p w14:paraId="1CAEBF8C" w14:textId="77777777" w:rsidR="00BF34C9" w:rsidRDefault="00BF34C9" w:rsidP="00BF6387">
            <w:pPr>
              <w:widowControl/>
              <w:spacing w:line="360" w:lineRule="atLeast"/>
              <w:jc w:val="center"/>
              <w:outlineLvl w:val="1"/>
              <w:rPr>
                <w:rFonts w:ascii="仿宋" w:eastAsia="仿宋" w:hAnsi="仿宋"/>
                <w:sz w:val="24"/>
              </w:rPr>
            </w:pPr>
            <w:r>
              <w:rPr>
                <w:rFonts w:ascii="仿宋" w:eastAsia="仿宋" w:hAnsi="仿宋" w:hint="eastAsia"/>
                <w:sz w:val="24"/>
              </w:rPr>
              <w:t>备注</w:t>
            </w:r>
          </w:p>
        </w:tc>
      </w:tr>
      <w:tr w:rsidR="00BF34C9" w14:paraId="371C5D86" w14:textId="77777777" w:rsidTr="00BF6387">
        <w:trPr>
          <w:trHeight w:val="374"/>
        </w:trPr>
        <w:tc>
          <w:tcPr>
            <w:tcW w:w="781" w:type="dxa"/>
          </w:tcPr>
          <w:p w14:paraId="01C0BF90" w14:textId="77777777" w:rsidR="00BF34C9" w:rsidRDefault="00BF34C9" w:rsidP="00BF6387">
            <w:pPr>
              <w:widowControl/>
              <w:spacing w:line="360" w:lineRule="atLeast"/>
              <w:jc w:val="center"/>
              <w:outlineLvl w:val="1"/>
              <w:rPr>
                <w:rFonts w:ascii="仿宋" w:eastAsia="仿宋" w:hAnsi="仿宋"/>
                <w:sz w:val="24"/>
              </w:rPr>
            </w:pPr>
            <w:bookmarkStart w:id="3" w:name="_Toc14191"/>
            <w:r>
              <w:rPr>
                <w:rFonts w:ascii="仿宋" w:eastAsia="仿宋" w:hAnsi="仿宋" w:hint="eastAsia"/>
                <w:sz w:val="24"/>
              </w:rPr>
              <w:t>1</w:t>
            </w:r>
            <w:bookmarkEnd w:id="3"/>
          </w:p>
        </w:tc>
        <w:tc>
          <w:tcPr>
            <w:tcW w:w="1283" w:type="dxa"/>
          </w:tcPr>
          <w:p w14:paraId="5A81AB16" w14:textId="77777777" w:rsidR="00BF34C9" w:rsidRDefault="00BF34C9" w:rsidP="00BF6387">
            <w:pPr>
              <w:widowControl/>
              <w:spacing w:line="360" w:lineRule="atLeast"/>
              <w:jc w:val="center"/>
              <w:outlineLvl w:val="1"/>
              <w:rPr>
                <w:rFonts w:ascii="仿宋" w:eastAsia="仿宋" w:hAnsi="仿宋"/>
                <w:sz w:val="24"/>
              </w:rPr>
            </w:pPr>
            <w:bookmarkStart w:id="4" w:name="_Toc21117"/>
            <w:r>
              <w:rPr>
                <w:rFonts w:ascii="仿宋" w:eastAsia="仿宋" w:hAnsi="仿宋" w:hint="eastAsia"/>
                <w:sz w:val="24"/>
              </w:rPr>
              <w:t>1-01</w:t>
            </w:r>
            <w:bookmarkEnd w:id="4"/>
          </w:p>
        </w:tc>
        <w:tc>
          <w:tcPr>
            <w:tcW w:w="3261" w:type="dxa"/>
          </w:tcPr>
          <w:p w14:paraId="3B8D588A" w14:textId="77777777" w:rsidR="00BF34C9" w:rsidRDefault="00BF34C9" w:rsidP="00BF6387">
            <w:pPr>
              <w:widowControl/>
              <w:spacing w:line="360" w:lineRule="atLeast"/>
              <w:jc w:val="center"/>
              <w:outlineLvl w:val="1"/>
              <w:rPr>
                <w:rFonts w:ascii="仿宋" w:eastAsia="仿宋" w:hAnsi="仿宋"/>
                <w:sz w:val="24"/>
              </w:rPr>
            </w:pPr>
            <w:r>
              <w:rPr>
                <w:rFonts w:ascii="仿宋" w:eastAsia="仿宋" w:hAnsi="仿宋" w:hint="eastAsia"/>
                <w:sz w:val="24"/>
              </w:rPr>
              <w:t>道路桥梁维护项目质量抽检服务采购</w:t>
            </w:r>
          </w:p>
        </w:tc>
        <w:tc>
          <w:tcPr>
            <w:tcW w:w="1980" w:type="dxa"/>
          </w:tcPr>
          <w:p w14:paraId="388A860B" w14:textId="77777777" w:rsidR="00BF34C9" w:rsidRDefault="00BF34C9" w:rsidP="00BF6387">
            <w:pPr>
              <w:widowControl/>
              <w:spacing w:line="360" w:lineRule="atLeast"/>
              <w:jc w:val="center"/>
              <w:outlineLvl w:val="1"/>
              <w:rPr>
                <w:rFonts w:ascii="仿宋" w:eastAsia="仿宋" w:hAnsi="仿宋"/>
                <w:sz w:val="24"/>
              </w:rPr>
            </w:pPr>
            <w:r>
              <w:rPr>
                <w:rFonts w:hint="eastAsia"/>
              </w:rPr>
              <w:t>其他未列明行业</w:t>
            </w:r>
          </w:p>
        </w:tc>
        <w:tc>
          <w:tcPr>
            <w:tcW w:w="1980" w:type="dxa"/>
          </w:tcPr>
          <w:p w14:paraId="35451AA8" w14:textId="77777777" w:rsidR="00BF34C9" w:rsidRDefault="00BF34C9" w:rsidP="00BF6387">
            <w:pPr>
              <w:widowControl/>
              <w:spacing w:line="360" w:lineRule="atLeast"/>
              <w:jc w:val="center"/>
              <w:outlineLvl w:val="1"/>
              <w:rPr>
                <w:rFonts w:ascii="仿宋" w:eastAsia="仿宋" w:hAnsi="仿宋"/>
                <w:sz w:val="24"/>
              </w:rPr>
            </w:pPr>
          </w:p>
        </w:tc>
      </w:tr>
    </w:tbl>
    <w:p w14:paraId="563CA3E3" w14:textId="77777777" w:rsidR="00BF34C9" w:rsidRDefault="00BF34C9" w:rsidP="00BF34C9">
      <w:pPr>
        <w:spacing w:line="360" w:lineRule="auto"/>
        <w:rPr>
          <w:rFonts w:ascii="仿宋" w:eastAsia="仿宋" w:hAnsi="仿宋"/>
          <w:sz w:val="24"/>
        </w:rPr>
      </w:pPr>
    </w:p>
    <w:p w14:paraId="6F681CDE" w14:textId="77777777" w:rsidR="00BF34C9" w:rsidRDefault="00BF34C9" w:rsidP="00BF34C9">
      <w:pPr>
        <w:pStyle w:val="20"/>
        <w:spacing w:line="400" w:lineRule="exact"/>
        <w:rPr>
          <w:rFonts w:ascii="仿宋" w:eastAsia="仿宋" w:hAnsi="仿宋"/>
          <w:sz w:val="24"/>
          <w:szCs w:val="24"/>
        </w:rPr>
      </w:pPr>
      <w:r>
        <w:rPr>
          <w:rFonts w:ascii="仿宋" w:eastAsia="仿宋" w:hAnsi="仿宋"/>
          <w:sz w:val="24"/>
          <w:szCs w:val="24"/>
        </w:rPr>
        <w:t>二</w:t>
      </w:r>
      <w:r>
        <w:rPr>
          <w:rFonts w:ascii="仿宋" w:eastAsia="仿宋" w:hAnsi="仿宋" w:hint="eastAsia"/>
          <w:sz w:val="24"/>
          <w:szCs w:val="24"/>
        </w:rPr>
        <w:t>、</w:t>
      </w:r>
      <w:r>
        <w:rPr>
          <w:rFonts w:ascii="仿宋" w:eastAsia="仿宋" w:hAnsi="仿宋"/>
          <w:sz w:val="24"/>
          <w:szCs w:val="24"/>
        </w:rPr>
        <w:t>商务要求</w:t>
      </w:r>
    </w:p>
    <w:p w14:paraId="082875F3" w14:textId="77777777" w:rsidR="00BF34C9" w:rsidRDefault="00BF34C9" w:rsidP="00BF34C9">
      <w:pPr>
        <w:spacing w:after="0" w:line="400" w:lineRule="exact"/>
        <w:rPr>
          <w:rFonts w:ascii="仿宋" w:eastAsia="仿宋" w:hAnsi="仿宋"/>
          <w:sz w:val="24"/>
        </w:rPr>
      </w:pPr>
      <w:r>
        <w:rPr>
          <w:rFonts w:ascii="仿宋" w:eastAsia="仿宋" w:hAnsi="仿宋"/>
          <w:sz w:val="24"/>
        </w:rPr>
        <w:t>1.</w:t>
      </w:r>
      <w:r>
        <w:rPr>
          <w:rFonts w:ascii="仿宋" w:eastAsia="仿宋" w:hAnsi="仿宋" w:hint="eastAsia"/>
          <w:sz w:val="24"/>
        </w:rPr>
        <w:t>服务期限</w:t>
      </w:r>
    </w:p>
    <w:p w14:paraId="1341A427" w14:textId="77777777" w:rsidR="00BF34C9" w:rsidRDefault="00BF34C9" w:rsidP="00BF34C9">
      <w:pPr>
        <w:pStyle w:val="a7"/>
        <w:spacing w:after="0" w:line="400" w:lineRule="exact"/>
        <w:rPr>
          <w:rFonts w:ascii="仿宋" w:eastAsia="仿宋" w:hAnsi="仿宋"/>
          <w:sz w:val="24"/>
        </w:rPr>
      </w:pPr>
      <w:r>
        <w:rPr>
          <w:rFonts w:ascii="仿宋" w:eastAsia="仿宋" w:hAnsi="仿宋"/>
          <w:sz w:val="24"/>
        </w:rPr>
        <w:t>合同签订后12个月，或结算金额达到本项目最高限价。</w:t>
      </w:r>
    </w:p>
    <w:p w14:paraId="58431A79" w14:textId="77777777" w:rsidR="00BF34C9" w:rsidRDefault="00BF34C9" w:rsidP="00BF34C9">
      <w:pPr>
        <w:spacing w:after="0" w:line="400" w:lineRule="exact"/>
        <w:rPr>
          <w:rFonts w:ascii="仿宋" w:eastAsia="仿宋" w:hAnsi="仿宋"/>
          <w:sz w:val="24"/>
        </w:rPr>
      </w:pPr>
      <w:r>
        <w:rPr>
          <w:rFonts w:ascii="仿宋" w:eastAsia="仿宋" w:hAnsi="仿宋"/>
          <w:sz w:val="24"/>
        </w:rPr>
        <w:t>2.</w:t>
      </w:r>
      <w:r>
        <w:rPr>
          <w:rFonts w:ascii="仿宋" w:eastAsia="仿宋" w:hAnsi="仿宋" w:hint="eastAsia"/>
          <w:sz w:val="24"/>
        </w:rPr>
        <w:t>服务地点</w:t>
      </w:r>
    </w:p>
    <w:p w14:paraId="215B778A" w14:textId="77777777" w:rsidR="00BF34C9" w:rsidRDefault="00BF34C9" w:rsidP="00BF34C9">
      <w:pPr>
        <w:spacing w:after="0" w:line="400" w:lineRule="exact"/>
        <w:rPr>
          <w:rFonts w:ascii="仿宋" w:eastAsia="仿宋" w:hAnsi="仿宋"/>
          <w:sz w:val="24"/>
        </w:rPr>
      </w:pPr>
      <w:r>
        <w:rPr>
          <w:rFonts w:ascii="仿宋" w:eastAsia="仿宋" w:hAnsi="仿宋" w:hint="eastAsia"/>
          <w:sz w:val="24"/>
        </w:rPr>
        <w:t>成都市或采购人指定地点。</w:t>
      </w:r>
    </w:p>
    <w:p w14:paraId="4D05ABF8" w14:textId="77777777" w:rsidR="00BF34C9" w:rsidRDefault="00BF34C9" w:rsidP="00BF34C9">
      <w:pPr>
        <w:spacing w:after="0" w:line="400" w:lineRule="exact"/>
        <w:rPr>
          <w:rFonts w:ascii="仿宋" w:eastAsia="仿宋" w:hAnsi="仿宋"/>
          <w:sz w:val="24"/>
        </w:rPr>
      </w:pPr>
      <w:r>
        <w:rPr>
          <w:rFonts w:ascii="仿宋" w:eastAsia="仿宋" w:hAnsi="仿宋"/>
          <w:sz w:val="24"/>
        </w:rPr>
        <w:t>3.</w:t>
      </w:r>
      <w:r>
        <w:rPr>
          <w:rFonts w:ascii="仿宋" w:eastAsia="仿宋" w:hAnsi="仿宋" w:hint="eastAsia"/>
          <w:sz w:val="24"/>
        </w:rPr>
        <w:t>工期要求</w:t>
      </w:r>
    </w:p>
    <w:p w14:paraId="6DA323D4" w14:textId="77777777" w:rsidR="00BF34C9" w:rsidRDefault="00BF34C9" w:rsidP="00BF34C9">
      <w:pPr>
        <w:spacing w:after="0" w:line="400" w:lineRule="exact"/>
        <w:rPr>
          <w:rFonts w:ascii="仿宋" w:eastAsia="仿宋" w:hAnsi="仿宋"/>
          <w:sz w:val="24"/>
        </w:rPr>
      </w:pPr>
      <w:r>
        <w:rPr>
          <w:rFonts w:ascii="仿宋" w:eastAsia="仿宋" w:hAnsi="仿宋" w:hint="eastAsia"/>
          <w:sz w:val="24"/>
        </w:rPr>
        <w:t>供应商应按采购人要求在规定的时间内完成项目检测范围和内容，达到相应的检测标准和要求。</w:t>
      </w:r>
    </w:p>
    <w:p w14:paraId="26A27AF2" w14:textId="77777777" w:rsidR="00BF34C9" w:rsidRDefault="00BF34C9" w:rsidP="00BF34C9">
      <w:pPr>
        <w:spacing w:after="0" w:line="400" w:lineRule="exact"/>
        <w:rPr>
          <w:rFonts w:ascii="仿宋" w:eastAsia="仿宋" w:hAnsi="仿宋"/>
          <w:sz w:val="24"/>
        </w:rPr>
      </w:pPr>
      <w:r>
        <w:rPr>
          <w:rFonts w:ascii="仿宋" w:eastAsia="仿宋" w:hAnsi="仿宋"/>
          <w:sz w:val="24"/>
        </w:rPr>
        <w:t>4.</w:t>
      </w:r>
      <w:r>
        <w:rPr>
          <w:rFonts w:ascii="仿宋" w:eastAsia="仿宋" w:hAnsi="仿宋" w:hint="eastAsia"/>
          <w:sz w:val="24"/>
        </w:rPr>
        <w:t>付款方式</w:t>
      </w:r>
    </w:p>
    <w:p w14:paraId="4253645D" w14:textId="77777777" w:rsidR="00BF34C9" w:rsidRDefault="00BF34C9" w:rsidP="00BF34C9">
      <w:pPr>
        <w:spacing w:after="0" w:line="400" w:lineRule="exact"/>
        <w:rPr>
          <w:rFonts w:ascii="仿宋" w:eastAsia="仿宋" w:hAnsi="仿宋"/>
          <w:sz w:val="24"/>
        </w:rPr>
      </w:pPr>
      <w:r>
        <w:rPr>
          <w:rFonts w:ascii="仿宋" w:eastAsia="仿宋" w:hAnsi="仿宋" w:hint="eastAsia"/>
          <w:sz w:val="24"/>
        </w:rPr>
        <w:t>按采购人对质量试验检测的工作要求，供应商完成各批次试验检测工作，并提交相应检测报告，经计量</w:t>
      </w:r>
      <w:r>
        <w:rPr>
          <w:rFonts w:ascii="仿宋" w:eastAsia="仿宋" w:hAnsi="仿宋"/>
          <w:sz w:val="24"/>
        </w:rPr>
        <w:t>和</w:t>
      </w:r>
      <w:r>
        <w:rPr>
          <w:rFonts w:ascii="仿宋" w:eastAsia="仿宋" w:hAnsi="仿宋" w:hint="eastAsia"/>
          <w:sz w:val="24"/>
        </w:rPr>
        <w:t>审核通过后支付不超过实际完成检测总费用的70%，检测汇总报告提交审核通过后，支付审核检测总费用的剩余尾款；具体付款方式以合同为准。</w:t>
      </w:r>
    </w:p>
    <w:p w14:paraId="143E2472" w14:textId="77777777" w:rsidR="00BF34C9" w:rsidRDefault="00BF34C9" w:rsidP="00BF34C9">
      <w:pPr>
        <w:spacing w:after="0" w:line="400" w:lineRule="exact"/>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履约验收</w:t>
      </w:r>
    </w:p>
    <w:p w14:paraId="2F08E908" w14:textId="77777777" w:rsidR="00BF34C9" w:rsidRDefault="00BF34C9" w:rsidP="00BF34C9">
      <w:pPr>
        <w:spacing w:after="0" w:line="400" w:lineRule="exact"/>
        <w:ind w:firstLineChars="200" w:firstLine="480"/>
        <w:rPr>
          <w:rFonts w:ascii="仿宋" w:eastAsia="仿宋" w:hAnsi="仿宋"/>
          <w:sz w:val="24"/>
        </w:rPr>
      </w:pPr>
      <w:r>
        <w:rPr>
          <w:rFonts w:ascii="仿宋" w:eastAsia="仿宋" w:hAnsi="仿宋"/>
          <w:sz w:val="24"/>
        </w:rPr>
        <w:lastRenderedPageBreak/>
        <w:t>本项目采购人及其委托的采购代理机构将严格按照《财政部关于进一步加强政府采购需求和履约验收管理的指导意见》（财库〔2016〕205号）等政府采购相关法律法规的要求进行验收。</w:t>
      </w:r>
    </w:p>
    <w:p w14:paraId="03E0938E" w14:textId="77777777" w:rsidR="00BF34C9" w:rsidRDefault="00BF34C9" w:rsidP="00BF34C9">
      <w:pPr>
        <w:spacing w:after="0" w:line="400" w:lineRule="exact"/>
        <w:ind w:firstLineChars="200" w:firstLine="480"/>
        <w:rPr>
          <w:rFonts w:ascii="仿宋" w:eastAsia="仿宋" w:hAnsi="仿宋"/>
          <w:sz w:val="24"/>
        </w:rPr>
      </w:pPr>
      <w:r>
        <w:rPr>
          <w:rFonts w:ascii="仿宋" w:eastAsia="仿宋" w:hAnsi="仿宋"/>
          <w:sz w:val="24"/>
        </w:rPr>
        <w:t>验收结果合格的，中标人凭验收报告办理相关手续；验收结果不合格的</w:t>
      </w:r>
      <w:r>
        <w:rPr>
          <w:rFonts w:ascii="仿宋" w:eastAsia="仿宋" w:hAnsi="仿宋" w:hint="eastAsia"/>
          <w:sz w:val="24"/>
        </w:rPr>
        <w:t>，履约保证金将不予退还，也将不予支付采购资金</w:t>
      </w:r>
      <w:r>
        <w:rPr>
          <w:rFonts w:ascii="仿宋" w:eastAsia="仿宋" w:hAnsi="仿宋"/>
          <w:sz w:val="24"/>
        </w:rPr>
        <w:t>，</w:t>
      </w:r>
      <w:r>
        <w:rPr>
          <w:rFonts w:ascii="仿宋" w:eastAsia="仿宋" w:hAnsi="仿宋" w:hint="eastAsia"/>
          <w:sz w:val="24"/>
        </w:rPr>
        <w:t>采购人有权</w:t>
      </w:r>
      <w:r>
        <w:rPr>
          <w:rFonts w:ascii="仿宋" w:eastAsia="仿宋" w:hAnsi="仿宋"/>
          <w:sz w:val="24"/>
        </w:rPr>
        <w:t>报告本项目同级财政部门按照政府采购法律法规有关规定给予行政处罚。</w:t>
      </w:r>
    </w:p>
    <w:p w14:paraId="5989522D" w14:textId="77777777" w:rsidR="00BF34C9" w:rsidRDefault="00BF34C9" w:rsidP="00BF34C9">
      <w:pPr>
        <w:spacing w:after="0" w:line="400" w:lineRule="exact"/>
        <w:ind w:firstLineChars="225" w:firstLine="540"/>
        <w:rPr>
          <w:rFonts w:ascii="仿宋" w:eastAsia="仿宋" w:hAnsi="仿宋"/>
          <w:sz w:val="24"/>
        </w:rPr>
      </w:pPr>
      <w:r>
        <w:rPr>
          <w:rFonts w:ascii="仿宋" w:eastAsia="仿宋" w:hAnsi="仿宋" w:hint="eastAsia"/>
          <w:sz w:val="24"/>
        </w:rPr>
        <w:t>项目履约验收小组由采购人维护管理科、质量安全管理科、技术管理科、党建宣传科、政府采购领导小组办公室等相关人员组成。相关科室分别对检测</w:t>
      </w:r>
      <w:r>
        <w:rPr>
          <w:rFonts w:ascii="仿宋" w:eastAsia="仿宋" w:hAnsi="仿宋"/>
          <w:sz w:val="24"/>
        </w:rPr>
        <w:t>内容、</w:t>
      </w:r>
      <w:r>
        <w:rPr>
          <w:rFonts w:ascii="仿宋" w:eastAsia="仿宋" w:hAnsi="仿宋" w:hint="eastAsia"/>
          <w:sz w:val="24"/>
        </w:rPr>
        <w:t>检测方法</w:t>
      </w:r>
      <w:r>
        <w:rPr>
          <w:rFonts w:ascii="仿宋" w:eastAsia="仿宋" w:hAnsi="仿宋"/>
          <w:sz w:val="24"/>
        </w:rPr>
        <w:t>、检测过程安全文明情况、</w:t>
      </w:r>
      <w:r>
        <w:rPr>
          <w:rFonts w:ascii="仿宋" w:eastAsia="仿宋" w:hAnsi="仿宋" w:hint="eastAsia"/>
          <w:sz w:val="24"/>
        </w:rPr>
        <w:t>检测报告、工期执行情况等进行审查，并在履约验收报告中签署意见。履约验收报告见下表，履约验收完成后，项目牵头科室填写政府采购项目履约验收情况表。</w:t>
      </w:r>
    </w:p>
    <w:p w14:paraId="04226CE8" w14:textId="77777777" w:rsidR="00BF34C9" w:rsidRDefault="00BF34C9" w:rsidP="00BF34C9">
      <w:pPr>
        <w:spacing w:after="0" w:line="400" w:lineRule="exact"/>
        <w:rPr>
          <w:rFonts w:hAnsi="宋体"/>
          <w:color w:val="000000"/>
        </w:rPr>
      </w:pPr>
    </w:p>
    <w:p w14:paraId="53F68D54" w14:textId="39D0E5D9" w:rsidR="009860B6" w:rsidRDefault="009860B6" w:rsidP="00BF34C9"/>
    <w:sectPr w:rsidR="00986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09B" w14:textId="77777777" w:rsidR="002363A1" w:rsidRDefault="002363A1" w:rsidP="00BF34C9">
      <w:pPr>
        <w:spacing w:after="0" w:line="240" w:lineRule="auto"/>
      </w:pPr>
      <w:r>
        <w:separator/>
      </w:r>
    </w:p>
  </w:endnote>
  <w:endnote w:type="continuationSeparator" w:id="0">
    <w:p w14:paraId="5C75B7E6" w14:textId="77777777" w:rsidR="002363A1" w:rsidRDefault="002363A1" w:rsidP="00BF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D59A" w14:textId="77777777" w:rsidR="002363A1" w:rsidRDefault="002363A1" w:rsidP="00BF34C9">
      <w:pPr>
        <w:spacing w:after="0" w:line="240" w:lineRule="auto"/>
      </w:pPr>
      <w:r>
        <w:separator/>
      </w:r>
    </w:p>
  </w:footnote>
  <w:footnote w:type="continuationSeparator" w:id="0">
    <w:p w14:paraId="52489051" w14:textId="77777777" w:rsidR="002363A1" w:rsidRDefault="002363A1" w:rsidP="00BF3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B6"/>
    <w:rsid w:val="002363A1"/>
    <w:rsid w:val="009860B6"/>
    <w:rsid w:val="00BF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0AF46"/>
  <w15:chartTrackingRefBased/>
  <w15:docId w15:val="{FDCC9016-CB41-441E-893E-DD26FBB1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F34C9"/>
    <w:pPr>
      <w:widowControl w:val="0"/>
      <w:spacing w:after="160" w:line="259" w:lineRule="auto"/>
      <w:jc w:val="both"/>
    </w:pPr>
    <w:rPr>
      <w:rFonts w:ascii="Calibri" w:eastAsia="宋体" w:hAnsi="Calibri" w:cs="Times New Roman"/>
      <w:szCs w:val="24"/>
    </w:rPr>
  </w:style>
  <w:style w:type="paragraph" w:styleId="20">
    <w:name w:val="heading 2"/>
    <w:basedOn w:val="a"/>
    <w:next w:val="a"/>
    <w:link w:val="21"/>
    <w:qFormat/>
    <w:rsid w:val="00BF34C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4C9"/>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F34C9"/>
    <w:rPr>
      <w:sz w:val="18"/>
      <w:szCs w:val="18"/>
    </w:rPr>
  </w:style>
  <w:style w:type="paragraph" w:styleId="a5">
    <w:name w:val="footer"/>
    <w:basedOn w:val="a"/>
    <w:link w:val="a6"/>
    <w:uiPriority w:val="99"/>
    <w:unhideWhenUsed/>
    <w:rsid w:val="00BF34C9"/>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F34C9"/>
    <w:rPr>
      <w:sz w:val="18"/>
      <w:szCs w:val="18"/>
    </w:rPr>
  </w:style>
  <w:style w:type="character" w:customStyle="1" w:styleId="21">
    <w:name w:val="标题 2 字符"/>
    <w:basedOn w:val="a0"/>
    <w:link w:val="20"/>
    <w:rsid w:val="00BF34C9"/>
    <w:rPr>
      <w:rFonts w:ascii="Arial" w:eastAsia="黑体" w:hAnsi="Arial" w:cs="Times New Roman"/>
      <w:b/>
      <w:bCs/>
      <w:sz w:val="32"/>
      <w:szCs w:val="32"/>
    </w:rPr>
  </w:style>
  <w:style w:type="paragraph" w:styleId="a7">
    <w:name w:val="Body Text"/>
    <w:basedOn w:val="a"/>
    <w:next w:val="a"/>
    <w:link w:val="a8"/>
    <w:qFormat/>
    <w:rsid w:val="00BF34C9"/>
    <w:pPr>
      <w:spacing w:after="120" w:line="240" w:lineRule="auto"/>
    </w:pPr>
    <w:rPr>
      <w:rFonts w:ascii="Times New Roman" w:hAnsi="Times New Roman"/>
    </w:rPr>
  </w:style>
  <w:style w:type="character" w:customStyle="1" w:styleId="a8">
    <w:name w:val="正文文本 字符"/>
    <w:basedOn w:val="a0"/>
    <w:link w:val="a7"/>
    <w:qFormat/>
    <w:rsid w:val="00BF34C9"/>
    <w:rPr>
      <w:rFonts w:ascii="Times New Roman" w:eastAsia="宋体" w:hAnsi="Times New Roman" w:cs="Times New Roman"/>
      <w:szCs w:val="24"/>
    </w:rPr>
  </w:style>
  <w:style w:type="paragraph" w:styleId="2">
    <w:name w:val="Body Text Indent 2"/>
    <w:basedOn w:val="a"/>
    <w:link w:val="22"/>
    <w:uiPriority w:val="99"/>
    <w:semiHidden/>
    <w:unhideWhenUsed/>
    <w:rsid w:val="00BF34C9"/>
    <w:pPr>
      <w:spacing w:after="120" w:line="480" w:lineRule="auto"/>
      <w:ind w:leftChars="200" w:left="420"/>
    </w:pPr>
  </w:style>
  <w:style w:type="character" w:customStyle="1" w:styleId="22">
    <w:name w:val="正文文本缩进 2 字符"/>
    <w:basedOn w:val="a0"/>
    <w:link w:val="2"/>
    <w:uiPriority w:val="99"/>
    <w:semiHidden/>
    <w:rsid w:val="00BF34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泽楠</dc:creator>
  <cp:keywords/>
  <dc:description/>
  <cp:lastModifiedBy>唐 泽楠</cp:lastModifiedBy>
  <cp:revision>2</cp:revision>
  <dcterms:created xsi:type="dcterms:W3CDTF">2023-01-09T08:00:00Z</dcterms:created>
  <dcterms:modified xsi:type="dcterms:W3CDTF">2023-01-09T08:00:00Z</dcterms:modified>
</cp:coreProperties>
</file>