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outlineLvl w:val="2"/>
      </w:pPr>
      <w:r>
        <w:rPr>
          <w:rFonts w:hint="eastAsia"/>
          <w:b/>
          <w:sz w:val="28"/>
          <w:lang w:val="en-US" w:eastAsia="zh-CN"/>
        </w:rPr>
        <w:t>一、</w:t>
      </w:r>
      <w:r>
        <w:rPr>
          <w:b/>
          <w:sz w:val="28"/>
        </w:rPr>
        <w:t>采购项目概况</w:t>
      </w:r>
    </w:p>
    <w:p>
      <w:pPr>
        <w:pStyle w:val="5"/>
      </w:pPr>
    </w:p>
    <w:p>
      <w:pPr>
        <w:pStyle w:val="5"/>
      </w:pPr>
      <w:r>
        <w:rPr>
          <w:rFonts w:ascii="宋体" w:hAnsi="宋体" w:eastAsia="宋体" w:cs="宋体"/>
          <w:sz w:val="24"/>
        </w:rPr>
        <w:t>中航技国际经贸发展有限公司受成都大学附属医院委托，拟选取一名中标人为医院提供岛津医用血管造影X射线（型号：Trinias，数量：一台）维保服务（该设备2020年4月购入并投入使用，2023年已更换一次球管）。</w:t>
      </w:r>
    </w:p>
    <w:p>
      <w:pPr>
        <w:pStyle w:val="5"/>
        <w:outlineLvl w:val="2"/>
      </w:pPr>
      <w:r>
        <w:rPr>
          <w:rFonts w:hint="eastAsia"/>
          <w:b/>
          <w:sz w:val="28"/>
          <w:lang w:val="en-US" w:eastAsia="zh-CN"/>
        </w:rPr>
        <w:t>二、</w:t>
      </w:r>
      <w:r>
        <w:rPr>
          <w:b/>
          <w:sz w:val="28"/>
        </w:rPr>
        <w:t>服务内容及服务要求</w:t>
      </w:r>
    </w:p>
    <w:p>
      <w:pPr>
        <w:pStyle w:val="5"/>
        <w:outlineLvl w:val="3"/>
      </w:pPr>
      <w:r>
        <w:rPr>
          <w:rFonts w:hint="eastAsia"/>
          <w:b/>
          <w:sz w:val="24"/>
          <w:lang w:eastAsia="zh-CN"/>
        </w:rPr>
        <w:t>（</w:t>
      </w:r>
      <w:r>
        <w:rPr>
          <w:rFonts w:hint="eastAsia"/>
          <w:b/>
          <w:sz w:val="24"/>
          <w:lang w:val="en-US" w:eastAsia="zh-CN"/>
        </w:rPr>
        <w:t>一</w:t>
      </w:r>
      <w:r>
        <w:rPr>
          <w:rFonts w:hint="eastAsia"/>
          <w:b/>
          <w:sz w:val="24"/>
          <w:lang w:eastAsia="zh-CN"/>
        </w:rPr>
        <w:t>）</w:t>
      </w:r>
      <w:r>
        <w:rPr>
          <w:b/>
          <w:sz w:val="24"/>
        </w:rPr>
        <w:t>服务内容</w:t>
      </w:r>
    </w:p>
    <w:p>
      <w:pPr>
        <w:pStyle w:val="5"/>
      </w:pPr>
    </w:p>
    <w:p>
      <w:pPr>
        <w:pStyle w:val="5"/>
      </w:pPr>
      <w:r>
        <w:t>采购包1：</w:t>
      </w:r>
    </w:p>
    <w:p>
      <w:pPr>
        <w:pStyle w:val="5"/>
      </w:pPr>
      <w:r>
        <w:t>采购包预算金额（元）: 720,000.00</w:t>
      </w:r>
    </w:p>
    <w:p>
      <w:pPr>
        <w:pStyle w:val="5"/>
      </w:pPr>
      <w:r>
        <w:t>采购包最高限价（元）: 720,000.00</w:t>
      </w:r>
    </w:p>
    <w:p>
      <w:pPr>
        <w:pStyle w:val="5"/>
      </w:pPr>
      <w:r>
        <w:t>供应商报价不允许超过标的金额</w:t>
      </w:r>
    </w:p>
    <w:p>
      <w:pPr>
        <w:pStyle w:val="5"/>
      </w:pPr>
      <w:r>
        <w:t>（招单价的）供应商报价不允许超过标的单价</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1"/>
        <w:gridCol w:w="821"/>
        <w:gridCol w:w="825"/>
        <w:gridCol w:w="1128"/>
        <w:gridCol w:w="821"/>
        <w:gridCol w:w="821"/>
        <w:gridCol w:w="821"/>
        <w:gridCol w:w="821"/>
        <w:gridCol w:w="821"/>
        <w:gridCol w:w="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5"/>
            </w:pPr>
            <w:r>
              <w:t>序号</w:t>
            </w:r>
          </w:p>
        </w:tc>
        <w:tc>
          <w:tcPr>
            <w:tcW w:w="831" w:type="dxa"/>
          </w:tcPr>
          <w:p>
            <w:pPr>
              <w:pStyle w:val="5"/>
            </w:pPr>
            <w:r>
              <w:t>标的名称</w:t>
            </w:r>
          </w:p>
        </w:tc>
        <w:tc>
          <w:tcPr>
            <w:tcW w:w="831" w:type="dxa"/>
          </w:tcPr>
          <w:p>
            <w:pPr>
              <w:pStyle w:val="5"/>
            </w:pPr>
            <w:r>
              <w:t>数量</w:t>
            </w:r>
          </w:p>
        </w:tc>
        <w:tc>
          <w:tcPr>
            <w:tcW w:w="831" w:type="dxa"/>
          </w:tcPr>
          <w:p>
            <w:pPr>
              <w:pStyle w:val="5"/>
            </w:pPr>
            <w:r>
              <w:t>标的金额 （元）</w:t>
            </w:r>
          </w:p>
        </w:tc>
        <w:tc>
          <w:tcPr>
            <w:tcW w:w="831" w:type="dxa"/>
          </w:tcPr>
          <w:p>
            <w:pPr>
              <w:pStyle w:val="5"/>
            </w:pPr>
            <w:r>
              <w:t>计量单位</w:t>
            </w:r>
          </w:p>
        </w:tc>
        <w:tc>
          <w:tcPr>
            <w:tcW w:w="831" w:type="dxa"/>
          </w:tcPr>
          <w:p>
            <w:pPr>
              <w:pStyle w:val="5"/>
            </w:pPr>
            <w:r>
              <w:t>所属行业</w:t>
            </w:r>
          </w:p>
        </w:tc>
        <w:tc>
          <w:tcPr>
            <w:tcW w:w="831" w:type="dxa"/>
          </w:tcPr>
          <w:p>
            <w:pPr>
              <w:pStyle w:val="5"/>
            </w:pPr>
            <w:r>
              <w:t>是否核心产品</w:t>
            </w:r>
          </w:p>
        </w:tc>
        <w:tc>
          <w:tcPr>
            <w:tcW w:w="831" w:type="dxa"/>
          </w:tcPr>
          <w:p>
            <w:pPr>
              <w:pStyle w:val="5"/>
            </w:pPr>
            <w:r>
              <w:t>是否允许进口产品</w:t>
            </w:r>
          </w:p>
        </w:tc>
        <w:tc>
          <w:tcPr>
            <w:tcW w:w="831" w:type="dxa"/>
          </w:tcPr>
          <w:p>
            <w:pPr>
              <w:pStyle w:val="5"/>
            </w:pPr>
            <w:r>
              <w:t>是否属于节能产品</w:t>
            </w:r>
          </w:p>
        </w:tc>
        <w:tc>
          <w:tcPr>
            <w:tcW w:w="831" w:type="dxa"/>
          </w:tcPr>
          <w:p>
            <w:pPr>
              <w:pStyle w:val="5"/>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5"/>
            </w:pPr>
            <w:r>
              <w:t>1</w:t>
            </w:r>
          </w:p>
        </w:tc>
        <w:tc>
          <w:tcPr>
            <w:tcW w:w="831" w:type="dxa"/>
          </w:tcPr>
          <w:p>
            <w:pPr>
              <w:pStyle w:val="5"/>
            </w:pPr>
            <w:r>
              <w:t>岛津医用血管造影X射线维保服务</w:t>
            </w:r>
          </w:p>
        </w:tc>
        <w:tc>
          <w:tcPr>
            <w:tcW w:w="831" w:type="dxa"/>
          </w:tcPr>
          <w:p>
            <w:pPr>
              <w:pStyle w:val="5"/>
              <w:jc w:val="right"/>
            </w:pPr>
            <w:r>
              <w:t>1.00</w:t>
            </w:r>
          </w:p>
        </w:tc>
        <w:tc>
          <w:tcPr>
            <w:tcW w:w="831" w:type="dxa"/>
          </w:tcPr>
          <w:p>
            <w:pPr>
              <w:pStyle w:val="5"/>
              <w:jc w:val="right"/>
            </w:pPr>
            <w:r>
              <w:t>720,000.00</w:t>
            </w:r>
          </w:p>
        </w:tc>
        <w:tc>
          <w:tcPr>
            <w:tcW w:w="831" w:type="dxa"/>
          </w:tcPr>
          <w:p>
            <w:pPr>
              <w:pStyle w:val="5"/>
            </w:pPr>
            <w:r>
              <w:t>项</w:t>
            </w:r>
          </w:p>
        </w:tc>
        <w:tc>
          <w:tcPr>
            <w:tcW w:w="831" w:type="dxa"/>
          </w:tcPr>
          <w:p>
            <w:pPr>
              <w:pStyle w:val="5"/>
            </w:pPr>
            <w:r>
              <w:t>租赁和商务服务业</w:t>
            </w:r>
          </w:p>
        </w:tc>
        <w:tc>
          <w:tcPr>
            <w:tcW w:w="831" w:type="dxa"/>
          </w:tcPr>
          <w:p>
            <w:pPr>
              <w:pStyle w:val="5"/>
            </w:pPr>
            <w:r>
              <w:t>否</w:t>
            </w:r>
          </w:p>
        </w:tc>
        <w:tc>
          <w:tcPr>
            <w:tcW w:w="831" w:type="dxa"/>
          </w:tcPr>
          <w:p>
            <w:pPr>
              <w:pStyle w:val="5"/>
            </w:pPr>
            <w:r>
              <w:t>否</w:t>
            </w:r>
          </w:p>
        </w:tc>
        <w:tc>
          <w:tcPr>
            <w:tcW w:w="831" w:type="dxa"/>
          </w:tcPr>
          <w:p>
            <w:pPr>
              <w:pStyle w:val="5"/>
            </w:pPr>
            <w:r>
              <w:t>否</w:t>
            </w:r>
          </w:p>
        </w:tc>
        <w:tc>
          <w:tcPr>
            <w:tcW w:w="831" w:type="dxa"/>
          </w:tcPr>
          <w:p>
            <w:pPr>
              <w:pStyle w:val="5"/>
            </w:pPr>
            <w:r>
              <w:t>否</w:t>
            </w:r>
          </w:p>
        </w:tc>
      </w:tr>
    </w:tbl>
    <w:p>
      <w:pPr>
        <w:pStyle w:val="5"/>
        <w:outlineLvl w:val="3"/>
      </w:pPr>
      <w:r>
        <w:rPr>
          <w:rFonts w:hint="eastAsia"/>
          <w:b/>
          <w:sz w:val="24"/>
          <w:lang w:eastAsia="zh-CN"/>
        </w:rPr>
        <w:t>（</w:t>
      </w:r>
      <w:r>
        <w:rPr>
          <w:rFonts w:hint="eastAsia"/>
          <w:b/>
          <w:sz w:val="24"/>
          <w:lang w:val="en-US" w:eastAsia="zh-CN"/>
        </w:rPr>
        <w:t>二</w:t>
      </w:r>
      <w:r>
        <w:rPr>
          <w:rFonts w:hint="eastAsia"/>
          <w:b/>
          <w:sz w:val="24"/>
          <w:lang w:eastAsia="zh-CN"/>
        </w:rPr>
        <w:t>）</w:t>
      </w:r>
      <w:r>
        <w:rPr>
          <w:b/>
          <w:sz w:val="24"/>
        </w:rPr>
        <w:t>服务要求</w:t>
      </w:r>
    </w:p>
    <w:p>
      <w:pPr>
        <w:pStyle w:val="5"/>
      </w:pPr>
      <w:bookmarkStart w:id="0" w:name="_GoBack"/>
      <w:bookmarkEnd w:id="0"/>
    </w:p>
    <w:p>
      <w:pPr>
        <w:pStyle w:val="5"/>
      </w:pPr>
      <w:r>
        <w:t>采购包1：</w:t>
      </w:r>
    </w:p>
    <w:p>
      <w:pPr>
        <w:pStyle w:val="5"/>
      </w:pPr>
    </w:p>
    <w:p>
      <w:pPr>
        <w:pStyle w:val="5"/>
      </w:pPr>
      <w:r>
        <w:t>标的名称：岛津医用血管造影X射线维保服务</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9"/>
        <w:gridCol w:w="450"/>
        <w:gridCol w:w="71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9" w:type="dxa"/>
          </w:tcPr>
          <w:p>
            <w:pPr>
              <w:pStyle w:val="5"/>
            </w:pPr>
            <w:r>
              <w:t>参数性质</w:t>
            </w:r>
          </w:p>
        </w:tc>
        <w:tc>
          <w:tcPr>
            <w:tcW w:w="450" w:type="dxa"/>
          </w:tcPr>
          <w:p>
            <w:pPr>
              <w:pStyle w:val="5"/>
            </w:pPr>
            <w:r>
              <w:t>序号</w:t>
            </w:r>
          </w:p>
        </w:tc>
        <w:tc>
          <w:tcPr>
            <w:tcW w:w="7123" w:type="dxa"/>
          </w:tcPr>
          <w:p>
            <w:pPr>
              <w:pStyle w:val="5"/>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9" w:type="dxa"/>
          </w:tcPr>
          <w:p/>
        </w:tc>
        <w:tc>
          <w:tcPr>
            <w:tcW w:w="450" w:type="dxa"/>
          </w:tcPr>
          <w:p>
            <w:pPr>
              <w:pStyle w:val="5"/>
            </w:pPr>
            <w:r>
              <w:t>1</w:t>
            </w:r>
          </w:p>
        </w:tc>
        <w:tc>
          <w:tcPr>
            <w:tcW w:w="7123" w:type="dxa"/>
          </w:tcPr>
          <w:p>
            <w:pPr>
              <w:pStyle w:val="5"/>
              <w:ind w:firstLine="480"/>
              <w:jc w:val="left"/>
            </w:pPr>
            <w:r>
              <w:rPr>
                <w:rFonts w:ascii="宋体" w:hAnsi="宋体" w:eastAsia="宋体" w:cs="宋体"/>
                <w:sz w:val="24"/>
                <w:u w:val="single"/>
              </w:rPr>
              <w:t>★</w:t>
            </w:r>
            <w:r>
              <w:rPr>
                <w:rFonts w:ascii="宋体" w:hAnsi="宋体" w:eastAsia="宋体" w:cs="宋体"/>
                <w:sz w:val="24"/>
              </w:rPr>
              <w:t>1、保修范围：整机全保。</w:t>
            </w:r>
          </w:p>
          <w:p>
            <w:pPr>
              <w:pStyle w:val="5"/>
              <w:ind w:firstLine="480"/>
              <w:jc w:val="left"/>
            </w:pPr>
            <w:r>
              <w:rPr>
                <w:rFonts w:ascii="宋体" w:hAnsi="宋体" w:eastAsia="宋体" w:cs="宋体"/>
                <w:sz w:val="24"/>
              </w:rPr>
              <w:t>2、服务要求</w:t>
            </w:r>
          </w:p>
          <w:p>
            <w:pPr>
              <w:pStyle w:val="5"/>
              <w:ind w:firstLine="480"/>
              <w:jc w:val="left"/>
            </w:pPr>
            <w:r>
              <w:rPr>
                <w:rFonts w:ascii="宋体" w:hAnsi="宋体" w:eastAsia="宋体" w:cs="宋体"/>
                <w:sz w:val="24"/>
              </w:rPr>
              <w:t>2.1提供服务电话，接到故障报修，响应时间2小时内，24小时内需到达现场进行维修，工作时间为24小时，全年按365天计算。</w:t>
            </w:r>
          </w:p>
          <w:p>
            <w:pPr>
              <w:pStyle w:val="5"/>
              <w:ind w:firstLine="480"/>
              <w:jc w:val="left"/>
            </w:pPr>
            <w:r>
              <w:rPr>
                <w:rFonts w:ascii="宋体" w:hAnsi="宋体" w:eastAsia="宋体" w:cs="宋体"/>
                <w:sz w:val="24"/>
              </w:rPr>
              <w:t>2.2四川省省内设有长期稳定的服务机构</w:t>
            </w:r>
            <w:r>
              <w:rPr>
                <w:rFonts w:ascii="宋体" w:hAnsi="宋体" w:eastAsia="宋体" w:cs="宋体"/>
                <w:sz w:val="24"/>
                <w:u w:val="single"/>
              </w:rPr>
              <w:t>或承诺合同生效前设置</w:t>
            </w:r>
            <w:r>
              <w:rPr>
                <w:rFonts w:ascii="宋体" w:hAnsi="宋体" w:eastAsia="宋体" w:cs="宋体"/>
                <w:sz w:val="24"/>
              </w:rPr>
              <w:t>。</w:t>
            </w:r>
          </w:p>
          <w:p>
            <w:pPr>
              <w:pStyle w:val="5"/>
              <w:ind w:firstLine="480"/>
              <w:jc w:val="left"/>
            </w:pPr>
            <w:r>
              <w:rPr>
                <w:rFonts w:ascii="宋体" w:hAnsi="宋体" w:eastAsia="宋体" w:cs="宋体"/>
                <w:sz w:val="24"/>
              </w:rPr>
              <w:t>★2.3提供设备备件，合同期内不限次数更换，提供的零备件须是合法渠道，且符合该设备功能、性能合格备件。</w:t>
            </w:r>
          </w:p>
          <w:p>
            <w:pPr>
              <w:pStyle w:val="5"/>
              <w:ind w:firstLine="480"/>
              <w:jc w:val="left"/>
            </w:pPr>
            <w:r>
              <w:rPr>
                <w:rFonts w:ascii="宋体" w:hAnsi="宋体" w:eastAsia="宋体" w:cs="宋体"/>
                <w:sz w:val="24"/>
                <w:u w:val="single"/>
              </w:rPr>
              <w:t>★</w:t>
            </w:r>
            <w:r>
              <w:rPr>
                <w:rFonts w:ascii="宋体" w:hAnsi="宋体" w:eastAsia="宋体" w:cs="宋体"/>
                <w:sz w:val="24"/>
              </w:rPr>
              <w:t>2.4投标人保证用于检测设备运行、技术、计量指标的专用工具、仪表符合正常使用标准并中标后提供ilac-MRA或CNAS标准认证证书。</w:t>
            </w:r>
          </w:p>
          <w:p>
            <w:pPr>
              <w:pStyle w:val="5"/>
              <w:ind w:firstLine="480"/>
              <w:jc w:val="left"/>
            </w:pPr>
            <w:r>
              <w:rPr>
                <w:rFonts w:ascii="宋体" w:hAnsi="宋体" w:eastAsia="宋体" w:cs="宋体"/>
                <w:sz w:val="24"/>
              </w:rPr>
              <w:t>2.6提供设备的安全检查、影像质量检查。</w:t>
            </w:r>
          </w:p>
          <w:p>
            <w:pPr>
              <w:pStyle w:val="5"/>
              <w:ind w:firstLine="480"/>
              <w:jc w:val="left"/>
            </w:pPr>
            <w:r>
              <w:rPr>
                <w:rFonts w:ascii="宋体" w:hAnsi="宋体" w:eastAsia="宋体" w:cs="宋体"/>
                <w:sz w:val="24"/>
                <w:u w:val="single"/>
              </w:rPr>
              <w:t>★</w:t>
            </w:r>
            <w:r>
              <w:rPr>
                <w:rFonts w:ascii="宋体" w:hAnsi="宋体" w:eastAsia="宋体" w:cs="宋体"/>
                <w:sz w:val="24"/>
              </w:rPr>
              <w:t>2.7提供预防性保养≥2次/年，若有相应装置控制检测规范的，按照WS 521—2017标准执行。</w:t>
            </w:r>
          </w:p>
          <w:p>
            <w:pPr>
              <w:pStyle w:val="5"/>
              <w:ind w:firstLine="480"/>
              <w:jc w:val="left"/>
            </w:pPr>
            <w:r>
              <w:rPr>
                <w:rFonts w:ascii="宋体" w:hAnsi="宋体" w:eastAsia="宋体" w:cs="宋体"/>
                <w:sz w:val="24"/>
              </w:rPr>
              <w:t>★2.8提供预防性保养所消耗的所有耗材。</w:t>
            </w:r>
          </w:p>
          <w:p>
            <w:pPr>
              <w:pStyle w:val="5"/>
              <w:ind w:firstLine="480"/>
              <w:jc w:val="left"/>
            </w:pPr>
            <w:r>
              <w:rPr>
                <w:rFonts w:ascii="宋体" w:hAnsi="宋体" w:eastAsia="宋体" w:cs="宋体"/>
                <w:sz w:val="24"/>
                <w:u w:val="single"/>
              </w:rPr>
              <w:t>★</w:t>
            </w:r>
            <w:r>
              <w:rPr>
                <w:rFonts w:ascii="宋体" w:hAnsi="宋体" w:eastAsia="宋体" w:cs="宋体"/>
                <w:sz w:val="24"/>
              </w:rPr>
              <w:t>2.9</w:t>
            </w:r>
            <w:r>
              <w:rPr>
                <w:rFonts w:ascii="宋体" w:hAnsi="宋体" w:eastAsia="宋体" w:cs="宋体"/>
                <w:sz w:val="24"/>
                <w:u w:val="single"/>
              </w:rPr>
              <w:t>设备开机率全年须达到 97%以上（以 365 天、每天 24 小时计算），如果此开机率由于中标人的原因未能达到，则停机时间超过5%的部分，按 1:20 顺延（停机1天，维保期顺延20天）。</w:t>
            </w:r>
          </w:p>
          <w:p>
            <w:pPr>
              <w:pStyle w:val="5"/>
              <w:ind w:firstLine="480"/>
              <w:jc w:val="left"/>
            </w:pPr>
            <w:r>
              <w:rPr>
                <w:rFonts w:ascii="宋体" w:hAnsi="宋体" w:eastAsia="宋体" w:cs="宋体"/>
                <w:sz w:val="24"/>
              </w:rPr>
              <w:t>2.10投标人具备故障预警能力，提前预警主要零部件高压故障。</w:t>
            </w:r>
          </w:p>
          <w:p>
            <w:pPr>
              <w:pStyle w:val="5"/>
              <w:ind w:firstLine="480"/>
              <w:jc w:val="left"/>
            </w:pPr>
            <w:r>
              <w:rPr>
                <w:rFonts w:ascii="宋体" w:hAnsi="宋体" w:eastAsia="宋体" w:cs="宋体"/>
                <w:sz w:val="24"/>
              </w:rPr>
              <w:t>2.11投标人承诺中标后合同签订前提供维保设备原厂公司对本项目的授权，该授权在服务期内（提供承诺函）。</w:t>
            </w:r>
          </w:p>
          <w:p>
            <w:pPr>
              <w:pStyle w:val="5"/>
              <w:ind w:firstLine="480"/>
              <w:jc w:val="left"/>
            </w:pPr>
            <w:r>
              <w:rPr>
                <w:rFonts w:ascii="宋体" w:hAnsi="宋体" w:eastAsia="宋体" w:cs="宋体"/>
                <w:sz w:val="24"/>
                <w:u w:val="single"/>
              </w:rPr>
              <w:t>★</w:t>
            </w:r>
            <w:r>
              <w:rPr>
                <w:rFonts w:ascii="宋体" w:hAnsi="宋体" w:eastAsia="宋体" w:cs="宋体"/>
                <w:sz w:val="24"/>
              </w:rPr>
              <w:t>2.12服务工程师需提供有效期内的辐射安全与防护考核合格证明。</w:t>
            </w:r>
          </w:p>
          <w:p>
            <w:pPr>
              <w:pStyle w:val="5"/>
              <w:ind w:firstLine="480"/>
              <w:jc w:val="left"/>
            </w:pPr>
            <w:r>
              <w:rPr>
                <w:rFonts w:ascii="宋体" w:hAnsi="宋体" w:eastAsia="宋体" w:cs="宋体"/>
                <w:sz w:val="24"/>
              </w:rPr>
              <w:t>★2.13当厂家发布该设备的系统软件的非功能性升级时，必须提供原厂标准升级软件。</w:t>
            </w:r>
          </w:p>
          <w:p>
            <w:pPr>
              <w:pStyle w:val="5"/>
              <w:ind w:firstLine="480"/>
              <w:jc w:val="left"/>
            </w:pPr>
            <w:r>
              <w:rPr>
                <w:rFonts w:ascii="宋体" w:hAnsi="宋体" w:eastAsia="宋体" w:cs="宋体"/>
                <w:sz w:val="24"/>
              </w:rPr>
              <w:t>▲2.14备件充足：服务机构在国内设有零备件仓库（提供相应证明材料，如租赁合同等），保证备件的存储并于48小时内提供备件的发货。</w:t>
            </w:r>
          </w:p>
          <w:p>
            <w:pPr>
              <w:pStyle w:val="5"/>
              <w:ind w:firstLine="480"/>
              <w:jc w:val="left"/>
            </w:pPr>
            <w:r>
              <w:rPr>
                <w:rFonts w:ascii="宋体" w:hAnsi="宋体" w:eastAsia="宋体" w:cs="宋体"/>
                <w:sz w:val="24"/>
              </w:rPr>
              <w:t>▲2.15投标人能够合法获得原厂高级故障诊断软件的诊断维修钥匙（软件及密码）并提供相关证明材料。</w:t>
            </w:r>
          </w:p>
          <w:p>
            <w:pPr>
              <w:pStyle w:val="5"/>
              <w:ind w:firstLine="480"/>
              <w:jc w:val="left"/>
            </w:pPr>
            <w:r>
              <w:rPr>
                <w:rFonts w:ascii="宋体" w:hAnsi="宋体" w:eastAsia="宋体" w:cs="宋体"/>
                <w:sz w:val="24"/>
              </w:rPr>
              <w:t>★2.16投标人需提供有效期内的辐射安全许可证。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9" w:type="dxa"/>
          </w:tcPr>
          <w:p/>
        </w:tc>
        <w:tc>
          <w:tcPr>
            <w:tcW w:w="450" w:type="dxa"/>
          </w:tcPr>
          <w:p>
            <w:pPr>
              <w:pStyle w:val="5"/>
            </w:pPr>
            <w:r>
              <w:t>2</w:t>
            </w:r>
          </w:p>
        </w:tc>
        <w:tc>
          <w:tcPr>
            <w:tcW w:w="7123" w:type="dxa"/>
          </w:tcPr>
          <w:p>
            <w:pPr>
              <w:pStyle w:val="5"/>
              <w:ind w:firstLine="480"/>
              <w:jc w:val="both"/>
            </w:pPr>
            <w:r>
              <w:rPr>
                <w:rFonts w:ascii="宋体" w:hAnsi="宋体" w:eastAsia="宋体" w:cs="宋体"/>
                <w:b/>
                <w:sz w:val="44"/>
              </w:rPr>
              <w:t>DSA(岛津）维保考核方案</w:t>
            </w:r>
          </w:p>
          <w:p>
            <w:pPr>
              <w:pStyle w:val="5"/>
              <w:ind w:firstLine="480"/>
              <w:jc w:val="both"/>
            </w:pPr>
          </w:p>
          <w:p>
            <w:pPr>
              <w:pStyle w:val="5"/>
              <w:ind w:firstLine="480"/>
              <w:jc w:val="both"/>
            </w:pPr>
            <w:r>
              <w:rPr>
                <w:rFonts w:ascii="宋体" w:hAnsi="宋体" w:eastAsia="宋体" w:cs="宋体"/>
                <w:sz w:val="24"/>
              </w:rPr>
              <w:t>中标服务商要严格遵守采购人单位的各项规章制度，采购人每月将由临床科室对服务方进行考核（见考核表），满分为100分，若考核分数达到95分以上（含95分）视为当月考核合格，考核分数94-90分扣除当月款项的5%，考核分数89-85分扣除当月款项的15%，考核分数84-80分扣除当月款项的30%，考核分数低于79分视为不及格或出现一票否决项目的，采购方不予以支付当月款项；合同年度服务期间累计有三个月月考核不合格，视为年度考核不合格，采购方不予以支付合同剩余款项。</w:t>
            </w:r>
          </w:p>
          <w:p>
            <w:pPr>
              <w:pStyle w:val="5"/>
              <w:ind w:firstLine="480"/>
              <w:jc w:val="both"/>
            </w:pPr>
          </w:p>
          <w:p>
            <w:pPr>
              <w:pStyle w:val="5"/>
              <w:ind w:firstLine="480"/>
              <w:jc w:val="both"/>
            </w:pPr>
            <w:r>
              <w:rPr>
                <w:rFonts w:ascii="宋体" w:hAnsi="宋体" w:eastAsia="宋体" w:cs="宋体"/>
                <w:b/>
                <w:sz w:val="32"/>
              </w:rPr>
              <w:t>附件 成都大学附属医院设备维保公司考核表</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30"/>
              <w:gridCol w:w="603"/>
              <w:gridCol w:w="1113"/>
              <w:gridCol w:w="950"/>
              <w:gridCol w:w="101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维保公司名称</w:t>
                  </w:r>
                </w:p>
              </w:tc>
              <w:tc>
                <w:tcPr>
                  <w:tcW w:w="60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c>
                <w:tcPr>
                  <w:tcW w:w="33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设备名称及型号</w:t>
                  </w:r>
                </w:p>
              </w:tc>
              <w:tc>
                <w:tcPr>
                  <w:tcW w:w="1213" w:type="dxa"/>
                  <w:gridSpan w:val="2"/>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考核期间</w:t>
                  </w:r>
                </w:p>
              </w:tc>
              <w:tc>
                <w:tcPr>
                  <w:tcW w:w="6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c>
                <w:tcPr>
                  <w:tcW w:w="33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考核科室</w:t>
                  </w:r>
                </w:p>
              </w:tc>
              <w:tc>
                <w:tcPr>
                  <w:tcW w:w="1213"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18"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考核内容</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分值</w:t>
                  </w:r>
                </w:p>
              </w:tc>
              <w:tc>
                <w:tcPr>
                  <w:tcW w:w="2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得分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工作人员素质</w:t>
                  </w: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工程师着装整洁、佩戴工牌（不符合要求的发现1次扣一分）</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5</w:t>
                  </w:r>
                </w:p>
              </w:tc>
              <w:tc>
                <w:tcPr>
                  <w:tcW w:w="23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服务态度礼貌周到。（出现与医院人员或患者争吵的1次扣5分）</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5</w:t>
                  </w:r>
                </w:p>
              </w:tc>
              <w:tc>
                <w:tcPr>
                  <w:tcW w:w="2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服务质量</w:t>
                  </w: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24小时维保电话保持通畅，随时受理故障报修，2小时内电话给出处理办法或处理计划。（未第一时间受理或超过2小时内电话给出处理办法或处理计划，出现1次扣2分）</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10</w:t>
                  </w:r>
                </w:p>
              </w:tc>
              <w:tc>
                <w:tcPr>
                  <w:tcW w:w="2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从报修电话完毕开始计时，到场时间不得超过8小时。（8-12小时到场扣4分，12-18小时扣6分，超过18小时不得分。）</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10</w:t>
                  </w:r>
                </w:p>
              </w:tc>
              <w:tc>
                <w:tcPr>
                  <w:tcW w:w="2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设备不能正常使用≤1.5天/月。（＞1.5天且≤3天扣2分，＞3天扣5分，按常规开机时间计算：12小时开机的设备以6小时为0.5天）</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5</w:t>
                  </w:r>
                </w:p>
              </w:tc>
              <w:tc>
                <w:tcPr>
                  <w:tcW w:w="2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维修质量有保障，同类故障在维修完成后6个月内不得再次出现超过1次。（再次出现1次扣5分，2次扣10分）</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15</w:t>
                  </w:r>
                </w:p>
              </w:tc>
              <w:tc>
                <w:tcPr>
                  <w:tcW w:w="2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设备故障判断准确，未出现错误判断导致维修时间延长的情况。（出现1次扣5分）</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5</w:t>
                  </w:r>
                </w:p>
              </w:tc>
              <w:tc>
                <w:tcPr>
                  <w:tcW w:w="2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按时、保质、保量完成每季度1次保养及质控，每次均需提供工单。（若当月非保养月，此项可得满分，但每季度至少要有1个保养月，少1次扣5分）。</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20</w:t>
                  </w:r>
                </w:p>
              </w:tc>
              <w:tc>
                <w:tcPr>
                  <w:tcW w:w="2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因运输等原因配件不能及时到位时，积极主动提供替代配件保证临床工作，并向科室做好解释工作，超过3天未找到配件或替代方案扣5分）</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5</w:t>
                  </w:r>
                </w:p>
              </w:tc>
              <w:tc>
                <w:tcPr>
                  <w:tcW w:w="2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所有更换的零部件必须是全新原厂合法合格件。（更换的配件出现一次非全新原厂合法合格件扣10分，厂家须提供真实举证材料，拒绝或无法提供证明材料视为非全新原厂合法合格件。）</w:t>
                  </w: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20</w:t>
                  </w:r>
                </w:p>
              </w:tc>
              <w:tc>
                <w:tcPr>
                  <w:tcW w:w="2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合计</w:t>
                  </w: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p>
              </w:tc>
              <w:tc>
                <w:tcPr>
                  <w:tcW w:w="20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100</w:t>
                  </w:r>
                </w:p>
              </w:tc>
              <w:tc>
                <w:tcPr>
                  <w:tcW w:w="2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18"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一票否决内容</w:t>
                  </w:r>
                </w:p>
              </w:tc>
              <w:tc>
                <w:tcPr>
                  <w:tcW w:w="435"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有/无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宋体" w:hAnsi="宋体" w:eastAsia="宋体" w:cs="宋体"/>
                      <w:sz w:val="24"/>
                    </w:rPr>
                    <w:t>项目</w:t>
                  </w: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1.维修工程师不遵守医院规章制度，维修服务流程不符合医院规定，擅自维修，擅自翻阅、复制、传播所接触的用户资料或数据。</w:t>
                  </w:r>
                </w:p>
              </w:tc>
              <w:tc>
                <w:tcPr>
                  <w:tcW w:w="435" w:type="dxa"/>
                  <w:gridSpan w:val="2"/>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2.出现因设备维修质量问题引发的医疗纠纷。</w:t>
                  </w:r>
                </w:p>
              </w:tc>
              <w:tc>
                <w:tcPr>
                  <w:tcW w:w="435"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3.若所提供的配件为非全新原厂合法合格件，但厂家拒绝更换为全新原厂合法合格件</w:t>
                  </w:r>
                </w:p>
              </w:tc>
              <w:tc>
                <w:tcPr>
                  <w:tcW w:w="435"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4.提供的球管非全新原厂合法合格件</w:t>
                  </w:r>
                </w:p>
              </w:tc>
              <w:tc>
                <w:tcPr>
                  <w:tcW w:w="435"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2" w:type="dxa"/>
                  <w:vMerge w:val="continue"/>
                  <w:tcBorders>
                    <w:top w:val="nil"/>
                    <w:left w:val="single" w:color="000000" w:sz="4" w:space="0"/>
                    <w:bottom w:val="single" w:color="000000" w:sz="4" w:space="0"/>
                    <w:right w:val="single" w:color="000000" w:sz="4" w:space="0"/>
                  </w:tcBorders>
                </w:tcPr>
                <w:p/>
              </w:tc>
              <w:tc>
                <w:tcPr>
                  <w:tcW w:w="1716"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both"/>
                  </w:pPr>
                  <w:r>
                    <w:rPr>
                      <w:rFonts w:ascii="宋体" w:hAnsi="宋体" w:eastAsia="宋体" w:cs="宋体"/>
                      <w:sz w:val="24"/>
                    </w:rPr>
                    <w:t>5.故意夸大、谎报故障，一经查实一票否决</w:t>
                  </w:r>
                </w:p>
              </w:tc>
              <w:tc>
                <w:tcPr>
                  <w:tcW w:w="435"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p>
              </w:tc>
            </w:tr>
          </w:tbl>
          <w:p>
            <w:pPr>
              <w:pStyle w:val="5"/>
              <w:ind w:firstLine="480"/>
              <w:jc w:val="both"/>
            </w:pPr>
          </w:p>
          <w:p>
            <w:pPr>
              <w:pStyle w:val="5"/>
              <w:ind w:firstLine="480"/>
              <w:jc w:val="both"/>
            </w:pPr>
            <w:r>
              <w:rPr>
                <w:rFonts w:ascii="宋体" w:hAnsi="宋体" w:eastAsia="宋体" w:cs="宋体"/>
                <w:sz w:val="24"/>
              </w:rPr>
              <w:t>科室负责人： 时间：</w:t>
            </w:r>
          </w:p>
          <w:p>
            <w:pPr>
              <w:pStyle w:val="5"/>
              <w:ind w:firstLine="480"/>
              <w:jc w:val="both"/>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0Y2Y2NTg1ZTlmMTMwNDIxMzBkY2I1OWM3MTFkNTQifQ=="/>
  </w:docVars>
  <w:rsids>
    <w:rsidRoot w:val="6D1D14B5"/>
    <w:rsid w:val="61F039FF"/>
    <w:rsid w:val="652330A3"/>
    <w:rsid w:val="6D1D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1937</Words>
  <Characters>2114</Characters>
  <Lines>0</Lines>
  <Paragraphs>0</Paragraphs>
  <TotalTime>0</TotalTime>
  <ScaleCrop>false</ScaleCrop>
  <LinksUpToDate>false</LinksUpToDate>
  <CharactersWithSpaces>2127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2023-09-01T08:37:00Z</dcterms:created>
  <dc:creator>中航技--刘丽</dc:creator>
  <cp:lastModifiedBy>971290877</cp:lastModifiedBy>
  <dcterms:modified xsi:type="dcterms:W3CDTF">2023-09-01T08:42:53Z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932AF81B6D514DF3BE55715DD4AC6763_11</vt:lpwstr>
  </property>
</Properties>
</file>