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0"/>
          <w:szCs w:val="48"/>
          <w:lang w:eastAsia="zh-CN"/>
        </w:rPr>
      </w:pPr>
      <w:r>
        <w:rPr>
          <w:rFonts w:hint="eastAsia"/>
          <w:b/>
          <w:bCs/>
          <w:sz w:val="40"/>
          <w:szCs w:val="48"/>
          <w:lang w:eastAsia="zh-CN"/>
        </w:rPr>
        <w:t>采购需求</w:t>
      </w:r>
    </w:p>
    <w:p>
      <w:pPr>
        <w:jc w:val="center"/>
        <w:rPr>
          <w:rFonts w:hint="eastAsia"/>
          <w:b/>
          <w:bCs/>
          <w:sz w:val="40"/>
          <w:szCs w:val="48"/>
          <w:lang w:eastAsia="zh-CN"/>
        </w:rPr>
      </w:pPr>
      <w:bookmarkStart w:id="0" w:name="_GoBack"/>
      <w:bookmarkEnd w:id="0"/>
    </w:p>
    <w:p>
      <w:pPr>
        <w:pStyle w:val="4"/>
        <w:ind w:firstLine="480"/>
      </w:pPr>
      <w: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p>
    <w:p>
      <w:pPr>
        <w:pStyle w:val="4"/>
      </w:pPr>
      <w:r>
        <w:t>本项目共一个包，采购墓材，墓材包括成品墓和零星换材</w:t>
      </w:r>
    </w:p>
    <w:p>
      <w:pPr>
        <w:pStyle w:val="4"/>
        <w:ind w:firstLine="480"/>
        <w:outlineLvl w:val="2"/>
      </w:pPr>
      <w:r>
        <w:rPr>
          <w:b/>
          <w:sz w:val="28"/>
        </w:rPr>
        <w:t>3.2采购内容</w:t>
      </w:r>
    </w:p>
    <w:p>
      <w:pPr>
        <w:pStyle w:val="4"/>
      </w:pPr>
    </w:p>
    <w:p>
      <w:pPr>
        <w:pStyle w:val="4"/>
      </w:pPr>
    </w:p>
    <w:p>
      <w:pPr>
        <w:pStyle w:val="4"/>
      </w:pPr>
    </w:p>
    <w:p>
      <w:pPr>
        <w:pStyle w:val="4"/>
      </w:pPr>
      <w:r>
        <w:t>采购包1：</w:t>
      </w:r>
    </w:p>
    <w:p>
      <w:pPr>
        <w:pStyle w:val="4"/>
      </w:pPr>
      <w:r>
        <w:t>采购包预算金额（元）: 3,800,000.00</w:t>
      </w:r>
    </w:p>
    <w:p>
      <w:pPr>
        <w:pStyle w:val="4"/>
      </w:pPr>
      <w:r>
        <w:t>采购包最高限价（元）: 3,800,000.00</w:t>
      </w:r>
    </w:p>
    <w:p>
      <w:pPr>
        <w:pStyle w:val="4"/>
      </w:pPr>
      <w:r>
        <w:t>供应商报价不允许超过标的金额</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03"/>
        <w:gridCol w:w="803"/>
        <w:gridCol w:w="813"/>
        <w:gridCol w:w="1279"/>
        <w:gridCol w:w="804"/>
        <w:gridCol w:w="804"/>
        <w:gridCol w:w="804"/>
        <w:gridCol w:w="804"/>
        <w:gridCol w:w="804"/>
        <w:gridCol w:w="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序号</w:t>
            </w:r>
          </w:p>
        </w:tc>
        <w:tc>
          <w:tcPr>
            <w:tcW w:w="831" w:type="dxa"/>
          </w:tcPr>
          <w:p>
            <w:pPr>
              <w:pStyle w:val="4"/>
            </w:pPr>
            <w:r>
              <w:t>标的名称</w:t>
            </w:r>
          </w:p>
        </w:tc>
        <w:tc>
          <w:tcPr>
            <w:tcW w:w="831" w:type="dxa"/>
          </w:tcPr>
          <w:p>
            <w:pPr>
              <w:pStyle w:val="4"/>
            </w:pPr>
            <w:r>
              <w:t>数量</w:t>
            </w:r>
          </w:p>
        </w:tc>
        <w:tc>
          <w:tcPr>
            <w:tcW w:w="831" w:type="dxa"/>
          </w:tcPr>
          <w:p>
            <w:pPr>
              <w:pStyle w:val="4"/>
            </w:pPr>
            <w:r>
              <w:t>标的金额 （元）</w:t>
            </w:r>
          </w:p>
        </w:tc>
        <w:tc>
          <w:tcPr>
            <w:tcW w:w="831" w:type="dxa"/>
          </w:tcPr>
          <w:p>
            <w:pPr>
              <w:pStyle w:val="4"/>
            </w:pPr>
            <w:r>
              <w:t>计量单位</w:t>
            </w:r>
          </w:p>
        </w:tc>
        <w:tc>
          <w:tcPr>
            <w:tcW w:w="831" w:type="dxa"/>
          </w:tcPr>
          <w:p>
            <w:pPr>
              <w:pStyle w:val="4"/>
            </w:pPr>
            <w:r>
              <w:t>所属行业</w:t>
            </w:r>
          </w:p>
        </w:tc>
        <w:tc>
          <w:tcPr>
            <w:tcW w:w="831" w:type="dxa"/>
          </w:tcPr>
          <w:p>
            <w:pPr>
              <w:pStyle w:val="4"/>
            </w:pPr>
            <w:r>
              <w:t>是否核心产品</w:t>
            </w:r>
          </w:p>
        </w:tc>
        <w:tc>
          <w:tcPr>
            <w:tcW w:w="831" w:type="dxa"/>
          </w:tcPr>
          <w:p>
            <w:pPr>
              <w:pStyle w:val="4"/>
            </w:pPr>
            <w:r>
              <w:t>是否允许进口产品</w:t>
            </w:r>
          </w:p>
        </w:tc>
        <w:tc>
          <w:tcPr>
            <w:tcW w:w="831" w:type="dxa"/>
          </w:tcPr>
          <w:p>
            <w:pPr>
              <w:pStyle w:val="4"/>
            </w:pPr>
            <w:r>
              <w:t>是否属于节能产品</w:t>
            </w:r>
          </w:p>
        </w:tc>
        <w:tc>
          <w:tcPr>
            <w:tcW w:w="831" w:type="dxa"/>
          </w:tcPr>
          <w:p>
            <w:pPr>
              <w:pStyle w:val="4"/>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
            </w:pPr>
            <w:r>
              <w:t>1</w:t>
            </w:r>
          </w:p>
        </w:tc>
        <w:tc>
          <w:tcPr>
            <w:tcW w:w="831" w:type="dxa"/>
          </w:tcPr>
          <w:p>
            <w:pPr>
              <w:pStyle w:val="4"/>
            </w:pPr>
            <w:r>
              <w:t>墓材</w:t>
            </w:r>
          </w:p>
        </w:tc>
        <w:tc>
          <w:tcPr>
            <w:tcW w:w="831" w:type="dxa"/>
          </w:tcPr>
          <w:p>
            <w:pPr>
              <w:pStyle w:val="4"/>
              <w:jc w:val="right"/>
            </w:pPr>
            <w:r>
              <w:t>1.00</w:t>
            </w:r>
          </w:p>
        </w:tc>
        <w:tc>
          <w:tcPr>
            <w:tcW w:w="831" w:type="dxa"/>
          </w:tcPr>
          <w:p>
            <w:pPr>
              <w:pStyle w:val="4"/>
              <w:jc w:val="right"/>
            </w:pPr>
            <w:r>
              <w:t>3,800,000.00</w:t>
            </w:r>
          </w:p>
        </w:tc>
        <w:tc>
          <w:tcPr>
            <w:tcW w:w="831" w:type="dxa"/>
          </w:tcPr>
          <w:p>
            <w:pPr>
              <w:pStyle w:val="4"/>
            </w:pPr>
            <w:r>
              <w:t>项</w:t>
            </w:r>
          </w:p>
        </w:tc>
        <w:tc>
          <w:tcPr>
            <w:tcW w:w="831" w:type="dxa"/>
          </w:tcPr>
          <w:p>
            <w:pPr>
              <w:pStyle w:val="4"/>
            </w:pPr>
            <w:r>
              <w:t>工业</w:t>
            </w:r>
          </w:p>
        </w:tc>
        <w:tc>
          <w:tcPr>
            <w:tcW w:w="831" w:type="dxa"/>
          </w:tcPr>
          <w:p>
            <w:pPr>
              <w:pStyle w:val="4"/>
            </w:pPr>
            <w:r>
              <w:t>是</w:t>
            </w:r>
          </w:p>
        </w:tc>
        <w:tc>
          <w:tcPr>
            <w:tcW w:w="831" w:type="dxa"/>
          </w:tcPr>
          <w:p>
            <w:pPr>
              <w:pStyle w:val="4"/>
            </w:pPr>
            <w:r>
              <w:t>否</w:t>
            </w:r>
          </w:p>
        </w:tc>
        <w:tc>
          <w:tcPr>
            <w:tcW w:w="831" w:type="dxa"/>
          </w:tcPr>
          <w:p>
            <w:pPr>
              <w:pStyle w:val="4"/>
            </w:pPr>
            <w:r>
              <w:t>否</w:t>
            </w:r>
          </w:p>
        </w:tc>
        <w:tc>
          <w:tcPr>
            <w:tcW w:w="831" w:type="dxa"/>
          </w:tcPr>
          <w:p>
            <w:pPr>
              <w:pStyle w:val="4"/>
            </w:pPr>
            <w:r>
              <w:t>否</w:t>
            </w:r>
          </w:p>
        </w:tc>
      </w:tr>
    </w:tbl>
    <w:p>
      <w:pPr>
        <w:pStyle w:val="4"/>
        <w:ind w:firstLine="480"/>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标的名称：墓材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8"/>
        <w:gridCol w:w="1299"/>
        <w:gridCol w:w="59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参数性质</w:t>
            </w:r>
          </w:p>
        </w:tc>
        <w:tc>
          <w:tcPr>
            <w:tcW w:w="2769" w:type="dxa"/>
          </w:tcPr>
          <w:p>
            <w:pPr>
              <w:pStyle w:val="4"/>
            </w:pPr>
            <w:r>
              <w:t>序号</w:t>
            </w:r>
          </w:p>
        </w:tc>
        <w:tc>
          <w:tcPr>
            <w:tcW w:w="2769" w:type="dxa"/>
          </w:tcPr>
          <w:p>
            <w:pPr>
              <w:pStyle w:val="4"/>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562"/>
            </w:pPr>
            <w:r>
              <w:rPr>
                <w:rFonts w:ascii="宋体" w:hAnsi="宋体" w:eastAsia="宋体" w:cs="宋体"/>
                <w:b/>
                <w:sz w:val="28"/>
              </w:rPr>
              <w:t>（一）项目清单（实质性要求）</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1"/>
              <w:gridCol w:w="1190"/>
              <w:gridCol w:w="831"/>
              <w:gridCol w:w="831"/>
              <w:gridCol w:w="1190"/>
              <w:gridCol w:w="83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序号</w:t>
                  </w:r>
                </w:p>
              </w:tc>
              <w:tc>
                <w:tcPr>
                  <w:tcW w:w="9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产品名称</w:t>
                  </w:r>
                </w:p>
              </w:tc>
              <w:tc>
                <w:tcPr>
                  <w:tcW w:w="29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数量(暂定)</w:t>
                  </w:r>
                </w:p>
              </w:tc>
              <w:tc>
                <w:tcPr>
                  <w:tcW w:w="2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单位</w:t>
                  </w:r>
                </w:p>
              </w:tc>
              <w:tc>
                <w:tcPr>
                  <w:tcW w:w="4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单价限价（元）</w:t>
                  </w:r>
                </w:p>
              </w:tc>
              <w:tc>
                <w:tcPr>
                  <w:tcW w:w="3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成品墓</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9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1号墓</w:t>
                  </w:r>
                </w:p>
              </w:tc>
              <w:tc>
                <w:tcPr>
                  <w:tcW w:w="29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15099</w:t>
                  </w:r>
                </w:p>
              </w:tc>
              <w:tc>
                <w:tcPr>
                  <w:tcW w:w="3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13921</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14437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14269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5</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5号墓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14127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6</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6号墓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13794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7</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7号墓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15225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9180</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9297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10</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10号墓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8474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11</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11号墓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7847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12</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12号墓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1685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13</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13号墓</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1916</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53" w:type="dxa"/>
                  <w:gridSpan w:val="6"/>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b/>
                      <w:sz w:val="24"/>
                    </w:rPr>
                    <w:t>零星换材</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14</w:t>
                  </w:r>
                </w:p>
              </w:tc>
              <w:tc>
                <w:tcPr>
                  <w:tcW w:w="935"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26000墓整换</w:t>
                  </w:r>
                </w:p>
              </w:tc>
              <w:tc>
                <w:tcPr>
                  <w:tcW w:w="29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15453</w:t>
                  </w:r>
                </w:p>
              </w:tc>
              <w:tc>
                <w:tcPr>
                  <w:tcW w:w="32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15</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28000墓整换</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16593</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16</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一区围栏墓整换</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16875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17</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一区无围栏墓整换</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10469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18</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新烈士区2段墓整换</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18234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19</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13000墓围栏</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3930</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20</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18000墓围栏</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套</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3882</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21</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26000墓围栏</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7587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22</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28000墓围栏</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8474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23</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一区围栏墓围栏</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8531</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24</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西乡黑光面（2cm厚）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332</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单面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25</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印度黑光面（2cm厚）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449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单面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26</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梨花红光面（2cm厚）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82</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单面</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27</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西乡黑碑或盖（2cm厚）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519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28</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西乡黑碑或盖（3cm厚）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880</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29</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西乡黑碑或盖（5cm厚）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1688</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30</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西乡黑碑或盖（10cm厚）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5029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31</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印度黑碑或盖（2cm厚）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665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32</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印度黑碑或（3cm厚）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956</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33</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印度黑碑或（5cm厚）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4459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34</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印度黑碑或（8cm厚）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7511</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35</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印度黑碑或（10cm厚）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8335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36</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印度黑碑或盖（11cm厚）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8727</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37</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印度黑碑或盖（12cm厚）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9269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38</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印度红碑或盖（8cm厚）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8005</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39</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印度红碑或盖（10cm厚）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8499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40</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印度红碑或盖（12cm厚）</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9244</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41</w:t>
                  </w:r>
                </w:p>
              </w:tc>
              <w:tc>
                <w:tcPr>
                  <w:tcW w:w="9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芝麻白碑或碑座或盖</w:t>
                  </w:r>
                </w:p>
              </w:tc>
              <w:tc>
                <w:tcPr>
                  <w:tcW w:w="29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1</w:t>
                  </w:r>
                </w:p>
              </w:tc>
              <w:tc>
                <w:tcPr>
                  <w:tcW w:w="26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m³</w:t>
                  </w:r>
                </w:p>
              </w:tc>
              <w:tc>
                <w:tcPr>
                  <w:tcW w:w="4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8069</w:t>
                  </w:r>
                </w:p>
              </w:tc>
              <w:tc>
                <w:tcPr>
                  <w:tcW w:w="32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380"/>
                    <w:jc w:val="center"/>
                  </w:pPr>
                  <w:r>
                    <w:rPr>
                      <w:rFonts w:ascii="宋体" w:hAnsi="宋体" w:eastAsia="宋体" w:cs="宋体"/>
                      <w:sz w:val="24"/>
                    </w:rPr>
                    <w:t>雕刻</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ind w:firstLine="480"/>
              <w:jc w:val="both"/>
            </w:pPr>
            <w:r>
              <w:rPr>
                <w:rFonts w:ascii="宋体" w:hAnsi="宋体" w:eastAsia="宋体" w:cs="宋体"/>
                <w:b/>
                <w:sz w:val="28"/>
              </w:rPr>
              <w:t>（二）技术参数</w:t>
            </w:r>
          </w:p>
          <w:p>
            <w:pPr>
              <w:pStyle w:val="4"/>
              <w:ind w:firstLine="480"/>
              <w:jc w:val="left"/>
            </w:pPr>
            <w:r>
              <w:rPr>
                <w:rFonts w:ascii="宋体" w:hAnsi="宋体" w:eastAsia="宋体" w:cs="宋体"/>
                <w:sz w:val="24"/>
              </w:rPr>
              <w:t>具体内容详见附件。</w:t>
            </w:r>
          </w:p>
          <w:p>
            <w:pPr>
              <w:pStyle w:val="4"/>
              <w:ind w:firstLine="480"/>
              <w:jc w:val="left"/>
            </w:pPr>
            <w:r>
              <w:rPr>
                <w:rFonts w:ascii="宋体" w:hAnsi="宋体" w:eastAsia="宋体" w:cs="宋体"/>
                <w:sz w:val="24"/>
              </w:rPr>
              <w:t>注：1、本项目参数一共187条，不满足将按照综合评分明细表进行扣分。</w:t>
            </w:r>
          </w:p>
          <w:p>
            <w:pPr>
              <w:pStyle w:val="4"/>
              <w:ind w:firstLine="480"/>
              <w:jc w:val="both"/>
            </w:pPr>
            <w:r>
              <w:rPr>
                <w:rFonts w:ascii="宋体" w:hAnsi="宋体" w:eastAsia="宋体" w:cs="宋体"/>
                <w:sz w:val="24"/>
              </w:rPr>
              <w:t xml:space="preserve">  2、技术参数涉及的规格尺寸单位统一为mm。</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ind w:firstLine="480"/>
              <w:jc w:val="both"/>
            </w:pPr>
            <w:r>
              <w:rPr>
                <w:rFonts w:ascii="宋体" w:hAnsi="宋体" w:eastAsia="宋体" w:cs="宋体"/>
                <w:b/>
                <w:sz w:val="28"/>
              </w:rPr>
              <w:t>（三）样品石材材质清单</w:t>
            </w:r>
          </w:p>
          <w:p>
            <w:pPr>
              <w:pStyle w:val="4"/>
              <w:ind w:firstLine="480"/>
              <w:jc w:val="both"/>
            </w:pPr>
            <w:r>
              <w:t xml:space="preserve"> </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51"/>
              <w:gridCol w:w="890"/>
              <w:gridCol w:w="651"/>
              <w:gridCol w:w="651"/>
              <w:gridCol w:w="26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b/>
                      <w:sz w:val="24"/>
                    </w:rPr>
                    <w:t>序号</w:t>
                  </w:r>
                </w:p>
              </w:tc>
              <w:tc>
                <w:tcPr>
                  <w:tcW w:w="641"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b/>
                      <w:sz w:val="24"/>
                    </w:rPr>
                    <w:t>材质名称</w:t>
                  </w:r>
                </w:p>
              </w:tc>
              <w:tc>
                <w:tcPr>
                  <w:tcW w:w="535"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b/>
                      <w:sz w:val="24"/>
                    </w:rPr>
                    <w:t>类型</w:t>
                  </w:r>
                </w:p>
              </w:tc>
              <w:tc>
                <w:tcPr>
                  <w:tcW w:w="212"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b/>
                      <w:sz w:val="24"/>
                    </w:rPr>
                    <w:t>数量</w:t>
                  </w:r>
                </w:p>
              </w:tc>
              <w:tc>
                <w:tcPr>
                  <w:tcW w:w="943" w:type="dxa"/>
                  <w:tcBorders>
                    <w:top w:val="single" w:color="000000" w:sz="4" w:space="0"/>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b/>
                      <w:sz w:val="24"/>
                    </w:rPr>
                    <w:t>规格（长宽高）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印度黑</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打磨小样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1件</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200mm×200mm×20mm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印度红</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打磨小样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1件</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200mm×200mm×20mm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3</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G654</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打磨小样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1件</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200mm×200mm×20mm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4</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芝麻白</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打磨小样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1件</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200mm×200mm×20mm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5</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芝麻白花岗石狮子</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雕刻小样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1对</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200mm×200mm×300mm</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12" w:type="dxa"/>
                  <w:tcBorders>
                    <w:top w:val="nil"/>
                    <w:left w:val="single" w:color="000000" w:sz="4" w:space="0"/>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6</w:t>
                  </w:r>
                </w:p>
              </w:tc>
              <w:tc>
                <w:tcPr>
                  <w:tcW w:w="641"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西乡黑</w:t>
                  </w:r>
                </w:p>
              </w:tc>
              <w:tc>
                <w:tcPr>
                  <w:tcW w:w="535"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打磨小样</w:t>
                  </w:r>
                </w:p>
              </w:tc>
              <w:tc>
                <w:tcPr>
                  <w:tcW w:w="212"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1件</w:t>
                  </w:r>
                </w:p>
              </w:tc>
              <w:tc>
                <w:tcPr>
                  <w:tcW w:w="943" w:type="dxa"/>
                  <w:tcBorders>
                    <w:top w:val="nil"/>
                    <w:left w:val="nil"/>
                    <w:bottom w:val="single" w:color="000000" w:sz="4" w:space="0"/>
                    <w:right w:val="single" w:color="000000" w:sz="4" w:space="0"/>
                  </w:tcBorders>
                  <w:tcMar>
                    <w:top w:w="15" w:type="dxa"/>
                    <w:left w:w="15" w:type="dxa"/>
                    <w:bottom w:w="15" w:type="dxa"/>
                    <w:right w:w="15" w:type="dxa"/>
                  </w:tcMar>
                  <w:vAlign w:val="top"/>
                </w:tcPr>
                <w:p>
                  <w:pPr>
                    <w:pStyle w:val="4"/>
                    <w:ind w:firstLine="380"/>
                    <w:jc w:val="center"/>
                  </w:pPr>
                  <w:r>
                    <w:rPr>
                      <w:rFonts w:ascii="宋体" w:hAnsi="宋体" w:eastAsia="宋体" w:cs="宋体"/>
                      <w:sz w:val="24"/>
                    </w:rPr>
                    <w:t>200mm×200mm×20mm</w:t>
                  </w:r>
                </w:p>
              </w:tc>
            </w:tr>
          </w:tbl>
          <w:p>
            <w:pPr>
              <w:pStyle w:val="4"/>
              <w:ind w:firstLine="480"/>
              <w:jc w:val="both"/>
            </w:pPr>
            <w:r>
              <w:rPr>
                <w:rFonts w:ascii="宋体" w:hAnsi="宋体" w:eastAsia="宋体" w:cs="宋体"/>
                <w:sz w:val="24"/>
              </w:rPr>
              <w:t>注：</w:t>
            </w:r>
          </w:p>
          <w:p>
            <w:pPr>
              <w:pStyle w:val="4"/>
              <w:ind w:firstLine="480"/>
              <w:jc w:val="both"/>
            </w:pPr>
            <w:r>
              <w:rPr>
                <w:rFonts w:ascii="宋体" w:hAnsi="宋体" w:eastAsia="宋体" w:cs="宋体"/>
                <w:sz w:val="24"/>
              </w:rPr>
              <w:t>1、投标人提供的样品石材材质，不得带有投标人及生产厂家任何的标识；</w:t>
            </w:r>
          </w:p>
          <w:p>
            <w:pPr>
              <w:pStyle w:val="4"/>
              <w:ind w:firstLine="480"/>
              <w:jc w:val="both"/>
            </w:pPr>
            <w:r>
              <w:rPr>
                <w:rFonts w:ascii="宋体" w:hAnsi="宋体" w:eastAsia="宋体" w:cs="宋体"/>
                <w:sz w:val="24"/>
              </w:rPr>
              <w:t>2、评审结束后由招标人对中标人提供的样品石材材质进行封存，作为验收的依据。履行合同的质量及加工工艺不得低于样品石材材质水平，否则招标人有权拒收和拒付；</w:t>
            </w:r>
          </w:p>
          <w:p>
            <w:pPr>
              <w:pStyle w:val="4"/>
              <w:ind w:firstLine="480"/>
              <w:jc w:val="both"/>
            </w:pPr>
            <w:r>
              <w:rPr>
                <w:rFonts w:ascii="宋体" w:hAnsi="宋体" w:eastAsia="宋体" w:cs="宋体"/>
                <w:sz w:val="24"/>
              </w:rPr>
              <w:t>3、未中标人提供的样品石材材质可在结果公告发布后2个工作日内向招标代理机构索回，逾时代理机构有权自行处理；</w:t>
            </w:r>
          </w:p>
          <w:p>
            <w:pPr>
              <w:pStyle w:val="4"/>
              <w:ind w:firstLine="480"/>
              <w:jc w:val="both"/>
            </w:pPr>
            <w:r>
              <w:rPr>
                <w:rFonts w:ascii="宋体" w:hAnsi="宋体" w:eastAsia="宋体" w:cs="宋体"/>
                <w:sz w:val="24"/>
              </w:rPr>
              <w:t>4、样品石材材质只作为评分因素，不送、少送或错送的，综合评分表“样品石材材质”一栏不得分。</w:t>
            </w:r>
          </w:p>
          <w:p>
            <w:pPr>
              <w:pStyle w:val="4"/>
              <w:ind w:firstLine="480"/>
              <w:jc w:val="both"/>
            </w:pPr>
            <w:r>
              <w:rPr>
                <w:rFonts w:ascii="宋体" w:hAnsi="宋体" w:eastAsia="宋体" w:cs="宋体"/>
                <w:sz w:val="24"/>
              </w:rPr>
              <w:t>5、样品石材材质递交时间为：</w:t>
            </w:r>
            <w:r>
              <w:rPr>
                <w:rFonts w:ascii="宋体" w:hAnsi="宋体" w:eastAsia="宋体" w:cs="宋体"/>
                <w:b/>
                <w:sz w:val="24"/>
              </w:rPr>
              <w:t>开标时间前一个小时内；</w:t>
            </w:r>
          </w:p>
          <w:p>
            <w:pPr>
              <w:pStyle w:val="4"/>
              <w:ind w:firstLine="480"/>
              <w:jc w:val="both"/>
            </w:pPr>
            <w:r>
              <w:rPr>
                <w:rFonts w:ascii="宋体" w:hAnsi="宋体" w:eastAsia="宋体" w:cs="宋体"/>
                <w:sz w:val="24"/>
              </w:rPr>
              <w:t>样品石材材质递交地址为：</w:t>
            </w:r>
            <w:r>
              <w:rPr>
                <w:rFonts w:ascii="宋体" w:hAnsi="宋体" w:eastAsia="宋体" w:cs="宋体"/>
                <w:b/>
                <w:sz w:val="24"/>
              </w:rPr>
              <w:t>四川省成都市金牛区兴盛西路2号6栋B座13楼</w:t>
            </w:r>
            <w:r>
              <w:rPr>
                <w:rFonts w:ascii="宋体" w:hAnsi="宋体" w:eastAsia="宋体" w:cs="宋体"/>
                <w:sz w:val="24"/>
              </w:rPr>
              <w:t>。</w:t>
            </w:r>
          </w:p>
          <w:p>
            <w:pPr>
              <w:pStyle w:val="4"/>
              <w:ind w:firstLine="480"/>
              <w:jc w:val="both"/>
            </w:pPr>
            <w:r>
              <w:rPr>
                <w:rFonts w:ascii="宋体" w:hAnsi="宋体" w:eastAsia="宋体" w:cs="宋体"/>
                <w:sz w:val="24"/>
              </w:rPr>
              <w:t>6、样品石材材质的生产、运输费等一切费用由投标人自理；</w:t>
            </w:r>
          </w:p>
          <w:p>
            <w:pPr>
              <w:pStyle w:val="4"/>
              <w:ind w:firstLine="480"/>
              <w:jc w:val="both"/>
            </w:pPr>
            <w:r>
              <w:rPr>
                <w:rFonts w:ascii="宋体" w:hAnsi="宋体" w:eastAsia="宋体" w:cs="宋体"/>
                <w:sz w:val="24"/>
              </w:rPr>
              <w:t>7、递交投标样品石材材质的同时需单独递交一份样品清单给代理机构并加盖投标人鲜章。</w:t>
            </w:r>
          </w:p>
          <w:p>
            <w:pPr>
              <w:pStyle w:val="4"/>
              <w:ind w:firstLine="480"/>
              <w:jc w:val="both"/>
            </w:pPr>
            <w:r>
              <w:rPr>
                <w:rFonts w:ascii="宋体" w:hAnsi="宋体" w:eastAsia="宋体" w:cs="宋体"/>
                <w:sz w:val="24"/>
              </w:rPr>
              <w:t>8、样品石材材质须用纸箱密封，密封外包装及样品石材材质上都不能粘贴商标、厂家等任何标识。故意泄露者样品为无效投标，招标代理机构在开标时统一编号，评标专家按编号现场清点样品数量是否与清单一致并评审。</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4</w:t>
            </w:r>
          </w:p>
        </w:tc>
        <w:tc>
          <w:tcPr>
            <w:tcW w:w="2769" w:type="dxa"/>
          </w:tcPr>
          <w:p>
            <w:pPr>
              <w:pStyle w:val="4"/>
              <w:ind w:firstLine="562"/>
              <w:jc w:val="both"/>
            </w:pPr>
            <w:r>
              <w:rPr>
                <w:rFonts w:ascii="宋体" w:hAnsi="宋体" w:eastAsia="宋体" w:cs="宋体"/>
                <w:b/>
                <w:sz w:val="28"/>
              </w:rPr>
              <w:t>（四）服务要求（实质性要求）</w:t>
            </w:r>
          </w:p>
          <w:p>
            <w:pPr>
              <w:pStyle w:val="4"/>
              <w:ind w:firstLine="562"/>
              <w:jc w:val="both"/>
            </w:pPr>
            <w:r>
              <w:t xml:space="preserve"> </w:t>
            </w:r>
          </w:p>
          <w:p>
            <w:pPr>
              <w:pStyle w:val="4"/>
              <w:ind w:firstLine="480"/>
              <w:jc w:val="both"/>
            </w:pPr>
            <w:r>
              <w:rPr>
                <w:rFonts w:ascii="宋体" w:hAnsi="宋体" w:eastAsia="宋体" w:cs="宋体"/>
                <w:sz w:val="24"/>
              </w:rPr>
              <w:t>1、投标人在中标后，须根据招标人的要求进行成品墓和零星换材的加工制作。合同期间中标人自觉遵守行业道德，不得同其他当事人洽谈与建墓相关的所有事宜。</w:t>
            </w:r>
          </w:p>
          <w:p>
            <w:pPr>
              <w:pStyle w:val="4"/>
              <w:ind w:firstLine="480"/>
              <w:jc w:val="both"/>
            </w:pPr>
            <w:r>
              <w:rPr>
                <w:rFonts w:ascii="宋体" w:hAnsi="宋体" w:eastAsia="宋体" w:cs="宋体"/>
                <w:sz w:val="24"/>
              </w:rPr>
              <w:t>2、投标人在中标后，与招标人签订为期一年的服务合同，但中标人的质保及售后服务的期限不因本合同到期而终止，中标人应按本合同约定期限履行质保及售后服务义务。</w:t>
            </w:r>
          </w:p>
          <w:p>
            <w:pPr>
              <w:pStyle w:val="4"/>
              <w:ind w:firstLine="480"/>
              <w:jc w:val="both"/>
            </w:pPr>
            <w:r>
              <w:rPr>
                <w:rFonts w:ascii="宋体" w:hAnsi="宋体" w:eastAsia="宋体" w:cs="宋体"/>
                <w:sz w:val="24"/>
              </w:rPr>
              <w:t>3、招标人根据公墓的需求在招标文件范围内分批次确定采购的成品墓、零星换材品种及数量，中标人收到招标人书面通知后须无条件按要求完成成品墓和零星换材的加工制作及成品墓安装。</w:t>
            </w:r>
          </w:p>
          <w:p>
            <w:pPr>
              <w:pStyle w:val="4"/>
              <w:ind w:firstLine="480"/>
              <w:jc w:val="both"/>
            </w:pPr>
            <w:r>
              <w:rPr>
                <w:rFonts w:ascii="宋体" w:hAnsi="宋体" w:eastAsia="宋体" w:cs="宋体"/>
                <w:sz w:val="24"/>
              </w:rPr>
              <w:t>4、中标人提供零星换材必须按照招标人设计要求包加工，且不得再要求任何额外费用。</w:t>
            </w:r>
          </w:p>
          <w:p>
            <w:pPr>
              <w:pStyle w:val="4"/>
              <w:ind w:firstLine="480"/>
              <w:jc w:val="both"/>
            </w:pPr>
            <w:r>
              <w:rPr>
                <w:rFonts w:ascii="宋体" w:hAnsi="宋体" w:eastAsia="宋体" w:cs="宋体"/>
                <w:sz w:val="24"/>
              </w:rPr>
              <w:t>5、签订具体墓材采购订单时，中标人必须根据招标人要求送交墓型样品给招标人确认，在招标人确认墓型样品外观尺寸出具样品确认书并封存样品后，中标人才能按样生产，并以此样品作为验收样品。</w:t>
            </w:r>
          </w:p>
          <w:p>
            <w:pPr>
              <w:pStyle w:val="4"/>
              <w:ind w:firstLine="480"/>
              <w:jc w:val="both"/>
            </w:pPr>
            <w:r>
              <w:rPr>
                <w:rFonts w:ascii="宋体" w:hAnsi="宋体" w:eastAsia="宋体" w:cs="宋体"/>
                <w:sz w:val="24"/>
              </w:rPr>
              <w:t>6、墓材质量出现问题，中标人应负责三包(包修、包换、包退)，费用由中标人负担，招标人有权到中标人生产场地检查墓材质量和生产进度。</w:t>
            </w:r>
          </w:p>
          <w:p>
            <w:pPr>
              <w:pStyle w:val="4"/>
              <w:ind w:firstLine="480"/>
              <w:jc w:val="both"/>
            </w:pPr>
            <w:r>
              <w:rPr>
                <w:rFonts w:ascii="宋体" w:hAnsi="宋体" w:eastAsia="宋体" w:cs="宋体"/>
                <w:sz w:val="24"/>
              </w:rPr>
              <w:t>7、墓材安装后由于招标人的问题导致墓材损坏，中标人亦应负责修理，但费用由招标人负担。</w:t>
            </w:r>
          </w:p>
          <w:p>
            <w:pPr>
              <w:pStyle w:val="4"/>
              <w:ind w:firstLine="480"/>
              <w:jc w:val="both"/>
            </w:pPr>
            <w:r>
              <w:rPr>
                <w:rFonts w:ascii="宋体" w:hAnsi="宋体" w:eastAsia="宋体" w:cs="宋体"/>
                <w:sz w:val="24"/>
              </w:rPr>
              <w:t>8、若因中标人墓材质量不合格造成的墓碑及附属材料倒塌、垮塌、损坏等事故造成损失的，由中标人承担所有责任；若因事故造成人员伤亡，中标人承担所有赔偿责任，且招标人保留追究声誉受损的权利。</w:t>
            </w:r>
          </w:p>
          <w:p>
            <w:pPr>
              <w:pStyle w:val="4"/>
              <w:ind w:firstLine="480"/>
              <w:jc w:val="both"/>
            </w:pPr>
            <w:r>
              <w:rPr>
                <w:rFonts w:ascii="宋体" w:hAnsi="宋体" w:eastAsia="宋体" w:cs="宋体"/>
                <w:sz w:val="24"/>
              </w:rPr>
              <w:t>9、墓材的材质、制作质量要求：</w:t>
            </w:r>
          </w:p>
          <w:p>
            <w:pPr>
              <w:pStyle w:val="4"/>
              <w:ind w:firstLine="480"/>
              <w:jc w:val="both"/>
            </w:pPr>
            <w:r>
              <w:rPr>
                <w:rFonts w:ascii="宋体" w:hAnsi="宋体" w:eastAsia="宋体" w:cs="宋体"/>
                <w:sz w:val="24"/>
              </w:rPr>
              <w:t>9.1制作墓材的石材质量及规格等必须达到或优于中华人民共和国国家标准GB/T18601-2009规定的优等品(A)要求或制作时国家颁布的新标准规定的优等品(A)要求。</w:t>
            </w:r>
          </w:p>
          <w:p>
            <w:pPr>
              <w:pStyle w:val="4"/>
              <w:ind w:firstLine="480"/>
              <w:jc w:val="both"/>
            </w:pPr>
            <w:r>
              <w:rPr>
                <w:rFonts w:ascii="宋体" w:hAnsi="宋体" w:eastAsia="宋体" w:cs="宋体"/>
                <w:sz w:val="24"/>
              </w:rPr>
              <w:t>9.2形状尺寸标准：正方形的各边长宽一致，长方形的对边要一致。允许偏离范围在负公差为零，正公差为5mm以内。</w:t>
            </w:r>
          </w:p>
          <w:p>
            <w:pPr>
              <w:pStyle w:val="4"/>
              <w:ind w:firstLine="480"/>
              <w:jc w:val="both"/>
            </w:pPr>
            <w:r>
              <w:rPr>
                <w:rFonts w:ascii="宋体" w:hAnsi="宋体" w:eastAsia="宋体" w:cs="宋体"/>
                <w:sz w:val="24"/>
              </w:rPr>
              <w:t>9.3石质要求：墓材必须是天然石材，必须保证质量，要求无水缝、裂纹、无划痕、无团花、无损伤，不能有白斑、黑斑(石胆)及色纹(水线)瑕疵，部份部件(墓碑除外)只允许有一处瑕疵，但瑕疵直径不能超过5mm，色度无反差。刊刻工艺、抛光度必须达到整套样品墓标准。</w:t>
            </w:r>
          </w:p>
          <w:p>
            <w:pPr>
              <w:pStyle w:val="4"/>
              <w:ind w:firstLine="480"/>
              <w:jc w:val="both"/>
            </w:pPr>
            <w:r>
              <w:rPr>
                <w:rFonts w:ascii="宋体" w:hAnsi="宋体" w:eastAsia="宋体" w:cs="宋体"/>
                <w:sz w:val="24"/>
              </w:rPr>
              <w:t>9.4石材表面要干净，不得带有油斑、锈迹；</w:t>
            </w:r>
          </w:p>
          <w:p>
            <w:pPr>
              <w:pStyle w:val="4"/>
              <w:ind w:firstLine="480"/>
              <w:jc w:val="both"/>
            </w:pPr>
            <w:r>
              <w:rPr>
                <w:rFonts w:ascii="宋体" w:hAnsi="宋体" w:eastAsia="宋体" w:cs="宋体"/>
                <w:sz w:val="24"/>
              </w:rPr>
              <w:t>9.5角度要求：直角为90°，部件上下、左右直角对角线误差在3mm以内；</w:t>
            </w:r>
          </w:p>
          <w:p>
            <w:pPr>
              <w:pStyle w:val="4"/>
              <w:ind w:firstLine="480"/>
              <w:jc w:val="both"/>
            </w:pPr>
            <w:r>
              <w:rPr>
                <w:rFonts w:ascii="宋体" w:hAnsi="宋体" w:eastAsia="宋体" w:cs="宋体"/>
                <w:sz w:val="24"/>
              </w:rPr>
              <w:t>9.6墓材组合尺寸、角度必须按图加工，表面平整，高度一致，相同尺寸的工件必须一致，四个工作接面必须成90°角，上下左右必须对称，色泽要与墓型图纸及样品一致；</w:t>
            </w:r>
          </w:p>
          <w:p>
            <w:pPr>
              <w:pStyle w:val="4"/>
              <w:ind w:firstLine="480"/>
              <w:jc w:val="both"/>
            </w:pPr>
            <w:r>
              <w:rPr>
                <w:rFonts w:ascii="宋体" w:hAnsi="宋体" w:eastAsia="宋体" w:cs="宋体"/>
                <w:sz w:val="24"/>
              </w:rPr>
              <w:t>9.7倒边必须上下平行，大小宽窄一致，手感平滑，不得有沟痕感觉，倒边的大小要严格按要求倒边，一般边与磨面成45°角；</w:t>
            </w:r>
          </w:p>
          <w:p>
            <w:pPr>
              <w:pStyle w:val="4"/>
              <w:ind w:firstLine="480"/>
              <w:jc w:val="both"/>
            </w:pPr>
            <w:r>
              <w:rPr>
                <w:rFonts w:ascii="宋体" w:hAnsi="宋体" w:eastAsia="宋体" w:cs="宋体"/>
                <w:sz w:val="24"/>
              </w:rPr>
              <w:t>9.8磨面光滑平整，不能有凹凸不平现象和缺角，要充分磨出最佳光泽度，对角线和水平线要成一直线。磨面光泽度必须达到90°以上；</w:t>
            </w:r>
          </w:p>
          <w:p>
            <w:pPr>
              <w:pStyle w:val="4"/>
              <w:ind w:firstLine="480"/>
              <w:jc w:val="both"/>
            </w:pPr>
            <w:r>
              <w:rPr>
                <w:rFonts w:ascii="宋体" w:hAnsi="宋体" w:eastAsia="宋体" w:cs="宋体"/>
                <w:sz w:val="24"/>
              </w:rPr>
              <w:t>9.9严格按招标要求造型，加工表面平整，要求线条突出，棱角分明，弧度自然，主题感强，小件上下角度要相吻合，左右相对称；</w:t>
            </w:r>
          </w:p>
          <w:p>
            <w:pPr>
              <w:pStyle w:val="4"/>
              <w:ind w:firstLine="480"/>
              <w:jc w:val="both"/>
            </w:pPr>
            <w:r>
              <w:rPr>
                <w:rFonts w:ascii="宋体" w:hAnsi="宋体" w:eastAsia="宋体" w:cs="宋体"/>
                <w:sz w:val="24"/>
              </w:rPr>
              <w:t>9.10石材材质须按照招标人要求的技术参数上所标明的石材材质提供。</w:t>
            </w:r>
          </w:p>
        </w:tc>
      </w:tr>
    </w:tbl>
    <w:p>
      <w:pPr>
        <w:pStyle w:val="4"/>
        <w:ind w:firstLine="480"/>
        <w:outlineLvl w:val="2"/>
      </w:pPr>
      <w:r>
        <w:rPr>
          <w:b/>
          <w:sz w:val="28"/>
        </w:rPr>
        <w:t>3.4商务要求</w:t>
      </w:r>
    </w:p>
    <w:p>
      <w:pPr>
        <w:pStyle w:val="4"/>
        <w:ind w:firstLine="480"/>
        <w:outlineLvl w:val="3"/>
      </w:pPr>
      <w:r>
        <w:rPr>
          <w:b/>
          <w:sz w:val="24"/>
        </w:rPr>
        <w:t>3.4.1交货时间</w:t>
      </w:r>
    </w:p>
    <w:p>
      <w:pPr>
        <w:pStyle w:val="4"/>
      </w:pPr>
    </w:p>
    <w:p>
      <w:pPr>
        <w:pStyle w:val="4"/>
      </w:pPr>
    </w:p>
    <w:p>
      <w:pPr>
        <w:pStyle w:val="4"/>
      </w:pPr>
    </w:p>
    <w:p>
      <w:pPr>
        <w:pStyle w:val="4"/>
      </w:pPr>
      <w:r>
        <w:t>采购包1：</w:t>
      </w:r>
    </w:p>
    <w:p>
      <w:pPr>
        <w:pStyle w:val="4"/>
      </w:pPr>
      <w:r>
        <w:t>自合同签订之日起365日</w:t>
      </w:r>
    </w:p>
    <w:p>
      <w:pPr>
        <w:pStyle w:val="4"/>
        <w:ind w:firstLine="480"/>
        <w:outlineLvl w:val="3"/>
      </w:pPr>
      <w:r>
        <w:rPr>
          <w:b/>
          <w:sz w:val="24"/>
        </w:rPr>
        <w:t>3.4.2交货地点</w:t>
      </w:r>
    </w:p>
    <w:p>
      <w:pPr>
        <w:pStyle w:val="4"/>
      </w:pPr>
    </w:p>
    <w:p>
      <w:pPr>
        <w:pStyle w:val="4"/>
      </w:pPr>
    </w:p>
    <w:p>
      <w:pPr>
        <w:pStyle w:val="4"/>
      </w:pPr>
    </w:p>
    <w:p>
      <w:pPr>
        <w:pStyle w:val="4"/>
      </w:pPr>
      <w:r>
        <w:t>采购包1：</w:t>
      </w:r>
    </w:p>
    <w:p>
      <w:pPr>
        <w:pStyle w:val="4"/>
      </w:pPr>
      <w:r>
        <w:t>成都市殡仪馆磨盘山公墓</w:t>
      </w:r>
    </w:p>
    <w:p>
      <w:pPr>
        <w:pStyle w:val="4"/>
        <w:ind w:firstLine="480"/>
        <w:outlineLvl w:val="3"/>
      </w:pPr>
      <w:r>
        <w:rPr>
          <w:b/>
          <w:sz w:val="24"/>
        </w:rPr>
        <w:t>3.4.3支付方式</w:t>
      </w:r>
    </w:p>
    <w:p>
      <w:pPr>
        <w:pStyle w:val="4"/>
      </w:pPr>
    </w:p>
    <w:p>
      <w:pPr>
        <w:pStyle w:val="4"/>
      </w:pPr>
    </w:p>
    <w:p>
      <w:pPr>
        <w:pStyle w:val="4"/>
      </w:pPr>
    </w:p>
    <w:p>
      <w:pPr>
        <w:pStyle w:val="4"/>
      </w:pPr>
      <w:r>
        <w:t>采购包1：</w:t>
      </w:r>
    </w:p>
    <w:p>
      <w:pPr>
        <w:pStyle w:val="4"/>
      </w:pPr>
      <w:r>
        <w:t>一次付清</w:t>
      </w:r>
    </w:p>
    <w:p>
      <w:pPr>
        <w:pStyle w:val="4"/>
        <w:ind w:firstLine="480"/>
        <w:outlineLvl w:val="3"/>
      </w:pPr>
      <w:r>
        <w:rPr>
          <w:b/>
          <w:sz w:val="24"/>
        </w:rPr>
        <w:t>3.4.4支付约定</w:t>
      </w:r>
    </w:p>
    <w:p>
      <w:pPr>
        <w:pStyle w:val="4"/>
      </w:pPr>
    </w:p>
    <w:p>
      <w:pPr>
        <w:pStyle w:val="4"/>
      </w:pPr>
    </w:p>
    <w:p>
      <w:pPr>
        <w:pStyle w:val="4"/>
      </w:pPr>
    </w:p>
    <w:p>
      <w:pPr>
        <w:pStyle w:val="4"/>
      </w:pPr>
      <w:r>
        <w:t>采购包1：付款条件说明：验收合格后，招标人在收到中标人开具的合法有效完税发票后（无特殊情况下），达到付款条件起10日，支付合同总金额的100.00%。</w:t>
      </w:r>
    </w:p>
    <w:p>
      <w:pPr>
        <w:pStyle w:val="4"/>
        <w:ind w:firstLine="480"/>
        <w:outlineLvl w:val="3"/>
      </w:pPr>
      <w:r>
        <w:rPr>
          <w:b/>
          <w:sz w:val="24"/>
        </w:rPr>
        <w:t>3.4.5验收标准和方法</w:t>
      </w:r>
    </w:p>
    <w:p>
      <w:pPr>
        <w:pStyle w:val="4"/>
      </w:pPr>
    </w:p>
    <w:p>
      <w:pPr>
        <w:pStyle w:val="4"/>
      </w:pPr>
    </w:p>
    <w:p>
      <w:pPr>
        <w:pStyle w:val="4"/>
      </w:pPr>
    </w:p>
    <w:p>
      <w:pPr>
        <w:pStyle w:val="4"/>
      </w:pPr>
      <w:r>
        <w:t>采购包1：</w:t>
      </w:r>
    </w:p>
    <w:p>
      <w:pPr>
        <w:pStyle w:val="4"/>
      </w:pPr>
      <w:r>
        <w:t>严格按照《中华人民共和国政府采购法》《中华人民共和国政府采购法实施条例》和《财政部关于进一步加强政府采购需求和履约验收管理的指导意见》（财库〔2016〕205号）的要求进行验收。</w:t>
      </w:r>
    </w:p>
    <w:p>
      <w:pPr>
        <w:pStyle w:val="4"/>
        <w:ind w:firstLine="480"/>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ind w:firstLine="480"/>
        <w:outlineLvl w:val="3"/>
      </w:pPr>
      <w:r>
        <w:rPr>
          <w:b/>
          <w:sz w:val="24"/>
        </w:rPr>
        <w:t>3.4.7质量保修范围和保修期</w:t>
      </w:r>
    </w:p>
    <w:p>
      <w:pPr>
        <w:pStyle w:val="4"/>
      </w:pPr>
    </w:p>
    <w:p>
      <w:pPr>
        <w:pStyle w:val="4"/>
      </w:pPr>
    </w:p>
    <w:p>
      <w:pPr>
        <w:pStyle w:val="4"/>
      </w:pPr>
    </w:p>
    <w:p>
      <w:pPr>
        <w:pStyle w:val="4"/>
      </w:pPr>
      <w:r>
        <w:t>采购包1：</w:t>
      </w:r>
    </w:p>
    <w:p>
      <w:pPr>
        <w:pStyle w:val="4"/>
      </w:pPr>
      <w:r>
        <w:t>（1）质保期为5年。质保期自成品墓及零星换材验收合格之日算起。如墓材出现倒塌、裂缝、断裂、出现铁锈、大面积变色等质量问题(不可抗力因素例外)，中标人需承诺5年之内包换、包修、包退。 （2）中标人必须积极履行售后服务响应，质保期内出现质量问题，中标人在接到招标人通知后1小时内响应到场，24小时内完成维修或更换，并承担修理调换的费用。 （3）中标人必须具有紧急服务能力，遇紧急需处理的事件(包括但不限于因故出现倒塌、断裂等)必须在30分钟之内有维修工作人员到场。 （4）中标人须指派专人负责与招标人联系售后服务事宜。若中标人变更联系人，应在变更前2日内书面通知招标人，否则由此造成的后果和法律责任由中标人自行承担。</w:t>
      </w:r>
    </w:p>
    <w:p>
      <w:pPr>
        <w:pStyle w:val="4"/>
        <w:ind w:firstLine="480"/>
        <w:outlineLvl w:val="3"/>
      </w:pPr>
      <w:r>
        <w:rPr>
          <w:b/>
          <w:sz w:val="24"/>
        </w:rPr>
        <w:t>3.4.8违约责任与解决争议的方法</w:t>
      </w:r>
    </w:p>
    <w:p>
      <w:pPr>
        <w:pStyle w:val="4"/>
      </w:pPr>
    </w:p>
    <w:p>
      <w:pPr>
        <w:pStyle w:val="4"/>
      </w:pPr>
    </w:p>
    <w:p>
      <w:pPr>
        <w:pStyle w:val="4"/>
      </w:pPr>
    </w:p>
    <w:p>
      <w:pPr>
        <w:pStyle w:val="4"/>
      </w:pPr>
      <w:r>
        <w:t>采购包1：</w:t>
      </w:r>
    </w:p>
    <w:p>
      <w:pPr>
        <w:pStyle w:val="4"/>
      </w:pPr>
      <w:r>
        <w:t>合同约定内容为准</w:t>
      </w:r>
    </w:p>
    <w:p>
      <w:pPr>
        <w:pStyle w:val="4"/>
        <w:ind w:firstLine="480"/>
        <w:jc w:val="left"/>
        <w:outlineLvl w:val="2"/>
      </w:pPr>
      <w:r>
        <w:rPr>
          <w:b/>
          <w:sz w:val="28"/>
        </w:rPr>
        <w:t>3.5其他要求</w:t>
      </w:r>
    </w:p>
    <w:p>
      <w:pPr>
        <w:pStyle w:val="4"/>
      </w:pPr>
    </w:p>
    <w:p>
      <w:pPr>
        <w:pStyle w:val="4"/>
      </w:pPr>
    </w:p>
    <w:p>
      <w:pPr>
        <w:pStyle w:val="4"/>
      </w:pPr>
      <w:r>
        <w:t>1、交货时间 1.1样品墓交货时间：中标人在双方签订墓材采购合同且招标人选定墓型后30日内，必须按照招标人所选的成品墓型提交整套样品墓至招标人处，作为验收样品封存，并与招标人签订具体墓材采购订单。在规定时间内未按要求提供的，视为自动放弃中标资格。招标人选取的具体墓型样式等在分批采购订单中具体约定。 1.2成品墓交货时间：具体墓材采购订单签订后150日内，中标人必须将招标人采购成品墓运至成都市殡仪馆磨盘山公墓安装完毕并交付招标人。 1.3零星换材交货时间为：收到招标人书面通知后50日内，中标人必须将招标人采购零星换材运至成都市殡仪馆磨盘山公墓交付招标人。 2、报价要求： 2.1本项目采用下浮率报价，投标人经综合测算后，统一报单价限价的下浮率。（所有层级优惠比例一致）。中标单价为单价限价×（1-下浮率）。（下浮比率≧100%或者下浮比率≦0，作为无效响应）； 2.2投标人的报价应包括但不限于材料成本、制造、雕刻、包装、运输、安装、税费及招标文件规定的各项费用。 3、付款方式和条件： 3.1成品墓付款方式为：验收合格后，招标人在收到中标人开具的合法有效完税发票后10个工作日内（无特殊情况下），将资金支付到合同约定的中标人账户。 3.2零星换材付款方式：待服务期满验收合格后，招标人在收到中标人开具的合法有效完税发票后10个工作日内（无特殊情况下），将资金支付到合同约定的中标人账户。 3.3中标人须向招标人出具合法有效完整的完税发票及凭证资料进行支付结算。否则招标人有权延期支付相应款项，不承担任何法律责任。 4、在履行本合同、履行质保及售后服务过程中，若发生人身损害（包括本人或他人）、财产损失，由中标人承担全部赔偿责任；若招标人因此被确认承担赔偿责任的，在赔偿范围内有权向中标人索偿。（提供承诺函原件加盖公章）。 5、特殊零星换材采购：客户特殊需求且招标文件未包含的由招标人与中标人双方当面议定价格并签字确认。</w:t>
      </w:r>
    </w:p>
    <w:p>
      <w:pPr>
        <w:pStyle w:val="4"/>
      </w:pPr>
    </w:p>
    <w:p>
      <w:pPr>
        <w:pStyle w:val="4"/>
        <w:ind w:firstLine="480"/>
      </w:pP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OGJiZDFiZDRjYmJjY2FlZTMyYmNhMzNmMGZmYzMifQ=="/>
  </w:docVars>
  <w:rsids>
    <w:rsidRoot w:val="4C703D1A"/>
    <w:rsid w:val="4C703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2023-10-19T09:29:00Z</dcterms:created>
  <dc:creator>Administrator</dc:creator>
  <cp:lastModifiedBy>Administrator</cp:lastModifiedBy>
  <dcterms:modified xsi:type="dcterms:W3CDTF">2023-10-19T09:30:09Z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9F7832F363C844898747D1A00BB65164_11</vt:lpwstr>
  </property>
</Properties>
</file>