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napToGrid w:val="0"/>
        <w:spacing w:before="0" w:beforeLines="-2147483648" w:after="0" w:afterLines="-2147483648" w:line="360" w:lineRule="auto"/>
        <w:ind w:firstLine="883" w:firstLineChars="200"/>
        <w:jc w:val="center"/>
        <w:outlineLvl w:val="9"/>
        <w:rPr>
          <w:rFonts w:ascii="仿宋" w:hAnsi="仿宋" w:eastAsia="仿宋" w:cs="仿宋"/>
          <w:b/>
          <w:bCs/>
          <w:color w:val="000000"/>
          <w:kern w:val="0"/>
          <w:sz w:val="32"/>
          <w:szCs w:val="26"/>
          <w:highlight w:val="none"/>
        </w:rPr>
      </w:pPr>
      <w:bookmarkStart w:id="0" w:name="_Toc12742"/>
      <w:bookmarkStart w:id="1" w:name="_Toc11602"/>
      <w:bookmarkStart w:id="2" w:name="_Toc9076"/>
      <w:bookmarkStart w:id="3" w:name="_Toc11399"/>
      <w:bookmarkStart w:id="4" w:name="_Toc24987044"/>
      <w:bookmarkStart w:id="5" w:name="_Toc470509909"/>
      <w:bookmarkStart w:id="26" w:name="_GoBack"/>
      <w:bookmarkEnd w:id="26"/>
      <w:r>
        <w:rPr>
          <w:rFonts w:hint="eastAsia" w:ascii="仿宋" w:hAnsi="仿宋" w:eastAsia="仿宋" w:cs="仿宋"/>
          <w:b/>
          <w:bCs/>
          <w:color w:val="000000"/>
          <w:kern w:val="0"/>
          <w:sz w:val="44"/>
          <w:szCs w:val="28"/>
          <w:highlight w:val="none"/>
        </w:rPr>
        <w:t>采购项目技术、服务、政府采购合同内容条款</w:t>
      </w:r>
      <w:bookmarkEnd w:id="0"/>
      <w:bookmarkEnd w:id="1"/>
      <w:bookmarkEnd w:id="2"/>
      <w:bookmarkEnd w:id="3"/>
      <w:bookmarkStart w:id="6" w:name="_Toc28139"/>
      <w:bookmarkStart w:id="7" w:name="_Toc21791"/>
      <w:bookmarkStart w:id="8" w:name="_Toc3341"/>
      <w:bookmarkStart w:id="9" w:name="_Toc29641"/>
      <w:r>
        <w:rPr>
          <w:rFonts w:hint="eastAsia" w:ascii="仿宋" w:hAnsi="仿宋" w:eastAsia="仿宋" w:cs="仿宋"/>
          <w:b/>
          <w:bCs/>
          <w:color w:val="000000"/>
          <w:kern w:val="0"/>
          <w:sz w:val="44"/>
          <w:szCs w:val="28"/>
          <w:highlight w:val="none"/>
        </w:rPr>
        <w:t>及其他商务要求</w:t>
      </w:r>
      <w:bookmarkEnd w:id="4"/>
      <w:bookmarkEnd w:id="5"/>
      <w:bookmarkEnd w:id="6"/>
      <w:bookmarkEnd w:id="7"/>
      <w:bookmarkEnd w:id="8"/>
      <w:bookmarkEnd w:id="9"/>
      <w:bookmarkStart w:id="10" w:name="_Toc17679"/>
      <w:bookmarkStart w:id="11" w:name="_Toc410636539"/>
      <w:bookmarkStart w:id="12" w:name="_Toc28481"/>
      <w:bookmarkStart w:id="13" w:name="_Toc15866"/>
      <w:bookmarkStart w:id="14" w:name="_Toc446444971"/>
      <w:bookmarkStart w:id="15" w:name="_Toc9354"/>
    </w:p>
    <w:bookmarkEnd w:id="10"/>
    <w:bookmarkEnd w:id="11"/>
    <w:bookmarkEnd w:id="12"/>
    <w:bookmarkEnd w:id="13"/>
    <w:bookmarkEnd w:id="14"/>
    <w:bookmarkEnd w:id="15"/>
    <w:p>
      <w:pPr>
        <w:keepNext/>
        <w:keepLines/>
        <w:widowControl/>
        <w:spacing w:before="326" w:beforeLines="100" w:after="326" w:afterLines="100" w:line="360" w:lineRule="auto"/>
        <w:jc w:val="left"/>
        <w:outlineLvl w:val="1"/>
        <w:rPr>
          <w:rFonts w:ascii="仿宋" w:hAnsi="仿宋" w:eastAsia="仿宋" w:cs="仿宋"/>
          <w:b/>
          <w:bCs/>
          <w:color w:val="000000"/>
          <w:kern w:val="0"/>
          <w:sz w:val="32"/>
          <w:szCs w:val="26"/>
          <w:highlight w:val="none"/>
        </w:rPr>
      </w:pPr>
      <w:r>
        <w:rPr>
          <w:rFonts w:hint="eastAsia" w:ascii="仿宋" w:hAnsi="仿宋" w:eastAsia="仿宋" w:cs="仿宋"/>
          <w:b/>
          <w:bCs/>
          <w:color w:val="000000"/>
          <w:kern w:val="0"/>
          <w:sz w:val="32"/>
          <w:szCs w:val="26"/>
          <w:highlight w:val="none"/>
        </w:rPr>
        <w:t>一、项目概况</w:t>
      </w:r>
    </w:p>
    <w:p>
      <w:pPr>
        <w:widowControl w:val="0"/>
        <w:numPr>
          <w:ilvl w:val="-1"/>
          <w:numId w:val="0"/>
        </w:numPr>
        <w:spacing w:line="360" w:lineRule="auto"/>
        <w:ind w:firstLine="480" w:firstLineChars="200"/>
        <w:contextualSpacing w:val="0"/>
        <w:jc w:val="both"/>
        <w:rPr>
          <w:rFonts w:hint="eastAsia" w:ascii="仿宋" w:hAnsi="仿宋" w:eastAsia="仿宋" w:cs="仿宋"/>
          <w:color w:val="000000"/>
          <w:kern w:val="2"/>
          <w:sz w:val="24"/>
          <w:szCs w:val="24"/>
          <w:highlight w:val="none"/>
        </w:rPr>
      </w:pPr>
      <w:r>
        <w:rPr>
          <w:rFonts w:hint="eastAsia" w:ascii="仿宋" w:hAnsi="仿宋" w:eastAsia="仿宋" w:cs="仿宋"/>
          <w:color w:val="000000"/>
          <w:sz w:val="24"/>
          <w:szCs w:val="24"/>
          <w:highlight w:val="none"/>
        </w:rPr>
        <w:t>全面落实党中央，国务院，省委、省政府，市委、市政府，区委、区政府关于安全生产部署要求，认真学习《湖南长沙“4.29”特别重大居民自建房倒塌事故调查报告》，深刻汲取教训，</w:t>
      </w:r>
      <w:r>
        <w:rPr>
          <w:rFonts w:hint="eastAsia" w:ascii="仿宋" w:hAnsi="仿宋" w:eastAsia="仿宋" w:cs="仿宋"/>
          <w:color w:val="000000"/>
          <w:sz w:val="24"/>
          <w:szCs w:val="24"/>
          <w:highlight w:val="none"/>
          <w:lang w:eastAsia="zh-CN"/>
        </w:rPr>
        <w:t>对全区的</w:t>
      </w:r>
      <w:r>
        <w:rPr>
          <w:rFonts w:hint="eastAsia" w:ascii="仿宋" w:hAnsi="仿宋" w:eastAsia="仿宋" w:cs="仿宋"/>
          <w:color w:val="000000"/>
          <w:sz w:val="24"/>
          <w:szCs w:val="24"/>
          <w:highlight w:val="none"/>
        </w:rPr>
        <w:t>自建房</w:t>
      </w:r>
      <w:r>
        <w:rPr>
          <w:rFonts w:hint="eastAsia" w:ascii="仿宋" w:hAnsi="仿宋" w:eastAsia="仿宋" w:cs="仿宋"/>
          <w:color w:val="000000"/>
          <w:sz w:val="24"/>
          <w:szCs w:val="24"/>
          <w:highlight w:val="none"/>
          <w:lang w:eastAsia="zh-CN"/>
        </w:rPr>
        <w:t>及</w:t>
      </w:r>
      <w:r>
        <w:rPr>
          <w:rFonts w:hint="eastAsia" w:ascii="仿宋" w:hAnsi="仿宋" w:eastAsia="仿宋" w:cs="仿宋"/>
          <w:color w:val="000000"/>
          <w:sz w:val="24"/>
          <w:szCs w:val="24"/>
          <w:highlight w:val="none"/>
          <w:lang w:val="en-US" w:eastAsia="zh-CN"/>
        </w:rPr>
        <w:t>C、D级危房进行</w:t>
      </w:r>
      <w:r>
        <w:rPr>
          <w:rFonts w:hint="eastAsia" w:ascii="仿宋" w:hAnsi="仿宋" w:eastAsia="仿宋" w:cs="仿宋"/>
          <w:color w:val="000000"/>
          <w:sz w:val="24"/>
          <w:szCs w:val="24"/>
          <w:highlight w:val="none"/>
        </w:rPr>
        <w:t>全覆盖安全巡查工作，堵住管理漏洞，消除监管盲区，</w:t>
      </w:r>
      <w:r>
        <w:rPr>
          <w:rFonts w:hint="eastAsia" w:ascii="仿宋" w:hAnsi="仿宋" w:eastAsia="仿宋" w:cs="仿宋"/>
          <w:color w:val="000000"/>
          <w:sz w:val="24"/>
          <w:szCs w:val="24"/>
          <w:highlight w:val="none"/>
          <w:lang w:eastAsia="zh-CN"/>
        </w:rPr>
        <w:t>及时发现问题、处置问题，</w:t>
      </w:r>
      <w:r>
        <w:rPr>
          <w:rFonts w:hint="eastAsia" w:ascii="仿宋" w:hAnsi="仿宋" w:eastAsia="仿宋" w:cs="仿宋"/>
          <w:color w:val="000000"/>
          <w:sz w:val="24"/>
          <w:szCs w:val="24"/>
          <w:highlight w:val="none"/>
        </w:rPr>
        <w:t>建立健全安全监管长效机制，坚决遏制房屋建筑重特大事故发生，坚决落实“人不进危房、危房不进人”的刚性要求，切实保障人民群众生命财产安全。</w:t>
      </w:r>
    </w:p>
    <w:p>
      <w:pPr>
        <w:keepNext/>
        <w:keepLines/>
        <w:widowControl/>
        <w:spacing w:before="326" w:beforeLines="100" w:after="326" w:afterLines="100" w:line="360" w:lineRule="auto"/>
        <w:jc w:val="left"/>
        <w:outlineLvl w:val="1"/>
        <w:rPr>
          <w:rFonts w:ascii="仿宋" w:hAnsi="仿宋" w:eastAsia="仿宋" w:cs="仿宋"/>
          <w:b/>
          <w:bCs/>
          <w:color w:val="000000"/>
          <w:kern w:val="0"/>
          <w:sz w:val="32"/>
          <w:szCs w:val="26"/>
          <w:highlight w:val="none"/>
        </w:rPr>
      </w:pPr>
      <w:bookmarkStart w:id="16" w:name="_Toc13697"/>
      <w:bookmarkStart w:id="17" w:name="_Toc16173"/>
      <w:bookmarkStart w:id="18" w:name="_Toc446444972"/>
      <w:bookmarkStart w:id="19" w:name="_Toc8390"/>
      <w:bookmarkStart w:id="20" w:name="_Toc19527"/>
      <w:r>
        <w:rPr>
          <w:rFonts w:hint="eastAsia" w:ascii="仿宋" w:hAnsi="仿宋" w:eastAsia="仿宋" w:cs="仿宋"/>
          <w:b/>
          <w:bCs/>
          <w:color w:val="000000"/>
          <w:kern w:val="0"/>
          <w:sz w:val="32"/>
          <w:szCs w:val="26"/>
          <w:highlight w:val="none"/>
        </w:rPr>
        <w:t>二、</w:t>
      </w:r>
      <w:bookmarkEnd w:id="16"/>
      <w:bookmarkEnd w:id="17"/>
      <w:bookmarkEnd w:id="18"/>
      <w:bookmarkEnd w:id="19"/>
      <w:bookmarkEnd w:id="20"/>
      <w:bookmarkStart w:id="21" w:name="_Toc410636540"/>
      <w:r>
        <w:rPr>
          <w:rFonts w:hint="eastAsia" w:ascii="仿宋" w:hAnsi="仿宋" w:eastAsia="仿宋" w:cs="仿宋"/>
          <w:b/>
          <w:bCs/>
          <w:color w:val="000000"/>
          <w:kern w:val="0"/>
          <w:sz w:val="32"/>
          <w:szCs w:val="26"/>
          <w:highlight w:val="none"/>
        </w:rPr>
        <w:t>服务要求</w:t>
      </w:r>
    </w:p>
    <w:bookmarkEnd w:id="21"/>
    <w:p>
      <w:pPr>
        <w:widowControl/>
        <w:numPr>
          <w:ilvl w:val="0"/>
          <w:numId w:val="1"/>
        </w:numPr>
        <w:spacing w:line="360" w:lineRule="auto"/>
        <w:ind w:firstLine="480" w:firstLineChars="200"/>
        <w:contextualSpacing/>
        <w:jc w:val="left"/>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rPr>
        <w:t>★</w:t>
      </w:r>
      <w:r>
        <w:rPr>
          <w:rFonts w:hint="eastAsia" w:ascii="仿宋" w:hAnsi="仿宋" w:eastAsia="仿宋" w:cs="仿宋"/>
          <w:color w:val="000000"/>
          <w:kern w:val="0"/>
          <w:sz w:val="24"/>
          <w:highlight w:val="none"/>
          <w:lang w:val="en-US" w:eastAsia="zh-CN"/>
        </w:rPr>
        <w:t>工作内容及进度安排</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每月对武侯区已排查（含新增）高风险自建房、D级危险自建房、既有建筑D级危房进行全覆盖专业安全巡查，并形成安全巡查报告（包括但不限于每栋房屋结构安全现状情况，附现场照片）、安全隐患技术分析意见（含专业仪器检测数据）、安全隐患预警及整治意见。每月第五个工作日前，提交上月的前述全部资料，形式包括但不限于数据、表格、报告、意见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每季度对武侯区已排查（含新增）的中风险自建房、C级危险自建房、既有建筑C级危房进行全覆盖专业安全巡查，并形成安全巡查报告（包括但不限于每栋房屋结构安全现状情况，附现场照片）、安全隐患技术分析意见（含专业仪器检测数据）、安全隐患预警及整治意见。每季度开始的第五个工作日前，提交上季度的前述全部资料，形式包括但不限于数据、表格、报告、意见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全年度对武侯区已排查（含新增）暂无风险自建房、低风险自建房进行全覆盖专业安全巡查，半年巡查率不得低于50%，并形成安全巡查报告（包括但不限于每栋房屋结构安全现状情况，附现场照片）、安全隐患技术分析意见（含专业仪器检测数据）、安全隐患预警及整治意见。全年度最后一个月内提交当年度的前述全部资料，形式包括但不限于数据、表格、报告、意见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每季度组织一次针对全区街道办事处、社区、网格员的房屋安全业务知识培训会，并根据实际工作需要提供技术咨询服务。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根据招标人的要求，完成全区房屋临时应急安全评估，并出具应急安全处置意见。同时通过踏勘鉴别、资料收集、实体检测等方式，配合招标人完成危险房屋结构安全治理相关工作。</w:t>
      </w:r>
    </w:p>
    <w:p>
      <w:pPr>
        <w:keepNext w:val="0"/>
        <w:keepLines w:val="0"/>
        <w:pageBreakBefore w:val="0"/>
        <w:widowControl/>
        <w:numPr>
          <w:ilvl w:val="0"/>
          <w:numId w:val="2"/>
        </w:numPr>
        <w:kinsoku/>
        <w:wordWrap/>
        <w:overflowPunct/>
        <w:topLinePunct w:val="0"/>
        <w:autoSpaceDE/>
        <w:autoSpaceDN/>
        <w:bidi w:val="0"/>
        <w:adjustRightInd/>
        <w:snapToGrid/>
        <w:spacing w:after="120" w:line="360" w:lineRule="auto"/>
        <w:ind w:left="0" w:leftChars="0" w:firstLine="480" w:firstLineChars="200"/>
        <w:contextualSpacing/>
        <w:jc w:val="left"/>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完成因地质自然灾害后（包括但不限于大风暴雨，地震，泥石流、火灾等）引发的房屋结构安全隐患的现场勘查和应急评估工作，并出具相应报告。</w:t>
      </w:r>
    </w:p>
    <w:p>
      <w:pPr>
        <w:widowControl/>
        <w:numPr>
          <w:ilvl w:val="0"/>
          <w:numId w:val="1"/>
        </w:numPr>
        <w:spacing w:line="360" w:lineRule="auto"/>
        <w:ind w:firstLine="480" w:firstLineChars="200"/>
        <w:contextualSpacing/>
        <w:jc w:val="left"/>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rPr>
        <w:t>★</w:t>
      </w:r>
      <w:r>
        <w:rPr>
          <w:rFonts w:hint="eastAsia" w:ascii="仿宋" w:hAnsi="仿宋" w:eastAsia="仿宋" w:cs="仿宋"/>
          <w:color w:val="000000"/>
          <w:kern w:val="0"/>
          <w:sz w:val="24"/>
          <w:highlight w:val="none"/>
          <w:lang w:val="en-US" w:eastAsia="zh-CN"/>
        </w:rPr>
        <w:t>技术规范</w:t>
      </w:r>
    </w:p>
    <w:p>
      <w:pPr>
        <w:spacing w:line="360" w:lineRule="auto"/>
        <w:ind w:firstLine="480" w:firstLineChars="200"/>
        <w:rPr>
          <w:rFonts w:hint="eastAsia" w:ascii="仿宋" w:hAnsi="仿宋" w:eastAsia="仿宋" w:cs="仿宋"/>
          <w:b/>
          <w:bCs/>
          <w:iCs/>
          <w:kern w:val="0"/>
          <w:sz w:val="24"/>
          <w:highlight w:val="none"/>
          <w:lang w:val="en-US" w:eastAsia="zh-CN"/>
        </w:rPr>
      </w:pPr>
      <w:r>
        <w:rPr>
          <w:rFonts w:hint="eastAsia" w:ascii="仿宋" w:hAnsi="仿宋" w:eastAsia="仿宋" w:cs="仿宋"/>
          <w:sz w:val="24"/>
          <w:szCs w:val="24"/>
          <w:highlight w:val="none"/>
        </w:rPr>
        <w:t>参照</w:t>
      </w:r>
      <w:r>
        <w:rPr>
          <w:rFonts w:hint="eastAsia" w:ascii="仿宋" w:hAnsi="仿宋" w:eastAsia="仿宋" w:cs="仿宋"/>
          <w:sz w:val="24"/>
          <w:szCs w:val="24"/>
          <w:highlight w:val="none"/>
          <w:lang w:eastAsia="zh-CN"/>
        </w:rPr>
        <w:t>以下（包括但不限于）</w:t>
      </w:r>
      <w:r>
        <w:rPr>
          <w:rFonts w:hint="eastAsia" w:ascii="仿宋" w:hAnsi="仿宋" w:eastAsia="仿宋" w:cs="仿宋"/>
          <w:sz w:val="24"/>
          <w:szCs w:val="24"/>
          <w:highlight w:val="none"/>
        </w:rPr>
        <w:t>《建筑结构检测技术标准》 GB/T 50344-2019、《建筑结构荷载规范》 GB 50009-2010、《工程结构通用规范》 GB55001-2021、《砌体结构设计规范》 GB 50003-2011、《砌体工程现场检测技术标准》 GB50315-2011、《自建房结构安全排查技术要点（暂行）》等国家标准，对房屋地基基础、上部结构、承重结构、主体部位进行安全巡查检查。</w:t>
      </w:r>
    </w:p>
    <w:p>
      <w:pPr>
        <w:numPr>
          <w:ilvl w:val="0"/>
          <w:numId w:val="1"/>
        </w:numPr>
        <w:spacing w:line="360" w:lineRule="auto"/>
        <w:ind w:firstLine="482" w:firstLineChars="200"/>
        <w:rPr>
          <w:rFonts w:hint="eastAsia" w:ascii="仿宋" w:hAnsi="仿宋" w:eastAsia="仿宋" w:cs="仿宋"/>
          <w:b/>
          <w:bCs/>
          <w:iCs/>
          <w:kern w:val="0"/>
          <w:sz w:val="24"/>
          <w:highlight w:val="none"/>
        </w:rPr>
      </w:pPr>
      <w:r>
        <w:rPr>
          <w:rFonts w:hint="eastAsia" w:ascii="仿宋" w:hAnsi="仿宋" w:eastAsia="仿宋" w:cs="仿宋"/>
          <w:b/>
          <w:bCs/>
          <w:iCs/>
          <w:kern w:val="0"/>
          <w:sz w:val="24"/>
          <w:highlight w:val="none"/>
          <w:lang w:val="en-US" w:eastAsia="zh-CN"/>
        </w:rPr>
        <w:t>人员要求</w:t>
      </w:r>
    </w:p>
    <w:p>
      <w:pPr>
        <w:numPr>
          <w:ilvl w:val="0"/>
          <w:numId w:val="3"/>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0"/>
          <w:sz w:val="24"/>
          <w:highlight w:val="none"/>
        </w:rPr>
        <w:t>★</w:t>
      </w:r>
      <w:r>
        <w:rPr>
          <w:rFonts w:hint="eastAsia" w:ascii="仿宋" w:hAnsi="仿宋" w:eastAsia="仿宋" w:cs="仿宋"/>
          <w:kern w:val="2"/>
          <w:sz w:val="24"/>
          <w:szCs w:val="24"/>
          <w:highlight w:val="none"/>
          <w:lang w:val="en-US" w:eastAsia="zh-CN" w:bidi="ar-SA"/>
        </w:rPr>
        <w:t>项目负责人资格要求：具有结构类专业高级及以上工程师或注册结构工程师资格，并提供相关证书扫描件或复印件加盖投标人公章；</w:t>
      </w:r>
    </w:p>
    <w:p>
      <w:pPr>
        <w:widowControl/>
        <w:numPr>
          <w:ilvl w:val="0"/>
          <w:numId w:val="3"/>
        </w:numPr>
        <w:spacing w:after="120" w:line="360" w:lineRule="auto"/>
        <w:ind w:firstLine="480" w:firstLineChars="200"/>
        <w:contextualSpacing/>
        <w:jc w:val="left"/>
        <w:rPr>
          <w:rFonts w:ascii="Calibri" w:hAnsi="Calibri" w:eastAsia="宋体" w:cs="Times New Roman"/>
          <w:kern w:val="2"/>
          <w:sz w:val="21"/>
          <w:szCs w:val="24"/>
          <w:highlight w:val="none"/>
          <w:lang w:val="en-US" w:eastAsia="zh-CN" w:bidi="ar-SA"/>
        </w:rPr>
      </w:pPr>
      <w:r>
        <w:rPr>
          <w:rFonts w:hint="eastAsia" w:ascii="仿宋" w:hAnsi="仿宋" w:eastAsia="仿宋" w:cs="仿宋"/>
          <w:kern w:val="2"/>
          <w:sz w:val="24"/>
          <w:szCs w:val="24"/>
          <w:highlight w:val="none"/>
          <w:lang w:val="en-US" w:eastAsia="zh-CN" w:bidi="ar-SA"/>
        </w:rPr>
        <w:t>其他人员要求：投标人根据项目实际需求进行配置。在合同履行过程中，招标人有权根据项目实际进度要求投标人按需配置相应人员，投标人不得拒绝。</w:t>
      </w:r>
    </w:p>
    <w:p>
      <w:pPr>
        <w:numPr>
          <w:ilvl w:val="0"/>
          <w:numId w:val="1"/>
        </w:numPr>
        <w:spacing w:line="360" w:lineRule="auto"/>
        <w:ind w:firstLine="482" w:firstLineChars="200"/>
        <w:rPr>
          <w:rFonts w:hint="default" w:ascii="仿宋" w:hAnsi="仿宋" w:eastAsia="仿宋" w:cs="仿宋"/>
          <w:b/>
          <w:bCs/>
          <w:iCs/>
          <w:kern w:val="0"/>
          <w:sz w:val="24"/>
          <w:highlight w:val="none"/>
          <w:lang w:val="en-US" w:eastAsia="zh-CN"/>
        </w:rPr>
      </w:pPr>
      <w:r>
        <w:rPr>
          <w:rFonts w:hint="eastAsia" w:ascii="仿宋" w:hAnsi="仿宋" w:eastAsia="仿宋" w:cs="仿宋"/>
          <w:b/>
          <w:bCs/>
          <w:iCs/>
          <w:kern w:val="0"/>
          <w:sz w:val="24"/>
          <w:highlight w:val="none"/>
          <w:lang w:val="en-US" w:eastAsia="zh-CN"/>
        </w:rPr>
        <w:t>设备要求</w:t>
      </w:r>
    </w:p>
    <w:p>
      <w:pPr>
        <w:numPr>
          <w:ilvl w:val="0"/>
          <w:numId w:val="0"/>
        </w:numPr>
        <w:spacing w:line="360" w:lineRule="auto"/>
        <w:ind w:firstLine="480" w:firstLineChars="200"/>
        <w:rPr>
          <w:rFonts w:ascii="Calibri" w:hAnsi="Calibri" w:eastAsia="宋体" w:cs="Times New Roman"/>
          <w:highlight w:val="none"/>
        </w:rPr>
      </w:pPr>
      <w:r>
        <w:rPr>
          <w:rFonts w:hint="eastAsia" w:ascii="仿宋" w:hAnsi="仿宋" w:eastAsia="仿宋" w:cs="仿宋"/>
          <w:kern w:val="2"/>
          <w:sz w:val="24"/>
          <w:szCs w:val="24"/>
          <w:highlight w:val="none"/>
          <w:lang w:val="en-US" w:eastAsia="zh-CN" w:bidi="ar-SA"/>
        </w:rPr>
        <w:t>投标人需具有以下设备（包括但不限于）：混凝土超声波检测仪、全站仪、混凝土碳化深度测量仪、贯入式砂浆强度检测仪、激光测距仪、混凝土回弹仪、砖回弹仪、砂浆回弹仪、钢筋扫描仪超声波测厚仪、单砖原位双剪仪、原位单剪仪、原位轴压仪、砂浆点荷仪等设备。</w:t>
      </w:r>
    </w:p>
    <w:p>
      <w:pPr>
        <w:keepNext/>
        <w:keepLines/>
        <w:widowControl/>
        <w:spacing w:before="312" w:beforeLines="100" w:after="312" w:afterLines="100" w:line="360" w:lineRule="auto"/>
        <w:jc w:val="left"/>
        <w:outlineLvl w:val="1"/>
        <w:rPr>
          <w:rFonts w:hint="eastAsia" w:ascii="仿宋" w:hAnsi="仿宋" w:eastAsia="仿宋" w:cs="仿宋"/>
          <w:sz w:val="28"/>
          <w:szCs w:val="28"/>
          <w:highlight w:val="none"/>
        </w:rPr>
      </w:pPr>
      <w:bookmarkStart w:id="22" w:name="_Toc8752"/>
      <w:bookmarkStart w:id="23" w:name="_Toc20696"/>
      <w:bookmarkStart w:id="24" w:name="_Toc26047"/>
      <w:bookmarkStart w:id="25" w:name="_Toc2557"/>
      <w:r>
        <w:rPr>
          <w:rFonts w:hint="eastAsia" w:ascii="仿宋" w:hAnsi="仿宋" w:eastAsia="仿宋" w:cs="仿宋"/>
          <w:b/>
          <w:bCs/>
          <w:kern w:val="0"/>
          <w:sz w:val="32"/>
          <w:szCs w:val="26"/>
          <w:highlight w:val="none"/>
        </w:rPr>
        <w:t>三、商务及其他要求</w:t>
      </w:r>
      <w:bookmarkEnd w:id="22"/>
      <w:bookmarkEnd w:id="23"/>
      <w:bookmarkEnd w:id="24"/>
      <w:bookmarkEnd w:id="25"/>
    </w:p>
    <w:p>
      <w:pPr>
        <w:widowControl/>
        <w:spacing w:after="120" w:line="360" w:lineRule="auto"/>
        <w:ind w:firstLine="441" w:firstLineChars="183"/>
        <w:contextualSpacing/>
        <w:jc w:val="left"/>
        <w:rPr>
          <w:rFonts w:hint="eastAsia" w:ascii="仿宋" w:hAnsi="仿宋" w:eastAsia="仿宋" w:cs="仿宋"/>
          <w:b/>
          <w:bCs/>
          <w:iCs/>
          <w:kern w:val="0"/>
          <w:sz w:val="24"/>
          <w:szCs w:val="22"/>
          <w:highlight w:val="none"/>
          <w:lang w:val="en-US" w:eastAsia="zh-CN" w:bidi="ar-SA"/>
        </w:rPr>
      </w:pPr>
      <w:r>
        <w:rPr>
          <w:rFonts w:hint="eastAsia" w:ascii="仿宋" w:hAnsi="仿宋" w:eastAsia="仿宋" w:cs="仿宋"/>
          <w:b/>
          <w:bCs/>
          <w:kern w:val="2"/>
          <w:sz w:val="24"/>
          <w:szCs w:val="24"/>
          <w:highlight w:val="none"/>
          <w:lang w:val="en-US" w:eastAsia="zh-CN" w:bidi="ar-SA"/>
        </w:rPr>
        <w:t>★</w:t>
      </w:r>
      <w:r>
        <w:rPr>
          <w:rFonts w:hint="eastAsia" w:ascii="仿宋" w:hAnsi="仿宋" w:eastAsia="仿宋" w:cs="仿宋"/>
          <w:b/>
          <w:bCs/>
          <w:iCs/>
          <w:kern w:val="0"/>
          <w:sz w:val="24"/>
          <w:szCs w:val="22"/>
          <w:highlight w:val="none"/>
          <w:lang w:val="en-US" w:eastAsia="zh-CN" w:bidi="ar-SA"/>
        </w:rPr>
        <w:t>1.服务期限：自合同签订之日起一年。</w:t>
      </w:r>
    </w:p>
    <w:p>
      <w:pPr>
        <w:widowControl/>
        <w:spacing w:after="120" w:line="360" w:lineRule="auto"/>
        <w:ind w:firstLine="441" w:firstLineChars="183"/>
        <w:contextualSpacing/>
        <w:jc w:val="left"/>
        <w:rPr>
          <w:rFonts w:hint="eastAsia" w:ascii="仿宋" w:hAnsi="仿宋" w:eastAsia="仿宋" w:cs="仿宋"/>
          <w:kern w:val="2"/>
          <w:sz w:val="28"/>
          <w:szCs w:val="28"/>
          <w:highlight w:val="none"/>
          <w:lang w:val="en-US" w:eastAsia="zh-CN" w:bidi="ar-SA"/>
        </w:rPr>
      </w:pPr>
      <w:r>
        <w:rPr>
          <w:rFonts w:hint="eastAsia" w:ascii="仿宋" w:hAnsi="仿宋" w:eastAsia="仿宋" w:cs="仿宋"/>
          <w:b/>
          <w:bCs/>
          <w:kern w:val="2"/>
          <w:sz w:val="24"/>
          <w:szCs w:val="24"/>
          <w:highlight w:val="none"/>
          <w:lang w:val="en-US" w:eastAsia="zh-CN" w:bidi="ar-SA"/>
        </w:rPr>
        <w:t>★</w:t>
      </w:r>
      <w:r>
        <w:rPr>
          <w:rFonts w:hint="eastAsia" w:ascii="仿宋" w:hAnsi="仿宋" w:eastAsia="仿宋" w:cs="仿宋"/>
          <w:b/>
          <w:bCs/>
          <w:iCs/>
          <w:kern w:val="0"/>
          <w:sz w:val="24"/>
          <w:szCs w:val="22"/>
          <w:highlight w:val="none"/>
          <w:lang w:val="en-US" w:eastAsia="zh-CN" w:bidi="ar-SA"/>
        </w:rPr>
        <w:t>2.服务地点：成都市武侯区行政区域内</w:t>
      </w:r>
      <w:r>
        <w:rPr>
          <w:rFonts w:hint="eastAsia" w:ascii="仿宋" w:hAnsi="仿宋" w:eastAsia="仿宋" w:cs="仿宋"/>
          <w:kern w:val="2"/>
          <w:sz w:val="28"/>
          <w:szCs w:val="28"/>
          <w:highlight w:val="none"/>
          <w:lang w:val="en-US" w:eastAsia="zh-CN" w:bidi="ar-SA"/>
        </w:rPr>
        <w:t>。</w:t>
      </w:r>
    </w:p>
    <w:p>
      <w:pPr>
        <w:widowControl/>
        <w:spacing w:line="360" w:lineRule="auto"/>
        <w:ind w:firstLine="482" w:firstLineChars="200"/>
        <w:contextualSpacing/>
        <w:jc w:val="left"/>
        <w:rPr>
          <w:rFonts w:hint="eastAsia" w:ascii="仿宋" w:hAnsi="仿宋" w:eastAsia="仿宋" w:cs="仿宋"/>
          <w:b w:val="0"/>
          <w:bCs w:val="0"/>
          <w:kern w:val="0"/>
          <w:sz w:val="24"/>
          <w:highlight w:val="none"/>
          <w:lang w:eastAsia="zh-CN"/>
        </w:rPr>
      </w:pPr>
      <w:r>
        <w:rPr>
          <w:rFonts w:hint="eastAsia" w:ascii="仿宋" w:hAnsi="仿宋" w:eastAsia="仿宋" w:cs="仿宋"/>
          <w:b/>
          <w:bCs/>
          <w:iCs/>
          <w:kern w:val="0"/>
          <w:sz w:val="24"/>
          <w:szCs w:val="22"/>
          <w:highlight w:val="none"/>
          <w:lang w:val="en-US" w:eastAsia="zh-CN" w:bidi="ar-SA"/>
        </w:rPr>
        <w:t>★3.投标人报价：</w:t>
      </w:r>
      <w:r>
        <w:rPr>
          <w:rFonts w:hint="eastAsia" w:ascii="仿宋" w:hAnsi="仿宋" w:eastAsia="仿宋" w:cs="仿宋"/>
          <w:b w:val="0"/>
          <w:bCs w:val="0"/>
          <w:iCs/>
          <w:kern w:val="0"/>
          <w:sz w:val="24"/>
          <w:szCs w:val="22"/>
          <w:highlight w:val="none"/>
          <w:lang w:val="en-US" w:eastAsia="zh-CN" w:bidi="ar-SA"/>
        </w:rPr>
        <w:t>投标人所填报价格应为完成本项目所包含的全部费用，包括但不限于人工费、材料费、设备费、检测费、交通费、税费、食宿费以及招标文件规定应由投标人承担的全部费用</w:t>
      </w:r>
      <w:r>
        <w:rPr>
          <w:rFonts w:hint="eastAsia" w:ascii="仿宋" w:hAnsi="仿宋" w:eastAsia="仿宋" w:cs="仿宋"/>
          <w:b w:val="0"/>
          <w:bCs w:val="0"/>
          <w:kern w:val="0"/>
          <w:sz w:val="24"/>
          <w:highlight w:val="none"/>
          <w:lang w:eastAsia="zh-CN"/>
        </w:rPr>
        <w:t>。投标人报价不得超过最高限价，超过最高限价的，视为未实质性响应招标文件，做无效投标文件处理。</w:t>
      </w:r>
    </w:p>
    <w:p>
      <w:pPr>
        <w:rPr>
          <w:rFonts w:ascii="Calibri" w:hAnsi="Calibri" w:eastAsia="宋体" w:cs="Times New Roman"/>
          <w:highlight w:val="none"/>
        </w:rPr>
      </w:pPr>
    </w:p>
    <w:p>
      <w:pPr>
        <w:ind w:firstLine="482" w:firstLineChars="200"/>
        <w:rPr>
          <w:rFonts w:hint="eastAsia" w:ascii="仿宋" w:hAnsi="仿宋" w:eastAsia="仿宋" w:cs="仿宋"/>
          <w:b/>
          <w:bCs/>
          <w:iCs/>
          <w:kern w:val="0"/>
          <w:sz w:val="24"/>
          <w:szCs w:val="22"/>
          <w:highlight w:val="none"/>
          <w:lang w:val="en-US" w:eastAsia="zh-CN" w:bidi="ar-SA"/>
        </w:rPr>
      </w:pPr>
      <w:r>
        <w:rPr>
          <w:rFonts w:hint="eastAsia" w:ascii="仿宋" w:hAnsi="仿宋" w:eastAsia="仿宋" w:cs="仿宋"/>
          <w:b/>
          <w:bCs/>
          <w:sz w:val="24"/>
          <w:szCs w:val="24"/>
          <w:highlight w:val="none"/>
        </w:rPr>
        <w:t>★</w:t>
      </w:r>
      <w:r>
        <w:rPr>
          <w:rFonts w:hint="eastAsia" w:ascii="仿宋" w:hAnsi="仿宋" w:eastAsia="仿宋" w:cs="仿宋"/>
          <w:b/>
          <w:bCs/>
          <w:iCs/>
          <w:kern w:val="0"/>
          <w:sz w:val="24"/>
          <w:szCs w:val="22"/>
          <w:highlight w:val="none"/>
          <w:lang w:val="en-US" w:eastAsia="zh-CN" w:bidi="ar-SA"/>
        </w:rPr>
        <w:t>4.付款方法</w:t>
      </w:r>
    </w:p>
    <w:p>
      <w:pPr>
        <w:numPr>
          <w:ilvl w:val="0"/>
          <w:numId w:val="0"/>
        </w:numPr>
        <w:spacing w:line="360" w:lineRule="auto"/>
        <w:ind w:firstLine="480" w:firstLineChars="20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合同签订之日起，进场开展工作后，按照四个季度分别支付合同总价的25%（一个季度为3个月），第一季度在进场开展工作后15个工作日内预付合同总价的25%，剩余三个季度按照采购合同中明确、清晰、完整的验收标准，每季度末15个工作日内支付合同总价的25%。</w:t>
      </w:r>
    </w:p>
    <w:p>
      <w:pPr>
        <w:keepNext/>
        <w:keepLines/>
        <w:widowControl/>
        <w:spacing w:before="200" w:line="360" w:lineRule="auto"/>
        <w:ind w:firstLine="482" w:firstLineChars="200"/>
        <w:contextualSpacing/>
        <w:jc w:val="left"/>
        <w:outlineLvl w:val="3"/>
        <w:rPr>
          <w:rFonts w:hint="eastAsia" w:ascii="仿宋" w:hAnsi="仿宋" w:eastAsia="仿宋" w:cs="仿宋"/>
          <w:b/>
          <w:bCs/>
          <w:iCs/>
          <w:kern w:val="0"/>
          <w:sz w:val="24"/>
          <w:highlight w:val="none"/>
          <w:lang w:eastAsia="zh-CN"/>
        </w:rPr>
      </w:pPr>
      <w:r>
        <w:rPr>
          <w:rFonts w:hint="eastAsia" w:ascii="仿宋" w:hAnsi="仿宋" w:eastAsia="仿宋" w:cs="仿宋"/>
          <w:b/>
          <w:bCs/>
          <w:sz w:val="24"/>
          <w:szCs w:val="24"/>
          <w:highlight w:val="none"/>
        </w:rPr>
        <w:t>★</w:t>
      </w:r>
      <w:r>
        <w:rPr>
          <w:rFonts w:hint="eastAsia" w:ascii="仿宋" w:hAnsi="仿宋" w:eastAsia="仿宋" w:cs="仿宋"/>
          <w:b/>
          <w:bCs/>
          <w:iCs/>
          <w:kern w:val="0"/>
          <w:sz w:val="24"/>
          <w:highlight w:val="none"/>
          <w:lang w:val="en-US" w:eastAsia="zh-CN"/>
        </w:rPr>
        <w:t>5.</w:t>
      </w:r>
      <w:r>
        <w:rPr>
          <w:rFonts w:hint="eastAsia" w:ascii="仿宋" w:hAnsi="仿宋" w:eastAsia="仿宋" w:cs="仿宋"/>
          <w:b/>
          <w:bCs/>
          <w:iCs/>
          <w:kern w:val="0"/>
          <w:sz w:val="24"/>
          <w:highlight w:val="none"/>
        </w:rPr>
        <w:t>违约责任</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lang w:eastAsia="zh-CN"/>
        </w:rPr>
        <w:t>）招投标</w:t>
      </w:r>
      <w:r>
        <w:rPr>
          <w:rFonts w:hint="eastAsia" w:ascii="仿宋" w:hAnsi="仿宋" w:eastAsia="仿宋" w:cs="仿宋"/>
          <w:kern w:val="0"/>
          <w:sz w:val="24"/>
          <w:szCs w:val="24"/>
          <w:highlight w:val="none"/>
        </w:rPr>
        <w:t>双方必须遵守本</w:t>
      </w:r>
      <w:r>
        <w:rPr>
          <w:rFonts w:hint="eastAsia" w:ascii="仿宋" w:hAnsi="仿宋" w:eastAsia="仿宋" w:cs="仿宋"/>
          <w:kern w:val="0"/>
          <w:sz w:val="24"/>
          <w:szCs w:val="24"/>
          <w:highlight w:val="none"/>
          <w:lang w:eastAsia="zh-CN"/>
        </w:rPr>
        <w:t>采购</w:t>
      </w:r>
      <w:r>
        <w:rPr>
          <w:rFonts w:hint="eastAsia" w:ascii="仿宋" w:hAnsi="仿宋" w:eastAsia="仿宋" w:cs="仿宋"/>
          <w:kern w:val="0"/>
          <w:sz w:val="24"/>
          <w:szCs w:val="24"/>
          <w:highlight w:val="none"/>
        </w:rPr>
        <w:t>合同并执行合同中的各项规定，保证本</w:t>
      </w:r>
      <w:r>
        <w:rPr>
          <w:rFonts w:hint="eastAsia" w:ascii="仿宋" w:hAnsi="仿宋" w:eastAsia="仿宋" w:cs="仿宋"/>
          <w:kern w:val="0"/>
          <w:sz w:val="24"/>
          <w:szCs w:val="24"/>
          <w:highlight w:val="none"/>
          <w:lang w:eastAsia="zh-CN"/>
        </w:rPr>
        <w:t>采购</w:t>
      </w:r>
      <w:r>
        <w:rPr>
          <w:rFonts w:hint="eastAsia" w:ascii="仿宋" w:hAnsi="仿宋" w:eastAsia="仿宋" w:cs="仿宋"/>
          <w:kern w:val="0"/>
          <w:sz w:val="24"/>
          <w:szCs w:val="24"/>
          <w:highlight w:val="none"/>
        </w:rPr>
        <w:t xml:space="preserve">合同的正常履行。 </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如因</w:t>
      </w:r>
      <w:r>
        <w:rPr>
          <w:rFonts w:hint="eastAsia" w:ascii="仿宋" w:hAnsi="仿宋" w:eastAsia="仿宋" w:cs="仿宋"/>
          <w:kern w:val="0"/>
          <w:sz w:val="24"/>
          <w:szCs w:val="24"/>
          <w:highlight w:val="none"/>
          <w:lang w:val="en-US" w:eastAsia="zh-CN"/>
        </w:rPr>
        <w:t>中标人的</w:t>
      </w:r>
      <w:r>
        <w:rPr>
          <w:rFonts w:hint="eastAsia" w:ascii="仿宋" w:hAnsi="仿宋" w:eastAsia="仿宋" w:cs="仿宋"/>
          <w:kern w:val="0"/>
          <w:sz w:val="24"/>
          <w:szCs w:val="24"/>
          <w:highlight w:val="none"/>
        </w:rPr>
        <w:t>工作人员在履行职务过程中的的疏忽、失职、过错等故意或者过失原因给</w:t>
      </w:r>
      <w:r>
        <w:rPr>
          <w:rFonts w:hint="eastAsia" w:ascii="仿宋" w:hAnsi="仿宋" w:eastAsia="仿宋" w:cs="仿宋"/>
          <w:kern w:val="0"/>
          <w:sz w:val="24"/>
          <w:szCs w:val="24"/>
          <w:highlight w:val="none"/>
          <w:lang w:eastAsia="zh-CN"/>
        </w:rPr>
        <w:t>招标人</w:t>
      </w:r>
      <w:r>
        <w:rPr>
          <w:rFonts w:hint="eastAsia" w:ascii="仿宋" w:hAnsi="仿宋" w:eastAsia="仿宋" w:cs="仿宋"/>
          <w:kern w:val="0"/>
          <w:sz w:val="24"/>
          <w:szCs w:val="24"/>
          <w:highlight w:val="none"/>
        </w:rPr>
        <w:t>造成损失或侵害，包括但不限于</w:t>
      </w:r>
      <w:r>
        <w:rPr>
          <w:rFonts w:hint="eastAsia" w:ascii="仿宋" w:hAnsi="仿宋" w:eastAsia="仿宋" w:cs="仿宋"/>
          <w:kern w:val="0"/>
          <w:sz w:val="24"/>
          <w:szCs w:val="24"/>
          <w:highlight w:val="none"/>
          <w:lang w:eastAsia="zh-CN"/>
        </w:rPr>
        <w:t>招标人</w:t>
      </w:r>
      <w:r>
        <w:rPr>
          <w:rFonts w:hint="eastAsia" w:ascii="仿宋" w:hAnsi="仿宋" w:eastAsia="仿宋" w:cs="仿宋"/>
          <w:kern w:val="0"/>
          <w:sz w:val="24"/>
          <w:szCs w:val="24"/>
          <w:highlight w:val="none"/>
        </w:rPr>
        <w:t>本身的财产损失、由此而导致的</w:t>
      </w:r>
      <w:r>
        <w:rPr>
          <w:rFonts w:hint="eastAsia" w:ascii="仿宋" w:hAnsi="仿宋" w:eastAsia="仿宋" w:cs="仿宋"/>
          <w:kern w:val="0"/>
          <w:sz w:val="24"/>
          <w:szCs w:val="24"/>
          <w:highlight w:val="none"/>
          <w:lang w:eastAsia="zh-CN"/>
        </w:rPr>
        <w:t>招标人</w:t>
      </w:r>
      <w:r>
        <w:rPr>
          <w:rFonts w:hint="eastAsia" w:ascii="仿宋" w:hAnsi="仿宋" w:eastAsia="仿宋" w:cs="仿宋"/>
          <w:kern w:val="0"/>
          <w:sz w:val="24"/>
          <w:szCs w:val="24"/>
          <w:highlight w:val="none"/>
        </w:rPr>
        <w:t>对任何第三方的法律责任等，</w:t>
      </w:r>
      <w:r>
        <w:rPr>
          <w:rFonts w:hint="eastAsia" w:ascii="仿宋" w:hAnsi="仿宋" w:eastAsia="仿宋" w:cs="仿宋"/>
          <w:kern w:val="0"/>
          <w:sz w:val="24"/>
          <w:szCs w:val="24"/>
          <w:highlight w:val="none"/>
          <w:lang w:eastAsia="zh-CN"/>
        </w:rPr>
        <w:t>中标人</w:t>
      </w:r>
      <w:r>
        <w:rPr>
          <w:rFonts w:hint="eastAsia" w:ascii="仿宋" w:hAnsi="仿宋" w:eastAsia="仿宋" w:cs="仿宋"/>
          <w:kern w:val="0"/>
          <w:sz w:val="24"/>
          <w:szCs w:val="24"/>
          <w:highlight w:val="none"/>
        </w:rPr>
        <w:t xml:space="preserve">对此均应承担全部的赔偿责任。 </w:t>
      </w:r>
    </w:p>
    <w:p>
      <w:pPr>
        <w:widowControl/>
        <w:tabs>
          <w:tab w:val="left" w:pos="0"/>
          <w:tab w:val="left" w:pos="1134"/>
        </w:tabs>
        <w:spacing w:line="360" w:lineRule="auto"/>
        <w:ind w:firstLine="480" w:firstLineChars="200"/>
        <w:contextualSpacing/>
        <w:jc w:val="left"/>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若</w:t>
      </w:r>
      <w:r>
        <w:rPr>
          <w:rFonts w:hint="eastAsia" w:ascii="仿宋" w:hAnsi="仿宋" w:eastAsia="仿宋" w:cs="仿宋"/>
          <w:kern w:val="0"/>
          <w:sz w:val="24"/>
          <w:szCs w:val="24"/>
          <w:highlight w:val="none"/>
          <w:lang w:eastAsia="zh-CN"/>
        </w:rPr>
        <w:t>招标人</w:t>
      </w:r>
      <w:r>
        <w:rPr>
          <w:rFonts w:hint="eastAsia" w:ascii="仿宋" w:hAnsi="仿宋" w:eastAsia="仿宋" w:cs="仿宋"/>
          <w:kern w:val="0"/>
          <w:sz w:val="24"/>
          <w:szCs w:val="24"/>
          <w:highlight w:val="none"/>
        </w:rPr>
        <w:t>发现</w:t>
      </w:r>
      <w:r>
        <w:rPr>
          <w:rFonts w:hint="eastAsia" w:ascii="仿宋" w:hAnsi="仿宋" w:eastAsia="仿宋" w:cs="仿宋"/>
          <w:kern w:val="0"/>
          <w:sz w:val="24"/>
          <w:szCs w:val="24"/>
          <w:highlight w:val="none"/>
          <w:lang w:eastAsia="zh-CN"/>
        </w:rPr>
        <w:t>中标人</w:t>
      </w:r>
      <w:r>
        <w:rPr>
          <w:rFonts w:hint="eastAsia" w:ascii="仿宋" w:hAnsi="仿宋" w:eastAsia="仿宋" w:cs="仿宋"/>
          <w:kern w:val="0"/>
          <w:sz w:val="24"/>
          <w:szCs w:val="24"/>
          <w:highlight w:val="none"/>
        </w:rPr>
        <w:t>在服务过程中存在徇私舞弊、作假、吃拿卡要</w:t>
      </w:r>
      <w:r>
        <w:rPr>
          <w:rFonts w:hint="eastAsia" w:ascii="仿宋" w:hAnsi="仿宋" w:eastAsia="仿宋" w:cs="仿宋"/>
          <w:kern w:val="0"/>
          <w:sz w:val="24"/>
          <w:szCs w:val="24"/>
          <w:highlight w:val="none"/>
          <w:lang w:eastAsia="zh-CN"/>
        </w:rPr>
        <w:t>、虚假安全巡查、虚假安全评估、虚假安全巡查报告</w:t>
      </w:r>
      <w:r>
        <w:rPr>
          <w:rFonts w:hint="eastAsia" w:ascii="仿宋" w:hAnsi="仿宋" w:eastAsia="仿宋" w:cs="仿宋"/>
          <w:kern w:val="0"/>
          <w:sz w:val="24"/>
          <w:szCs w:val="24"/>
          <w:highlight w:val="none"/>
        </w:rPr>
        <w:t>等违规行为，</w:t>
      </w:r>
      <w:r>
        <w:rPr>
          <w:rFonts w:hint="eastAsia" w:ascii="仿宋" w:hAnsi="仿宋" w:eastAsia="仿宋" w:cs="仿宋"/>
          <w:kern w:val="0"/>
          <w:sz w:val="24"/>
          <w:szCs w:val="24"/>
          <w:highlight w:val="none"/>
          <w:lang w:eastAsia="zh-CN"/>
        </w:rPr>
        <w:t>招标人</w:t>
      </w:r>
      <w:r>
        <w:rPr>
          <w:rFonts w:hint="eastAsia" w:ascii="仿宋" w:hAnsi="仿宋" w:eastAsia="仿宋" w:cs="仿宋"/>
          <w:kern w:val="0"/>
          <w:sz w:val="24"/>
          <w:szCs w:val="24"/>
          <w:highlight w:val="none"/>
        </w:rPr>
        <w:t>有权视情节严重程度按每次人民币1000-5000元对</w:t>
      </w:r>
      <w:r>
        <w:rPr>
          <w:rFonts w:hint="eastAsia" w:ascii="仿宋" w:hAnsi="仿宋" w:eastAsia="仿宋" w:cs="仿宋"/>
          <w:kern w:val="0"/>
          <w:sz w:val="24"/>
          <w:szCs w:val="24"/>
          <w:highlight w:val="none"/>
          <w:lang w:eastAsia="zh-CN"/>
        </w:rPr>
        <w:t>中标人</w:t>
      </w:r>
      <w:r>
        <w:rPr>
          <w:rFonts w:hint="eastAsia" w:ascii="仿宋" w:hAnsi="仿宋" w:eastAsia="仿宋" w:cs="仿宋"/>
          <w:kern w:val="0"/>
          <w:sz w:val="24"/>
          <w:szCs w:val="24"/>
          <w:highlight w:val="none"/>
        </w:rPr>
        <w:t>进行罚款，并将违规情况抄报市住建局。</w:t>
      </w:r>
    </w:p>
    <w:p>
      <w:pPr>
        <w:keepNext/>
        <w:keepLines/>
        <w:widowControl/>
        <w:spacing w:before="200" w:line="360" w:lineRule="auto"/>
        <w:ind w:firstLine="482" w:firstLineChars="200"/>
        <w:contextualSpacing/>
        <w:jc w:val="left"/>
        <w:outlineLvl w:val="3"/>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6、履约验收方案</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（1）验收主体：采购人；</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（2）验收组织方式：自行验收</w:t>
      </w:r>
      <w:r>
        <w:rPr>
          <w:rFonts w:hint="eastAsia" w:ascii="仿宋" w:hAnsi="仿宋" w:eastAsia="仿宋" w:cs="仿宋"/>
          <w:color w:val="auto"/>
          <w:sz w:val="24"/>
          <w:szCs w:val="24"/>
          <w:highlight w:val="none"/>
          <w:lang w:eastAsia="zh-CN"/>
        </w:rPr>
        <w:t>；</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（3）履约验收程序：分次验收；</w:t>
      </w:r>
    </w:p>
    <w:p>
      <w:pPr>
        <w:widowControl/>
        <w:tabs>
          <w:tab w:val="left" w:pos="0"/>
          <w:tab w:val="left" w:pos="1134"/>
        </w:tabs>
        <w:spacing w:line="360" w:lineRule="auto"/>
        <w:ind w:firstLine="480" w:firstLineChars="200"/>
        <w:contextualSpacing/>
        <w:jc w:val="left"/>
        <w:rPr>
          <w:rFonts w:hint="default" w:ascii="仿宋" w:hAnsi="仿宋" w:eastAsia="仿宋" w:cs="仿宋"/>
          <w:color w:val="auto"/>
          <w:sz w:val="24"/>
          <w:szCs w:val="24"/>
          <w:highlight w:val="none"/>
          <w:lang w:val="en-US" w:eastAsia="zh-CN"/>
        </w:rPr>
      </w:pPr>
      <w:r>
        <w:rPr>
          <w:rFonts w:hint="eastAsia" w:ascii="仿宋" w:hAnsi="仿宋" w:eastAsia="仿宋" w:cs="仿宋"/>
          <w:kern w:val="0"/>
          <w:sz w:val="24"/>
          <w:szCs w:val="24"/>
          <w:highlight w:val="none"/>
          <w:lang w:val="en-US" w:eastAsia="zh-CN"/>
        </w:rPr>
        <w:t>（4）履约验收时间：</w:t>
      </w:r>
      <w:r>
        <w:rPr>
          <w:rFonts w:hint="eastAsia" w:ascii="仿宋" w:hAnsi="仿宋" w:eastAsia="仿宋" w:cs="仿宋"/>
          <w:color w:val="auto"/>
          <w:sz w:val="24"/>
          <w:szCs w:val="24"/>
          <w:highlight w:val="none"/>
          <w:lang w:val="en-US" w:eastAsia="zh-CN"/>
        </w:rPr>
        <w:t>中标人</w:t>
      </w:r>
      <w:r>
        <w:rPr>
          <w:rFonts w:hint="default" w:ascii="仿宋" w:hAnsi="仿宋" w:eastAsia="仿宋" w:cs="仿宋"/>
          <w:color w:val="auto"/>
          <w:sz w:val="24"/>
          <w:szCs w:val="24"/>
          <w:highlight w:val="none"/>
          <w:lang w:val="en-US" w:eastAsia="zh-CN"/>
        </w:rPr>
        <w:t>履约完成，收到验收申请后1</w:t>
      </w:r>
      <w:r>
        <w:rPr>
          <w:rFonts w:hint="eastAsia" w:ascii="仿宋" w:hAnsi="仿宋" w:eastAsia="仿宋" w:cs="仿宋"/>
          <w:color w:val="auto"/>
          <w:sz w:val="24"/>
          <w:szCs w:val="24"/>
          <w:highlight w:val="none"/>
          <w:lang w:val="en-US" w:eastAsia="zh-CN"/>
        </w:rPr>
        <w:t>0</w:t>
      </w:r>
      <w:r>
        <w:rPr>
          <w:rFonts w:hint="default" w:ascii="仿宋" w:hAnsi="仿宋" w:eastAsia="仿宋" w:cs="仿宋"/>
          <w:color w:val="auto"/>
          <w:sz w:val="24"/>
          <w:szCs w:val="24"/>
          <w:highlight w:val="none"/>
          <w:lang w:val="en-US" w:eastAsia="zh-CN"/>
        </w:rPr>
        <w:t>个日内进行</w:t>
      </w:r>
      <w:r>
        <w:rPr>
          <w:rFonts w:hint="eastAsia" w:ascii="仿宋" w:hAnsi="仿宋" w:eastAsia="仿宋" w:cs="仿宋"/>
          <w:color w:val="auto"/>
          <w:sz w:val="24"/>
          <w:szCs w:val="24"/>
          <w:highlight w:val="none"/>
          <w:lang w:val="en-US" w:eastAsia="zh-CN"/>
        </w:rPr>
        <w:t>；</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（5）</w:t>
      </w:r>
      <w:r>
        <w:rPr>
          <w:rFonts w:hint="eastAsia" w:ascii="仿宋" w:hAnsi="仿宋" w:eastAsia="仿宋" w:cs="仿宋"/>
          <w:color w:val="auto"/>
          <w:sz w:val="24"/>
          <w:szCs w:val="24"/>
          <w:highlight w:val="none"/>
        </w:rPr>
        <w:t>验收内容</w:t>
      </w:r>
      <w:r>
        <w:rPr>
          <w:rFonts w:hint="eastAsia" w:ascii="仿宋" w:hAnsi="仿宋" w:eastAsia="仿宋" w:cs="仿宋"/>
          <w:color w:val="auto"/>
          <w:sz w:val="24"/>
          <w:szCs w:val="24"/>
          <w:highlight w:val="none"/>
          <w:lang w:val="en-US" w:eastAsia="zh-CN"/>
        </w:rPr>
        <w:t>及标准</w:t>
      </w:r>
      <w:r>
        <w:rPr>
          <w:rFonts w:hint="eastAsia" w:ascii="仿宋" w:hAnsi="仿宋" w:eastAsia="仿宋" w:cs="仿宋"/>
          <w:kern w:val="0"/>
          <w:sz w:val="24"/>
          <w:szCs w:val="24"/>
          <w:highlight w:val="none"/>
          <w:lang w:val="en-US" w:eastAsia="zh-CN"/>
        </w:rPr>
        <w:t>：</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技术服务履约内容及标准：根据招标文件服务要及中标人投标文件服务响应情况及承诺的内容和中标人履约的内容进行比较。采购人与中标人双方如对服务要求的约定标准有相互抵触或异议的事项，由采购人在招标文件及投标文件中按服务要求比较优胜的原则确定该项的约定标准进行验收。</w:t>
      </w:r>
    </w:p>
    <w:p>
      <w:pPr>
        <w:widowControl/>
        <w:tabs>
          <w:tab w:val="left" w:pos="0"/>
          <w:tab w:val="left" w:pos="1134"/>
        </w:tabs>
        <w:spacing w:line="360" w:lineRule="auto"/>
        <w:ind w:firstLine="480" w:firstLineChars="200"/>
        <w:contextualSpacing/>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商务履约内容及标准：按招标文件的商务要求及中标人投标文件响应及承诺与本项目政府采购合同约定商务内容及标准进行验收；招标人与中标人双方如对商务要求约定标准有相互抵触或异议的事项，由招标人在招标文件及投标人投标文件中按商务指标比较优胜的原则确定该项的约定标准进行验收。</w:t>
      </w:r>
    </w:p>
    <w:p>
      <w:pPr>
        <w:widowControl/>
        <w:spacing w:after="120" w:line="360" w:lineRule="auto"/>
        <w:ind w:firstLine="480" w:firstLineChars="200"/>
        <w:contextualSpacing/>
        <w:jc w:val="left"/>
        <w:rPr>
          <w:rFonts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 xml:space="preserve">（6）采购人无故不进行验收工作并已使用项目履约成果的，视同验收合格。 </w:t>
      </w:r>
    </w:p>
    <w:p>
      <w:pPr>
        <w:widowControl/>
        <w:spacing w:after="120" w:line="360" w:lineRule="auto"/>
        <w:ind w:firstLine="480" w:firstLineChars="200"/>
        <w:contextualSpacing/>
        <w:jc w:val="left"/>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 xml:space="preserve">（7）验收结果不合格的，不予支付采购资金，并上报本项目同级财政部门按照政府采购法律法规有关规定给予行政处罚或者以失信行为记入诚信档案。 </w:t>
      </w:r>
    </w:p>
    <w:p>
      <w:pPr>
        <w:widowControl/>
        <w:spacing w:after="120" w:line="360" w:lineRule="auto"/>
        <w:ind w:firstLine="480" w:firstLineChars="200"/>
        <w:contextualSpacing/>
        <w:jc w:val="left"/>
        <w:rPr>
          <w:rFonts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（8）其他未尽事宜采购人将严格按照《财政部关于进一步加强政府采购需求和履约验收管理的指导意见》（财库〔2016〕205号）的要求进行验收。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FF4FF"/>
    <w:multiLevelType w:val="singleLevel"/>
    <w:tmpl w:val="83EFF4FF"/>
    <w:lvl w:ilvl="0" w:tentative="0">
      <w:start w:val="1"/>
      <w:numFmt w:val="decimal"/>
      <w:lvlText w:val="%1."/>
      <w:lvlJc w:val="left"/>
      <w:pPr>
        <w:tabs>
          <w:tab w:val="left" w:pos="312"/>
        </w:tabs>
      </w:pPr>
    </w:lvl>
  </w:abstractNum>
  <w:abstractNum w:abstractNumId="1">
    <w:nsid w:val="025AEE54"/>
    <w:multiLevelType w:val="singleLevel"/>
    <w:tmpl w:val="025AEE54"/>
    <w:lvl w:ilvl="0" w:tentative="0">
      <w:start w:val="1"/>
      <w:numFmt w:val="chineseCounting"/>
      <w:suff w:val="nothing"/>
      <w:lvlText w:val="（%1）"/>
      <w:lvlJc w:val="left"/>
      <w:rPr>
        <w:rFonts w:hint="eastAsia"/>
      </w:rPr>
    </w:lvl>
  </w:abstractNum>
  <w:abstractNum w:abstractNumId="2">
    <w:nsid w:val="1DFDC418"/>
    <w:multiLevelType w:val="singleLevel"/>
    <w:tmpl w:val="1DFDC418"/>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NDkwYTY4MWRiODMwYWM4YzNkZWJhMDllNzIxNDUifQ=="/>
  </w:docVars>
  <w:rsids>
    <w:rsidRoot w:val="00000000"/>
    <w:rsid w:val="260E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widowControl/>
      <w:spacing w:after="120" w:line="360" w:lineRule="auto"/>
      <w:ind w:firstLine="200" w:firstLineChars="200"/>
      <w:contextualSpacing/>
      <w:jc w:val="left"/>
    </w:pPr>
    <w:rPr>
      <w:rFonts w:ascii="Calibri" w:hAnsi="Calibri" w:eastAsia="宋体" w:cs="Times New Roman"/>
      <w:szCs w:val="24"/>
    </w:rPr>
  </w:style>
  <w:style w:type="paragraph" w:styleId="3">
    <w:name w:val="Subtitle"/>
    <w:basedOn w:val="1"/>
    <w:next w:val="1"/>
    <w:qFormat/>
    <w:uiPriority w:val="0"/>
    <w:pPr>
      <w:spacing w:beforeLines="100" w:afterLines="100" w:line="360" w:lineRule="auto"/>
      <w:jc w:val="center"/>
    </w:pPr>
    <w:rPr>
      <w:rFonts w:ascii="Cambria" w:hAnsi="Cambria" w:eastAsia="宋体" w:cs="Times New Roman"/>
      <w:b/>
      <w:bCs/>
      <w:iCs/>
      <w:spacing w:val="15"/>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2023-11-02T01:42:30Z</dcterms:created>
  <dc:creator>Administrator</dc:creator>
  <cp:lastModifiedBy>小丸子</cp:lastModifiedBy>
  <dcterms:modified xsi:type="dcterms:W3CDTF">2023-11-02T01:42:50Z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19785356B8AB4649A29906BA9194B8F4_12</vt:lpwstr>
  </property>
</Properties>
</file>