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ind w:firstLine="562"/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、技术、服务要求（实质性要求）</w:t>
      </w:r>
    </w:p>
    <w:p>
      <w:pPr>
        <w:ind w:firstLine="560"/>
      </w:pPr>
      <w:r>
        <w:rPr>
          <w:rFonts w:hint="eastAsia"/>
        </w:rPr>
        <w:t>（一）服务内容</w:t>
      </w:r>
    </w:p>
    <w:tbl>
      <w:tblPr>
        <w:tblStyle w:val="3"/>
        <w:tblW w:w="82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190"/>
        <w:gridCol w:w="6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受检产品名称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检验项目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生活用纸（卫生纸、纸巾纸、手帕纸、厨房纸、湿纸巾）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1.卫生纸：细菌菌落总数、大肠菌群、金黄色葡萄球菌、溶血性链球菌、横向吸液高度、抗张指数、柔软度、可迁移性荧光物质、球形耐破度（成品层）；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2．纸巾纸：细菌菌落总数、大肠菌群、真菌菌落总数、绿脓杆菌、金黄色葡萄球菌、溶血性链球菌、横向吸液高度、横向抗张指数、纵向湿抗张强度、灰分、可迁移性荧光物质、亮度（白度）、柔软度；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3.厨房纸：细菌菌落总数、大肠菌群、真菌菌落总数、绿脓杆菌、金黄色葡萄球菌、溶血性链球菌、 亮度、横向吸液高度、横向抗张指数、纵向湿抗张强度、洞眼、尘埃度、数量（或质量）偏差、尺寸偏差、偏斜度；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4.湿纸巾：细菌菌落总数、绿脓杆菌、金黄色葡萄球菌、溶血性链球菌、大肠菌群、真菌菌落总数、可迁移性荧光增白剂、含液量、横向抗张强度、包装密封性、pH。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混凝土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抗压强度。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食品用洗涤剂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总活性物含量、pH、去污力、荧光增白剂、甲醇含量、甲醛、砷（As）、重金属（以Pb计）、菌落总数、大肠菌群、总五氧化二磷含量(以P2O5计)a；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洗涤用品（洗衣液、洗衣粉、洗衣皂粉、皂类）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1.洗衣液：总活性物、pH、总五氧化二磷、规定污布的去污力；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2.洗衣粉：表观密度、总活性物质量分数、总五氧化二磷质量分数、游离碱质量分数、pH、规定污布的去污力；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3.洗衣皂粉：外观、色泽、气味、pH(0.1%溶液,25℃)、游离碱、磷酸盐(以P2O5计)、表观密度、总活性物、干钠皂、水分和挥发物、规定污布的去污力；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4.皂类：干那皂、总有效物含量、总游离碱、氯化物、游离苛性碱、总五氧化二磷、发泡力。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有机产品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铅、镉、久效磷、乙酰甲胺磷、蚍虫啉、多菌灵、毒死蜱、氧乐果、氯氟氰菊酯、氯氰菊酯、甲胺磷、联苯菊酯、腐霉利。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家具（金属家具、木家具、软体家具、卫浴家具、厨房家具、办公家具）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木家具：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木工要求（人造板件封边涂饰）；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力学性能；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结构安全性；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甲醛释放量；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5可溶性重金属；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金属家具：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木制件封边处理；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力学性能；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结构安全；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人造板部件甲醛释放量；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涂层或覆面层可溶性重金属；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软体家具/沙发：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耐久性；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安全性能；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软体家具/床垫：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卫生、安全（不含致病菌）；2耐久性；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卫浴家具：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卫生安全要求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厨房家具：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1.卫生要求；</w:t>
            </w:r>
          </w:p>
          <w:p>
            <w:pPr>
              <w:wordWrap/>
              <w:ind w:firstLine="28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.</w:t>
            </w:r>
            <w:r>
              <w:rPr>
                <w:rFonts w:hint="eastAsia"/>
                <w:szCs w:val="28"/>
              </w:rPr>
              <w:t>安全要求；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办公家具/办公椅：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1.阻燃性；</w:t>
            </w:r>
          </w:p>
          <w:p>
            <w:pPr>
              <w:wordWrap/>
              <w:ind w:firstLine="280" w:firstLineChars="100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.</w:t>
            </w:r>
            <w:r>
              <w:rPr>
                <w:rFonts w:hint="eastAsia"/>
                <w:szCs w:val="28"/>
              </w:rPr>
              <w:t>甲醛释放量3TVOC4安全性（仅适用转椅）。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木质门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1.甲醛释放量；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2.可溶性重金属。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实木地板、仿古实木地板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含水率、漆板表面耐磨、漆膜附着力、漆膜硬度。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实木复合地板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含水率、静曲强度、表面耐磨、漆膜附着力、甲醛释放量。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浸渍胶膜纸饰面人造板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表面耐磨、表面耐香烟灼烧、表面耐干热、甲醛释放量。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细木工板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含水率、横向静曲强度、表面胶合强度、甲醛释放量。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中密度纤维板\刨花板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吸水厚度膨胀率、静曲强度、内结合强度、表面结合强度、甲醛释放量。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浸渍纸层压木质地板、仿古浸渍纸层压木质地板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含水率、表面耐磨、静曲强度、甲醛释放量。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瓦楞纸箱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恒温恒湿、尺寸偏差、质量与结构、耐破强度、边压强度、厚度、空箱抗压强度。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饲料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粗蛋白质、灰分、粗灰分、铅、喹乙醇、沙门氏菌。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服装鞋帽及家用纺织品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甲醛含量、pH值、耐水色牢度、耐酸汗渍色牢度、耐碱汗渍色牢度、耐干摩擦色牢度、纤维成分含量。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鞋类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物理机械安全性能、甲醛、可分解芳香胺染料。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儿童玩具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正常使用、可预见的合理滥用、燃烧性能、标识和使用说明。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学生文具(笔类、美术用品、橡皮擦、修正制品、卷削类、笔袋、书袋)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笔类：笔的上帽安全、可迁移元素；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美术用品、橡皮擦、修正制品：可迁移元素；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卷削类：边缘、尖端；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笔袋：甲醛、可迁移元素、染料中芳香胺。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日常防护口罩、自吸过滤式防颗粒物呼吸器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执行GB 2626-2019标准产品：过滤效率、呼吸阻力；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执行GB/T 32610-2016标准产品：吸气阻力、呼气阻力、过滤效率、防护效果。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家用燃气灶具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气密性、热负荷（a、c）、熄火、干烟气中一氧化碳浓度（COα=1）、温升（操作时手必须接触的部位）、熄火保护装置（闭阀时间）、热效率、使用直流电源的灶具的电气性能、灶具燃烧器的燃气阀门设置、电点火装置出现故障时的要求、燃气导管（d、f）、燃烧器的熄火保护装置、石棉（5.3.1.11）、铭牌（7.1.1，f、k、l除外）、除铭牌标志以外的标志、安装使用说明（7.3c、d、h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家用燃气快速热水器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燃气系统气密性、烟气中COα=1含量（无风状态）、熄火保护装置（5.2.3.1.1）、烟道堵塞安全装置、风压过大安全装置、防干烧安全装置、电气安全（接地措施、接地电阻、电气强度）、热效率、热水产率、标志（铭牌、安全注意事项）、包装（燃气种类一致性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作业本、课册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纸张定量、内芯纸张施胶度、危险锐利尖端、可迁移元素的最大限量、封面的脱色程度、亮度（白度）。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食品接触塑料容器、工具产品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感官指标、总迁移量、高锰酸钾消耗量、重金属（Pb）、脱色试验、锑（以Sb计）、乙二醇迁移量、对苯二甲酸迁移量（限PET材质）、双酚A(蒸馏水)（限PC材质）、己内酰胺 （限尼龙材质）、氯乙烯单体（限PVC材质）、苯乙烯和乙苯、1,3-丁二烯迁移量（限PS材质）、致病菌（沙门氏菌）（限塑料一次性餐饮具）。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食品接触塑料膜袋包装产品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溶剂残留、甲苯二胺、感官、蒸发残渣、高锰酸钾消耗量、重金属（Pb）、脱色试验、拉伸强度、热合强度、剥离力、气体透过率（氧气）、水蒸气透过量（按抽取样品的实际类型选取对应项目）。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食品接触用塑料制品、食品接触用纸制品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1.聚对苯二甲酸乙二醇酯（PET）瓶及（PET）瓶坯：感官指标、总迁移量、高锰酸钾消耗量、重金属（以Pb计）、脱色试验 （仅限含着色剂产品）、锑迁移量（以Sb计）；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2.塑料瓶盖：感官指标、总迁移量、高锰酸钾消耗量、重金属（以Pb计）、脱色试验 （仅限含着色剂产品）；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3.塑料一次性餐饮具：感官指标、总迁移量、高锰酸钾消耗量、重金属（以Pb计）、脱色试验（仅限含着色剂产品）；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4.食品接触用塑料容器：感官指标、总迁移量、高锰酸钾消耗量、重金属（以Pb计）、脱色试验 （仅限含着色剂产品）；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5.聚碳酸酯（PC）饮用水罐：感官指标、总迁移量、高锰酸钾消耗量、重金属（以Pb计）、脱色试验 （仅限含着色剂产品）、双酚A迁移量（限PC材质）；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6.非复合膜袋：感官要求、总迁移量、高锰酸钾消耗量、重金属（以Pb计）、脱色试验（限添加了着色剂的产品）；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7.复合膜袋：感官指标、蒸发残渣、高锰酸钾消耗量、重金属（以Pb计）、溶剂残留量总量、苯类溶剂、甲苯二胺（4%乙酸）；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8.纸杯：感官要求、铅、砷、甲醛、荧光性物质、总迁移量、高锰酸钾消耗量、重金属（以Pb计）、大肠菌群、沙门氏菌、霉菌、感官指标、渗漏性能、杯身挺度；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9.纸碗：感官要求、铅、砷、甲醛、荧光性物质、总迁移量、高锰酸钾消耗量、重金属（以Pb计）、大肠菌群、沙门氏菌、霉菌、渗漏性能、抗压强度；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10.纸浆模塑餐具：感官要求、铅、砷、甲醛、荧光性物质、总迁移量、高锰酸钾消耗量、重金属（以Pb计）、大肠菌群、沙门氏菌、霉菌、漏水性、耐温性能；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11.纸盒：感官要求、铅、砷、甲醛、荧光性物质、总迁移量、高锰酸钾消耗量、重金属（以Pb计）、大肠菌群、沙门氏菌、霉菌；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12.食品包装用纸、纸板类：感官要求、铅、砷、甲醛、荧光性物质、总迁移量、高锰酸钾消耗量、重金属（以Pb计）、大肠菌群、沙门氏菌、霉菌；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13.圆柱形复合罐：感官、大肠菌群、沙门氏菌、霉菌、盖端脱离力、轴向压溃力、快速泄漏试验。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聚氯乙烯绝缘电线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绝缘平均厚度、绝缘最薄处厚度、护套平均厚度、护套最薄处厚度、导体电阻、成品电压试验、绝缘老化前抗张强度、绝缘老化前断裂伸长率护套老化前抗张强度、护套老化前断裂伸长率。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电力电缆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绝缘平均厚度、绝缘最薄处厚度、护套最薄处厚度、导体电阻、成品电压试验、绝缘老化前抗张强度、绝缘老化前断裂伸长率、护套老化前抗张强度、护套老化前断裂伸长率、绝缘热延伸试验、绝缘热收缩试验。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控制电缆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绝缘平均厚度、绝缘最薄处厚度、护套平均厚度、护套最薄处厚度、导体电阻、成品电压试验、绝缘老化前抗张强度、绝缘老化前断裂伸长率、护套老化前抗张强度、护套老化前断裂伸长率、护套热冲击、绝缘热延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油漆涂料、胶粘剂（水性木器漆、内外墙涂料（含防水涂料）、内外墙腻子、溶剂型木器漆、溶剂型工业漆、胶粘剂）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1.水性木器涂料：VOC含量、甲醛含量、总铅（Pb）含量、可溶性重金属含量、苯系物总和含量、乙二醇醚及醚酯总和含量、烷基酚聚氧乙烯醚总和含量；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2.建筑涂料：VOC含量、甲醛含量、苯系物总和含量、总铅（Pb）含量、可溶性重金属含量、烷基酚聚氧乙烯醚总和含量、对比率、耐洗刷性、耐沾污性、低温稳定性；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3.</w:t>
            </w:r>
            <w:r>
              <w:rPr>
                <w:rFonts w:hint="eastAsia" w:hAnsi="仿宋"/>
                <w:szCs w:val="28"/>
              </w:rPr>
              <w:t>内外墙腻子：VOC含量、甲醛含量、苯系物总和含量、总铅（Pb）含量、可溶性重金属含量干燥时间、初期干燥抗裂性、打磨性、耐水性、粘结强度（标准状态）、耐碱性；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4.</w:t>
            </w:r>
            <w:r>
              <w:rPr>
                <w:rFonts w:hint="eastAsia" w:hAnsi="仿宋"/>
                <w:szCs w:val="28"/>
              </w:rPr>
              <w:t>溶剂型木器涂料：VOC含量，总铅（Pb）含量、可溶性重金属含量、乙二醇醚及醚酯总和含量、苯含量，甲苯与二甲苯（含乙苯）总和含量，多环芳烃含量、游离二异氰酸酯总和含量，甲醇含量、卤代烃总和含量、邻苯二甲酸酯总和含量、铅笔硬度、附着力、划格试验弯曲试验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5.</w:t>
            </w:r>
            <w:r>
              <w:rPr>
                <w:rFonts w:hint="eastAsia" w:hAnsi="仿宋"/>
                <w:szCs w:val="28"/>
              </w:rPr>
              <w:t>溶剂型工业涂料：苯含量、甲苯与二甲苯（含乙苯）含量总和、卤代烃总和含量、多环芳烃总和含量、乙二醇醚及醚酯总和含量、重金属含量、细度、不挥发物含量、弯曲试验、划格试验、附着力、耐冲击性、柔韧性、铅笔硬度、耐沾污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6.</w:t>
            </w:r>
            <w:r>
              <w:rPr>
                <w:rFonts w:hint="eastAsia" w:hAnsi="仿宋"/>
                <w:szCs w:val="28"/>
              </w:rPr>
              <w:t>水性工业涂料：乙二醇醚及醚酯总和含量、重金属含量、细度、贮存稳定性、耐冲击性、不挥发物含量、干燥时间、弯曲试验、划格试验、附着力、铅笔硬度耐磨性、耐酸性、硬度；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7.</w:t>
            </w:r>
            <w:r>
              <w:rPr>
                <w:rFonts w:hint="eastAsia" w:hAnsi="仿宋"/>
                <w:szCs w:val="28"/>
              </w:rPr>
              <w:t>建筑质感涂料：VOC含量、甲醛含量、苯系物总和含量、总铅（Pb）含量、可溶性重金属含量、烷基酚聚氧乙烯醚总和含量、干燥时间、初期干燥抗裂性、低温稳定性、耐沾污性、粘结强度（标准状态）、柔韧性；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8.</w:t>
            </w:r>
            <w:r>
              <w:rPr>
                <w:rFonts w:hint="eastAsia" w:hAnsi="仿宋"/>
                <w:szCs w:val="28"/>
              </w:rPr>
              <w:t>胶粘剂：总挥发性有机物、苯、甲苯＋二甲苯、游离甲醛、二氯甲烷、1,2-二氯乙烷、1,1,2-三氯乙烷、三氯乙烯、1,1,1-三氯乙烷、不挥发物；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注：抽检项目具体要求按相关标准进行。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管材、管件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1.给水用聚乙烯（PE）管件：静液压强度（20℃，100h）、氧化诱导时间、灰分、卫生要求；</w:t>
            </w:r>
          </w:p>
          <w:p>
            <w:pPr>
              <w:ind w:firstLine="280" w:firstLineChars="0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rFonts w:hint="eastAsia"/>
                <w:szCs w:val="28"/>
              </w:rPr>
              <w:t>给水用聚乙烯（PE）管材：几何尺寸、静液压强度（20℃，100h）、氧化诱导时间、纵向回缩率、炭黑含量、灰分、断裂伸长率、卫生要求。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塑料袋、塑料垃圾袋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1.塑料袋：环保要求（厚度）、跌落性能、漏水性能、封合强度。</w:t>
            </w:r>
          </w:p>
          <w:p>
            <w:pPr>
              <w:ind w:firstLine="280" w:firstLineChars="0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.</w:t>
            </w:r>
            <w:r>
              <w:rPr>
                <w:rFonts w:hint="eastAsia"/>
                <w:szCs w:val="28"/>
              </w:rPr>
              <w:t>塑料垃圾袋：抗渗漏性能、跌落性能、拉紧绳拉伸力、提吊试验。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室内加热器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对触及带电部件的防护、输入功率和电流、耐潮湿（15.3）、泄漏电流和电气强度、稳定性和机械危险、电源连接和外部软线、接地措施、非正常工作（19.110、19.112、19.113）。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电热暖手器、电热水袋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对触及带电部件的防护、输入功率和电流、耐潮湿（15.3）、泄漏电流和电气强度、结构、电源连接和外部软线。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车用压缩天然气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车用压缩天然气：水、总硫（以硫计）。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液化石油气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1.</w:t>
            </w:r>
            <w:r>
              <w:rPr>
                <w:rFonts w:hint="eastAsia" w:hAnsi="仿宋"/>
                <w:szCs w:val="28"/>
              </w:rPr>
              <w:t>(C3+C4)烃类组分、C5及C5以上烃类组分、二甲醚。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车用尿素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尿素含量、密度、折光率、碱度、缩二脲、醛类、不溶物。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成品油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1.车用汽油：研究法辛烷值、硫含量、铅含量、苯含量、芳烃含量、烯烃含量、氧含量、甲醇含量、密度；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2.车用柴油：闪点(闭口)、硫含量、多环芳烃含量、脂肪酸甲酯含量、密度、十六烷值。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润滑油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汽油机油：运动粘度（100℃）、高温高剪切粘度、低温动力粘度、闪点（开口）、边界泵送温度、低温泵送黏度、蒸发损失；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柴油机油：运动粘度（100℃）、高温高剪切粘度、低温动力粘度、闪点（开口）、边界泵送温度、低温泵送黏度、蒸发损失；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重负荷车辆齿轮油：运动黏度（100℃）、黏度指数、倾点、闪点（开口）、铜片腐蚀（121℃，3h）、表观粘度；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液压油：运动黏度(40℃)、运动黏度(0℃) 、黏度指数、闪点、倾点、抗乳化性（乳化液到3mL的时间）。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化肥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总养分、氮、磷、钾、氯离子、有机质、缩二脲、亚甲基二脲、水分、水不溶物、砷、镉、铅、铬、汞、pH、游离酸、大量元素、中量元素、微量元素、腐植酸、密度、粒度；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电动自行车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车速限值、制动性能（干态）、整车质量、尺寸限值、结构、车速提示音、淋水涉水性能、把立管安全线、鞍管安全线、电气装置、控制系统（不测电动机功率）、充电器与蓄电池、使用说明。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两轮电动车用蓄电池（锂离子蓄电池、铅酸蓄电池）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电动自行车用锂离子蓄电池：I2放电、过充电保护、过放电保护、放电过流保护、短路保护；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电动摩托车和电动轻便摩托车用锂离子电池：室温放电容量、过充电保护、过放电保护、短路保护；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3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电动助力车用铅酸蓄电池：2hr容量、大电流放电特性、低温容量、能量密度。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电热食品加工设备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标志和说明、对触及带电部件的防护、输入功率和电流、工作温度下的泄漏电流和电气强度、稳定性和机械危险、结构（22.2）、内部布线（23.1）、电源连接和外部软线（25.3）、外部导线用接线端子（26.1）、接地措施（27.5）、螺钉和连接（28.4）、设备结构的安全卫生性、设备结构的可洗净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消防水炮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高温性能、水压密封性能、水压强度性能、低温性能。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点型感烟火灾探测器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气流试验、环境光线试验、高温试验、低温（运行）试验。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应急照明灯具及电源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基本功能试验、充、放电试验、重复转换试验、电压波动试验、转换电压试验、绝缘电阻、接地电阻、耐压试验。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手提式干粉灭火器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1.</w:t>
            </w:r>
            <w:r>
              <w:rPr>
                <w:rFonts w:hint="eastAsia" w:hAnsi="仿宋"/>
                <w:szCs w:val="28"/>
              </w:rPr>
              <w:t>20℃喷射性能、灭火剂充装量、超压保护装置动作压力检查（适用时）、结构检查、水压试验、爆破试验（筒体爆破压力、筒体容积膨胀率、筒体爆破口情况、筒体壁厚）、灭火剂检验（主要组分含量）。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（排烟）防火阀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驱动转矩、公差、复位功能、感温器控制、手动控制、电动控制、可靠性。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4</w:t>
            </w:r>
            <w:r>
              <w:rPr>
                <w:rFonts w:hAnsi="仿宋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消火栓箱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外形尺寸、材料（箱体厚度）、箱体刚度、箱门。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玻镁风管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燃烧性能、抗弯强度、软化系数。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消防排烟管道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铁皮风管检验项目：镀锌层、板材厚度、拼缝、法兰螺栓孔距。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消防排烟风机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1.消防排烟风机（轴流式）检验项目：机壳、安全要求、主要零件材料、装配要求。</w:t>
            </w:r>
          </w:p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2.消防排烟风机（离心式）检验项目：机械运转试验、轴承温升、振动速度有效值、叶轮径向单侧间隙。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消防水带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长度、单位长度质量、水压试验、爆破试验、延伸率、膨胀率、扭转方向、可弯曲性。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消防水枪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表面质量、抗跌落性能、密封性能、耐水压强度、耐高温试验、耐低温试验、耐腐蚀性。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防火门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耐火性能。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洒水喷头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水压密封和耐水压强度性能、静态动作温度。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建筑通风和排烟系统用阀门（ 防火阀、排烟防火阀）、建筑通风和排烟系统用阀门（排烟阀）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外观、公差、复位功能、手动控制、电动控制、温感器控制、驱动转矩、关闭可能性、耐火性能、绝缘性能、开启可靠性（根据具体产品选择项目）。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金属门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外观要求、框扇组装、框扇配合、五金配件安装、防腐处理、耐垂直荷载性能、启闭力。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5</w:t>
            </w:r>
            <w:r>
              <w:rPr>
                <w:rFonts w:hAnsi="仿宋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防盗门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Ansi="仿宋"/>
                <w:szCs w:val="28"/>
              </w:rPr>
              <w:t>1.</w:t>
            </w:r>
            <w:r>
              <w:rPr>
                <w:rFonts w:hint="eastAsia" w:hAnsi="仿宋"/>
                <w:szCs w:val="28"/>
              </w:rPr>
              <w:t>永久性标记、钢质板材厚度、防盗安全级别、防破坏性能、软冲击性能、悬端吊重性能、撞击障碍物性能、铰链转动性能、锁具防盗要求、锁具一般要求。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  <w:r>
              <w:rPr>
                <w:rFonts w:hAnsi="仿宋"/>
                <w:szCs w:val="28"/>
              </w:rPr>
              <w:t>0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低压成套开关设备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外接导线端子 、内部电路和连接 、成套设备外露可导电部分与保护电路之间的有效接地的连续性 、成套设备的防护等级 、电气间隙和爬电距离。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  <w:r>
              <w:rPr>
                <w:rFonts w:hAnsi="仿宋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农膜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外接导线端子 、内部电路和连接 、成套设备外露可导电部分与保护电路之间的有效接地的连续性、成套设备的防护等级、电气间隙和爬电距离。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  <w:r>
              <w:rPr>
                <w:rFonts w:hAnsi="仿宋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水嘴、花洒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外观、装配、抗水压机械性能、密封性能、流量、抗使用负载、耐腐蚀性能、整体抗拉性能。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  <w:r>
              <w:rPr>
                <w:rFonts w:hAnsi="仿宋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棉胎</w:t>
            </w:r>
          </w:p>
        </w:tc>
        <w:tc>
          <w:tcPr>
            <w:tcW w:w="6246" w:type="dxa"/>
            <w:shd w:val="clear" w:color="auto" w:fill="auto"/>
            <w:noWrap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原料要求、纤维成分含量。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  <w:r>
              <w:rPr>
                <w:rFonts w:hAnsi="仿宋"/>
                <w:szCs w:val="28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配装眼镜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球镜顶焦度偏差、柱镜顶焦度偏差、柱镜轴位方向偏差、光学中心水平距离偏差、光学中心垂直互差、光学中心单侧水平偏差、镜片材料和表面质量、装配质量、标志（标签）。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76" w:type="dxa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6</w:t>
            </w:r>
            <w:r>
              <w:rPr>
                <w:rFonts w:hAnsi="仿宋"/>
                <w:szCs w:val="28"/>
              </w:rPr>
              <w:t>5</w:t>
            </w: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ordWrap/>
              <w:ind w:firstLine="0" w:firstLineChars="0"/>
              <w:jc w:val="center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危险化学品包装物</w:t>
            </w:r>
          </w:p>
        </w:tc>
        <w:tc>
          <w:tcPr>
            <w:tcW w:w="6246" w:type="dxa"/>
            <w:shd w:val="clear" w:color="auto" w:fill="auto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1</w:t>
            </w:r>
            <w:r>
              <w:rPr>
                <w:rFonts w:hAnsi="仿宋"/>
                <w:szCs w:val="28"/>
              </w:rPr>
              <w:t>.</w:t>
            </w:r>
            <w:r>
              <w:rPr>
                <w:rFonts w:hint="eastAsia" w:hAnsi="仿宋"/>
                <w:szCs w:val="28"/>
              </w:rPr>
              <w:t>气密试验、液压试验、跌落试验、提环（梁）强度试验。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212" w:type="dxa"/>
            <w:gridSpan w:val="3"/>
            <w:vAlign w:val="center"/>
          </w:tcPr>
          <w:p>
            <w:pPr>
              <w:wordWrap/>
              <w:ind w:firstLine="280" w:firstLineChars="100"/>
              <w:jc w:val="both"/>
              <w:rPr>
                <w:rFonts w:hAnsi="仿宋"/>
                <w:szCs w:val="28"/>
              </w:rPr>
            </w:pPr>
            <w:r>
              <w:rPr>
                <w:rFonts w:hint="eastAsia" w:hAnsi="仿宋"/>
                <w:szCs w:val="28"/>
              </w:rPr>
              <w:t>备注：以上抽检商、产品按照省、市等相关细则及标准执行。</w:t>
            </w:r>
          </w:p>
        </w:tc>
      </w:tr>
    </w:tbl>
    <w:p>
      <w:pPr>
        <w:ind w:firstLine="560"/>
      </w:pPr>
      <w:r>
        <w:rPr>
          <w:rFonts w:hint="eastAsia"/>
        </w:rPr>
        <w:t>（二）抽检批次计划表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抽检类型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抽检任务（批）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工业商、产品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</w:pPr>
            <w:r>
              <w:t>420</w:t>
            </w:r>
          </w:p>
        </w:tc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ind w:firstLine="560"/>
      </w:pPr>
      <w:r>
        <w:rPr>
          <w:rFonts w:hint="eastAsia"/>
        </w:rPr>
        <w:t>（三）对辖区内重点企业进行检查；</w:t>
      </w:r>
    </w:p>
    <w:p>
      <w:pPr>
        <w:ind w:firstLine="560"/>
      </w:pPr>
      <w:r>
        <w:rPr>
          <w:rFonts w:hint="eastAsia"/>
        </w:rPr>
        <w:t>（四）供应商应具备相关专业人员/专家对本项目进行技术协助与支持。</w:t>
      </w:r>
    </w:p>
    <w:p>
      <w:pPr>
        <w:pStyle w:val="2"/>
        <w:spacing w:before="156" w:after="156"/>
        <w:ind w:firstLine="562"/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、商务要求（实质性要求）</w:t>
      </w:r>
    </w:p>
    <w:p>
      <w:pPr>
        <w:ind w:firstLine="560"/>
      </w:pPr>
      <w:r>
        <w:rPr>
          <w:rFonts w:hint="eastAsia"/>
        </w:rPr>
        <w:t>（一）合同履行期限：本项目一采三年，</w:t>
      </w:r>
      <w:bookmarkStart w:id="0" w:name="_GoBack"/>
      <w:bookmarkEnd w:id="0"/>
      <w:r>
        <w:rPr>
          <w:rFonts w:hint="eastAsia"/>
        </w:rPr>
        <w:t>合同一年一签，在年度预算保证且供应商检验能力合格的情况下，签订次年合同；</w:t>
      </w:r>
    </w:p>
    <w:p>
      <w:pPr>
        <w:ind w:firstLine="560"/>
      </w:pPr>
      <w:r>
        <w:rPr>
          <w:rFonts w:hint="eastAsia"/>
        </w:rPr>
        <w:t>（二）合同履约地点：郫都区；</w:t>
      </w:r>
    </w:p>
    <w:p>
      <w:pPr>
        <w:ind w:firstLine="560"/>
      </w:pPr>
      <w:r>
        <w:rPr>
          <w:rFonts w:hint="eastAsia"/>
        </w:rPr>
        <w:t>（三）支付</w:t>
      </w:r>
      <w:r>
        <w:t>方式：</w:t>
      </w:r>
      <w:r>
        <w:rPr>
          <w:rFonts w:hint="eastAsia"/>
        </w:rPr>
        <w:t>分期支付；</w:t>
      </w:r>
    </w:p>
    <w:p>
      <w:pPr>
        <w:ind w:firstLine="560"/>
        <w:rPr>
          <w:highlight w:val="lightGray"/>
        </w:rPr>
      </w:pPr>
      <w:r>
        <w:rPr>
          <w:rFonts w:hint="eastAsia"/>
        </w:rPr>
        <w:t>（四）履约保证金及缴纳形式：</w:t>
      </w:r>
    </w:p>
    <w:p>
      <w:pPr>
        <w:ind w:firstLine="560"/>
      </w:pPr>
      <w:r>
        <w:rPr>
          <w:rFonts w:hint="eastAsia"/>
        </w:rPr>
        <w:t>中标/成交供应商是否需要缴纳履约保证金：否；</w:t>
      </w:r>
    </w:p>
    <w:p>
      <w:pPr>
        <w:ind w:firstLine="560"/>
      </w:pPr>
      <w:r>
        <w:rPr>
          <w:rFonts w:hint="eastAsia"/>
        </w:rPr>
        <w:t>（五）质量保证金及缴纳形式：</w:t>
      </w:r>
    </w:p>
    <w:p>
      <w:pPr>
        <w:ind w:firstLine="560"/>
      </w:pPr>
      <w:r>
        <w:rPr>
          <w:rFonts w:hint="eastAsia"/>
        </w:rPr>
        <w:t>中标/成交供应商是否需要缴纳质量保证金：否；</w:t>
      </w:r>
    </w:p>
    <w:p>
      <w:pPr>
        <w:ind w:firstLine="560"/>
      </w:pPr>
      <w:r>
        <w:rPr>
          <w:rFonts w:hint="eastAsia"/>
        </w:rPr>
        <w:t>（六）合同支付约定：</w:t>
      </w:r>
    </w:p>
    <w:p>
      <w:pPr>
        <w:ind w:firstLine="560"/>
      </w:pPr>
      <w:r>
        <w:rPr>
          <w:rFonts w:hint="eastAsia"/>
        </w:rPr>
        <w:t>按季度支付，第一季度结束后，供应商按照采购人财务会计制度要求提供相关付款材料，达到付款条件之日起30日，支付合同总金额的</w:t>
      </w:r>
      <w:r>
        <w:t>25</w:t>
      </w:r>
      <w:r>
        <w:rPr>
          <w:rFonts w:hint="eastAsia"/>
        </w:rPr>
        <w:t>%。</w:t>
      </w:r>
    </w:p>
    <w:p>
      <w:pPr>
        <w:ind w:firstLine="560"/>
      </w:pPr>
      <w:r>
        <w:rPr>
          <w:rFonts w:hint="eastAsia"/>
        </w:rPr>
        <w:t>按季度支付，第二季度结束后，供应商按照采购人财务会计制度要求提供相关付款材料，达到付款条件之日起30日，支付合同总金额的25%。</w:t>
      </w:r>
    </w:p>
    <w:p>
      <w:pPr>
        <w:ind w:firstLine="560"/>
      </w:pPr>
      <w:r>
        <w:rPr>
          <w:rFonts w:hint="eastAsia"/>
        </w:rPr>
        <w:t>按季度支付，第三季度结束后，供应商按照采购人财务会计制度要求提供相关付款材料，达到付款条件之日起30日，支付合同总金额的25%。</w:t>
      </w:r>
    </w:p>
    <w:p>
      <w:pPr>
        <w:ind w:firstLine="560"/>
        <w:rPr>
          <w:rFonts w:hint="eastAsia"/>
          <w:highlight w:val="lightGray"/>
        </w:rPr>
      </w:pPr>
      <w:r>
        <w:rPr>
          <w:rFonts w:hint="eastAsia"/>
        </w:rPr>
        <w:t>按季度支付，第四季度结束后，供应商按照采购人财务会计制度要求提供相关付款材料，达到付款条件之日起30日，支付合同总金额的25%。</w:t>
      </w:r>
    </w:p>
    <w:p>
      <w:pPr>
        <w:ind w:firstLine="560"/>
      </w:pPr>
      <w:r>
        <w:rPr>
          <w:rFonts w:hint="eastAsia"/>
        </w:rPr>
        <w:t>（七）验收交付标准和方法：采购人将严格按照采购文件要求、响应文件应答、采购合同等内容，严格按照《财政部关于进一步加强政府采购需求和履约验收管理的指导意见》（财库〔2016〕205号）、财政部《政府采购需求管理办法》（财库[2021]22号）文件的规定、采购项目具体要求进行验收；</w:t>
      </w:r>
    </w:p>
    <w:p>
      <w:pPr>
        <w:ind w:firstLine="560"/>
      </w:pPr>
      <w:r>
        <w:rPr>
          <w:rFonts w:hint="eastAsia"/>
        </w:rPr>
        <w:t>（八）质量保修范围和保修期：</w:t>
      </w:r>
    </w:p>
    <w:p>
      <w:pPr>
        <w:ind w:firstLine="560"/>
      </w:pPr>
      <w:r>
        <w:rPr>
          <w:rFonts w:hint="eastAsia"/>
        </w:rPr>
        <w:t>保修范围：</w:t>
      </w:r>
      <w:r>
        <w:t>/</w:t>
      </w:r>
      <w:r>
        <w:rPr>
          <w:rFonts w:hint="eastAsia"/>
        </w:rPr>
        <w:t>；</w:t>
      </w:r>
    </w:p>
    <w:p>
      <w:pPr>
        <w:ind w:firstLine="560"/>
      </w:pPr>
      <w:r>
        <w:rPr>
          <w:rFonts w:hint="eastAsia"/>
        </w:rPr>
        <w:t>保修期：</w:t>
      </w:r>
      <w:r>
        <w:t>/</w:t>
      </w:r>
      <w:r>
        <w:rPr>
          <w:rFonts w:hint="eastAsia"/>
        </w:rPr>
        <w:t>；</w:t>
      </w:r>
    </w:p>
    <w:p>
      <w:pPr>
        <w:ind w:firstLine="560"/>
      </w:pPr>
      <w:r>
        <w:rPr>
          <w:rFonts w:hint="eastAsia"/>
        </w:rPr>
        <w:t>（九）知识产权归属和处理方式：供应商应保证在本项目中使用的任何产品和服务（包括部分使用），不会产生因第三方提出侵犯其专利权、商标权或其它知识产权而引起的法律和经济纠纷，如因专利权、商标权或其它知识产权而引起法律和经济纠纷，由供应商承担所有相关责任。除非采购文件特别规定，采购人享有本项目实施过程中产生的知识成果及知识产权。供应商将在采购项目实施过程中采用自有或者第三方知识成果的，应当在响应文件中载明，并提供相关知识产权证明文件。使用该知识成果后，供应商需提供开发接口和开发手册等技术资料，并承诺提供无限期支持，采购人享有使用权（含采购人委托第三方在该项目后续开发的使用权）。如采用供应商所不拥有的知识产权，则在报价中必须包括合法获取该知识产权的相关费用。</w:t>
      </w:r>
    </w:p>
    <w:p>
      <w:pPr>
        <w:ind w:firstLine="560"/>
      </w:pPr>
      <w:r>
        <w:rPr>
          <w:rFonts w:hint="eastAsia"/>
        </w:rPr>
        <w:t>（十）成本补偿和风险分担约定：安全责任：项目实施过程中，一切由中标/成交人自身原因造成的人身安全事故，均由中标/成交人承担责任；</w:t>
      </w:r>
    </w:p>
    <w:p>
      <w:pPr>
        <w:ind w:firstLine="560"/>
      </w:pPr>
      <w:r>
        <w:rPr>
          <w:rFonts w:hint="eastAsia"/>
        </w:rPr>
        <w:t>（十一）违约责任与解决争议的方法：协商、仲裁、诉讼等。</w:t>
      </w:r>
    </w:p>
    <w:p>
      <w:r>
        <w:rPr>
          <w:rFonts w:hint="eastAsia"/>
        </w:rPr>
        <w:t>（十二）合同其他条款：无。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YzdiZGFlYzFjMmE0MjlmYzE3ZDBiY2NhODlmNjYifQ=="/>
  </w:docVars>
  <w:rsids>
    <w:rsidRoot w:val="00000000"/>
    <w:rsid w:val="675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00" w:lineRule="exact"/>
      <w:ind w:firstLine="200" w:firstLineChars="200"/>
    </w:pPr>
    <w:rPr>
      <w:rFonts w:ascii="仿宋" w:hAnsi="Calibri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before="50" w:beforeLines="50" w:after="50" w:afterLines="50" w:line="500" w:lineRule="exact"/>
      <w:ind w:firstLine="200" w:firstLineChars="200"/>
      <w:outlineLvl w:val="0"/>
    </w:pPr>
    <w:rPr>
      <w:rFonts w:ascii="黑体" w:hAnsi="Calibri" w:eastAsia="黑体" w:cs="Times New Roman"/>
      <w:b/>
      <w:bCs/>
      <w:kern w:val="44"/>
      <w:sz w:val="28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2023-01-19T02:33:32Z</dcterms:created>
  <dc:creator>Administrator</dc:creator>
  <cp:lastModifiedBy>WPS_1524716254</cp:lastModifiedBy>
  <dcterms:modified xsi:type="dcterms:W3CDTF">2023-01-19T02:34:21Z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0433495AEBE048DABFC1CEE2CE01A465</vt:lpwstr>
  </property>
</Properties>
</file>