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Pr>
    </w:p>
    <w:p>
      <w:pPr>
        <w:pStyle w:val="6"/>
        <w:jc w:val="center"/>
        <w:outlineLvl w:val="1"/>
      </w:pPr>
      <w:r>
        <w:rPr>
          <w:b/>
          <w:sz w:val="36"/>
        </w:rPr>
        <w:t>招标项目技术、服务、商务及其他要求</w:t>
      </w:r>
    </w:p>
    <w:p>
      <w:pPr>
        <w:pStyle w:val="6"/>
        <w:ind w:firstLine="480"/>
      </w:pPr>
      <w:r>
        <w:t xml:space="preserve"> （注：当采购包的评标方法为综合评分法时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6"/>
        <w:ind w:firstLine="480"/>
      </w:pPr>
      <w:r>
        <w:t xml:space="preserve"> （注：当采购包的评标方法为最低评标价法时带“★”的参数需求为实质性要求，供应商必须响应并满足的参数需求，采购人、采购代理机构应当根据项目实际需求合理设定，并明确具体要求。）</w:t>
      </w:r>
    </w:p>
    <w:p>
      <w:pPr>
        <w:pStyle w:val="6"/>
        <w:outlineLvl w:val="2"/>
      </w:pPr>
      <w:r>
        <w:rPr>
          <w:b/>
          <w:sz w:val="28"/>
          <w:lang w:val="en-US"/>
        </w:rPr>
        <w:t>1</w:t>
      </w:r>
      <w:r>
        <w:rPr>
          <w:b/>
          <w:sz w:val="28"/>
        </w:rPr>
        <w:t>.1采购项目概况</w:t>
      </w:r>
    </w:p>
    <w:p>
      <w:pPr>
        <w:pStyle w:val="6"/>
      </w:pPr>
      <w:r>
        <w:t>新津区花源街道安置小区七期，占地面积52569平方米，建筑总面积192323.44平方米，地上面积131410.18平方米，地下两层面积59126.51平方米，绿化面积16606.15平方米；含机动车位1554辆，非机动车位1336辆；小区总户数1380户；电梯26台；楼宇数量9栋：其中21层1栋、22层4栋、17层3栋、2层1栋，小区出入口数量3个。</w:t>
      </w:r>
    </w:p>
    <w:p>
      <w:pPr>
        <w:pStyle w:val="6"/>
        <w:outlineLvl w:val="2"/>
      </w:pPr>
      <w:r>
        <w:rPr>
          <w:b/>
          <w:sz w:val="28"/>
          <w:lang w:val="en-US"/>
        </w:rPr>
        <w:t>1</w:t>
      </w:r>
      <w:r>
        <w:rPr>
          <w:b/>
          <w:sz w:val="28"/>
        </w:rPr>
        <w:t>.2服务内容及服务要求</w:t>
      </w:r>
    </w:p>
    <w:p>
      <w:pPr>
        <w:pStyle w:val="6"/>
        <w:outlineLvl w:val="3"/>
      </w:pPr>
      <w:r>
        <w:rPr>
          <w:b/>
          <w:sz w:val="24"/>
          <w:lang w:val="en-US"/>
        </w:rPr>
        <w:t>1</w:t>
      </w:r>
      <w:r>
        <w:rPr>
          <w:b/>
          <w:sz w:val="24"/>
        </w:rPr>
        <w:t>.2.1服务内容</w:t>
      </w:r>
    </w:p>
    <w:p>
      <w:pPr>
        <w:pStyle w:val="6"/>
      </w:pPr>
      <w:r>
        <w:t>采购包1：</w:t>
      </w:r>
    </w:p>
    <w:p>
      <w:pPr>
        <w:pStyle w:val="6"/>
      </w:pPr>
      <w:r>
        <w:t>采购包预算金额（元）: 1,690,000.00</w:t>
      </w:r>
    </w:p>
    <w:p>
      <w:pPr>
        <w:pStyle w:val="6"/>
      </w:pPr>
      <w:r>
        <w:t>采购包最高限价（元）: 1,690,000.00</w:t>
      </w:r>
    </w:p>
    <w:tbl>
      <w:tblPr>
        <w:tblStyle w:val="5"/>
        <w:tblW w:w="8306"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678"/>
        <w:gridCol w:w="1271"/>
        <w:gridCol w:w="848"/>
        <w:gridCol w:w="1356"/>
        <w:gridCol w:w="678"/>
        <w:gridCol w:w="678"/>
        <w:gridCol w:w="593"/>
        <w:gridCol w:w="678"/>
        <w:gridCol w:w="678"/>
        <w:gridCol w:w="848"/>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678" w:type="dxa"/>
          </w:tcPr>
          <w:p>
            <w:pPr>
              <w:pStyle w:val="6"/>
            </w:pPr>
            <w:r>
              <w:t>序号</w:t>
            </w:r>
          </w:p>
        </w:tc>
        <w:tc>
          <w:tcPr>
            <w:tcW w:w="1271" w:type="dxa"/>
          </w:tcPr>
          <w:p>
            <w:pPr>
              <w:pStyle w:val="6"/>
            </w:pPr>
            <w:r>
              <w:t>标的名称</w:t>
            </w:r>
          </w:p>
        </w:tc>
        <w:tc>
          <w:tcPr>
            <w:tcW w:w="848" w:type="dxa"/>
          </w:tcPr>
          <w:p>
            <w:pPr>
              <w:pStyle w:val="6"/>
            </w:pPr>
            <w:r>
              <w:t>数量</w:t>
            </w:r>
          </w:p>
        </w:tc>
        <w:tc>
          <w:tcPr>
            <w:tcW w:w="1356" w:type="dxa"/>
          </w:tcPr>
          <w:p>
            <w:pPr>
              <w:pStyle w:val="6"/>
            </w:pPr>
            <w:r>
              <w:t>标的金额 （元）</w:t>
            </w:r>
          </w:p>
        </w:tc>
        <w:tc>
          <w:tcPr>
            <w:tcW w:w="678" w:type="dxa"/>
          </w:tcPr>
          <w:p>
            <w:pPr>
              <w:pStyle w:val="6"/>
            </w:pPr>
            <w:r>
              <w:t>计量单位</w:t>
            </w:r>
          </w:p>
        </w:tc>
        <w:tc>
          <w:tcPr>
            <w:tcW w:w="678" w:type="dxa"/>
          </w:tcPr>
          <w:p>
            <w:pPr>
              <w:pStyle w:val="6"/>
            </w:pPr>
            <w:r>
              <w:t>所属行业</w:t>
            </w:r>
          </w:p>
        </w:tc>
        <w:tc>
          <w:tcPr>
            <w:tcW w:w="593" w:type="dxa"/>
          </w:tcPr>
          <w:p>
            <w:pPr>
              <w:pStyle w:val="6"/>
            </w:pPr>
            <w:r>
              <w:t>是否涉及核心产品</w:t>
            </w:r>
          </w:p>
        </w:tc>
        <w:tc>
          <w:tcPr>
            <w:tcW w:w="678" w:type="dxa"/>
          </w:tcPr>
          <w:p>
            <w:pPr>
              <w:pStyle w:val="6"/>
            </w:pPr>
            <w:r>
              <w:t>是否涉及采购进口产品</w:t>
            </w:r>
          </w:p>
        </w:tc>
        <w:tc>
          <w:tcPr>
            <w:tcW w:w="678" w:type="dxa"/>
          </w:tcPr>
          <w:p>
            <w:pPr>
              <w:pStyle w:val="6"/>
            </w:pPr>
            <w:r>
              <w:t>是否涉及采购节能产品</w:t>
            </w:r>
          </w:p>
        </w:tc>
        <w:tc>
          <w:tcPr>
            <w:tcW w:w="848" w:type="dxa"/>
          </w:tcPr>
          <w:p>
            <w:pPr>
              <w:pStyle w:val="6"/>
            </w:pPr>
            <w:r>
              <w:t>是否涉及采购环境标志产品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Ex>
        <w:tc>
          <w:tcPr>
            <w:tcW w:w="678" w:type="dxa"/>
          </w:tcPr>
          <w:p>
            <w:pPr>
              <w:pStyle w:val="6"/>
            </w:pPr>
            <w:r>
              <w:t>1</w:t>
            </w:r>
          </w:p>
        </w:tc>
        <w:tc>
          <w:tcPr>
            <w:tcW w:w="1271" w:type="dxa"/>
          </w:tcPr>
          <w:p>
            <w:pPr>
              <w:pStyle w:val="6"/>
            </w:pPr>
            <w:r>
              <w:t>成都市新津区花源街道安置小区七期物业服务</w:t>
            </w:r>
          </w:p>
        </w:tc>
        <w:tc>
          <w:tcPr>
            <w:tcW w:w="848" w:type="dxa"/>
          </w:tcPr>
          <w:p>
            <w:pPr>
              <w:pStyle w:val="6"/>
              <w:jc w:val="right"/>
            </w:pPr>
            <w:r>
              <w:t>1.00</w:t>
            </w:r>
          </w:p>
        </w:tc>
        <w:tc>
          <w:tcPr>
            <w:tcW w:w="1356" w:type="dxa"/>
          </w:tcPr>
          <w:p>
            <w:pPr>
              <w:pStyle w:val="6"/>
              <w:jc w:val="right"/>
            </w:pPr>
            <w:r>
              <w:t>1,690,000.00</w:t>
            </w:r>
          </w:p>
        </w:tc>
        <w:tc>
          <w:tcPr>
            <w:tcW w:w="678" w:type="dxa"/>
          </w:tcPr>
          <w:p>
            <w:pPr>
              <w:pStyle w:val="6"/>
            </w:pPr>
            <w:r>
              <w:t>个</w:t>
            </w:r>
          </w:p>
        </w:tc>
        <w:tc>
          <w:tcPr>
            <w:tcW w:w="678" w:type="dxa"/>
          </w:tcPr>
          <w:p>
            <w:pPr>
              <w:pStyle w:val="6"/>
            </w:pPr>
            <w:r>
              <w:t>物业管理</w:t>
            </w:r>
          </w:p>
        </w:tc>
        <w:tc>
          <w:tcPr>
            <w:tcW w:w="593" w:type="dxa"/>
          </w:tcPr>
          <w:p>
            <w:pPr>
              <w:pStyle w:val="6"/>
            </w:pPr>
            <w:r>
              <w:t>否</w:t>
            </w:r>
          </w:p>
        </w:tc>
        <w:tc>
          <w:tcPr>
            <w:tcW w:w="678" w:type="dxa"/>
          </w:tcPr>
          <w:p>
            <w:pPr>
              <w:pStyle w:val="6"/>
            </w:pPr>
            <w:r>
              <w:t>否</w:t>
            </w:r>
          </w:p>
        </w:tc>
        <w:tc>
          <w:tcPr>
            <w:tcW w:w="678" w:type="dxa"/>
          </w:tcPr>
          <w:p>
            <w:pPr>
              <w:pStyle w:val="6"/>
            </w:pPr>
            <w:r>
              <w:t>否</w:t>
            </w:r>
          </w:p>
        </w:tc>
        <w:tc>
          <w:tcPr>
            <w:tcW w:w="848" w:type="dxa"/>
          </w:tcPr>
          <w:p>
            <w:pPr>
              <w:pStyle w:val="6"/>
            </w:pPr>
            <w:r>
              <w:t>否</w:t>
            </w:r>
          </w:p>
        </w:tc>
      </w:tr>
    </w:tbl>
    <w:p>
      <w:pPr>
        <w:pStyle w:val="6"/>
        <w:outlineLvl w:val="3"/>
      </w:pPr>
      <w:r>
        <w:rPr>
          <w:b/>
          <w:sz w:val="24"/>
          <w:lang w:val="en-US"/>
        </w:rPr>
        <w:t>1</w:t>
      </w:r>
      <w:r>
        <w:rPr>
          <w:b/>
          <w:sz w:val="24"/>
        </w:rPr>
        <w:t>.2.2服务要求</w:t>
      </w:r>
    </w:p>
    <w:p>
      <w:pPr>
        <w:pStyle w:val="6"/>
      </w:pPr>
      <w:r>
        <w:t>采购包1：</w:t>
      </w:r>
    </w:p>
    <w:p>
      <w:pPr>
        <w:pStyle w:val="6"/>
      </w:pPr>
    </w:p>
    <w:p>
      <w:pPr>
        <w:pStyle w:val="6"/>
      </w:pPr>
      <w:r>
        <w:t>标的名称：成都市新津区花源街道安置小区七期物业服务</w:t>
      </w:r>
    </w:p>
    <w:tbl>
      <w:tblPr>
        <w:tblStyle w:val="5"/>
        <w:tblW w:w="956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
      <w:tblGrid>
        <w:gridCol w:w="840"/>
        <w:gridCol w:w="600"/>
        <w:gridCol w:w="812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84" w:hRule="atLeast"/>
        </w:trPr>
        <w:tc>
          <w:tcPr>
            <w:tcW w:w="840" w:type="dxa"/>
            <w:tcBorders>
              <w:top w:val="single" w:color="333333" w:sz="4" w:space="0"/>
              <w:left w:val="single" w:color="333333" w:sz="4" w:space="0"/>
              <w:bottom w:val="single" w:color="333333" w:sz="4" w:space="0"/>
              <w:right w:val="single" w:color="333333" w:sz="4" w:space="0"/>
            </w:tcBorders>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center"/>
              <w:rPr>
                <w:b/>
                <w:sz w:val="19"/>
                <w:szCs w:val="19"/>
              </w:rPr>
            </w:pPr>
            <w:r>
              <w:rPr>
                <w:rFonts w:ascii="宋体" w:hAnsi="宋体" w:eastAsia="宋体" w:cs="宋体"/>
                <w:b/>
                <w:kern w:val="0"/>
                <w:sz w:val="19"/>
                <w:szCs w:val="19"/>
                <w:lang w:val="en-US" w:eastAsia="zh-CN" w:bidi="ar"/>
              </w:rPr>
              <w:t>参数性质</w:t>
            </w:r>
          </w:p>
        </w:tc>
        <w:tc>
          <w:tcPr>
            <w:tcW w:w="600" w:type="dxa"/>
            <w:tcBorders>
              <w:top w:val="single" w:color="333333" w:sz="4" w:space="0"/>
              <w:left w:val="single" w:color="333333" w:sz="4" w:space="0"/>
              <w:bottom w:val="single" w:color="333333" w:sz="4" w:space="0"/>
              <w:right w:val="single" w:color="333333" w:sz="4" w:space="0"/>
            </w:tcBorders>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center"/>
              <w:rPr>
                <w:b/>
                <w:sz w:val="19"/>
                <w:szCs w:val="19"/>
              </w:rPr>
            </w:pPr>
            <w:r>
              <w:rPr>
                <w:rFonts w:ascii="宋体" w:hAnsi="宋体" w:eastAsia="宋体" w:cs="宋体"/>
                <w:b/>
                <w:kern w:val="0"/>
                <w:sz w:val="19"/>
                <w:szCs w:val="19"/>
                <w:lang w:val="en-US" w:eastAsia="zh-CN" w:bidi="ar"/>
              </w:rPr>
              <w:t>序号</w:t>
            </w:r>
          </w:p>
        </w:tc>
        <w:tc>
          <w:tcPr>
            <w:tcW w:w="8129" w:type="dxa"/>
            <w:tcBorders>
              <w:top w:val="single" w:color="333333" w:sz="4" w:space="0"/>
              <w:left w:val="single" w:color="333333" w:sz="4" w:space="0"/>
              <w:bottom w:val="single" w:color="333333" w:sz="4" w:space="0"/>
              <w:right w:val="single" w:color="333333" w:sz="4" w:space="0"/>
            </w:tcBorders>
            <w:tcMar>
              <w:top w:w="60" w:type="dxa"/>
              <w:left w:w="96" w:type="dxa"/>
              <w:bottom w:w="60" w:type="dxa"/>
              <w:right w:w="96" w:type="dxa"/>
            </w:tcMar>
            <w:vAlign w:val="center"/>
          </w:tcPr>
          <w:p>
            <w:pPr>
              <w:keepNext w:val="0"/>
              <w:keepLines w:val="0"/>
              <w:widowControl/>
              <w:suppressLineNumbers w:val="0"/>
              <w:wordWrap/>
              <w:spacing w:before="0" w:beforeAutospacing="0" w:after="0" w:afterAutospacing="0" w:line="288" w:lineRule="atLeast"/>
              <w:ind w:left="0" w:right="0"/>
              <w:jc w:val="center"/>
              <w:rPr>
                <w:b/>
                <w:sz w:val="19"/>
                <w:szCs w:val="19"/>
              </w:rPr>
            </w:pPr>
            <w:r>
              <w:rPr>
                <w:rFonts w:ascii="宋体" w:hAnsi="宋体" w:eastAsia="宋体" w:cs="宋体"/>
                <w:b/>
                <w:kern w:val="0"/>
                <w:sz w:val="19"/>
                <w:szCs w:val="19"/>
                <w:lang w:val="en-US" w:eastAsia="zh-CN" w:bidi="ar"/>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84" w:hRule="atLeast"/>
        </w:trPr>
        <w:tc>
          <w:tcPr>
            <w:tcW w:w="840" w:type="dxa"/>
            <w:tcBorders>
              <w:top w:val="single" w:color="333333" w:sz="4" w:space="0"/>
              <w:left w:val="single" w:color="333333" w:sz="4" w:space="0"/>
              <w:bottom w:val="single" w:color="333333" w:sz="4" w:space="0"/>
              <w:right w:val="single" w:color="333333" w:sz="4" w:space="0"/>
            </w:tcBorders>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left"/>
              <w:rPr>
                <w:sz w:val="19"/>
                <w:szCs w:val="19"/>
              </w:rPr>
            </w:pPr>
            <w:r>
              <w:rPr>
                <w:rFonts w:ascii="宋体" w:hAnsi="宋体" w:eastAsia="宋体" w:cs="宋体"/>
                <w:kern w:val="0"/>
                <w:sz w:val="19"/>
                <w:szCs w:val="19"/>
                <w:lang w:val="en-US" w:eastAsia="zh-CN" w:bidi="ar"/>
              </w:rPr>
              <w:t>★</w:t>
            </w:r>
          </w:p>
        </w:tc>
        <w:tc>
          <w:tcPr>
            <w:tcW w:w="600" w:type="dxa"/>
            <w:tcBorders>
              <w:top w:val="single" w:color="333333" w:sz="4" w:space="0"/>
              <w:left w:val="single" w:color="333333" w:sz="4" w:space="0"/>
              <w:bottom w:val="single" w:color="333333" w:sz="4" w:space="0"/>
              <w:right w:val="single" w:color="333333" w:sz="4" w:space="0"/>
            </w:tcBorders>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left"/>
              <w:rPr>
                <w:sz w:val="19"/>
                <w:szCs w:val="19"/>
              </w:rPr>
            </w:pPr>
            <w:r>
              <w:rPr>
                <w:rFonts w:ascii="宋体" w:hAnsi="宋体" w:eastAsia="宋体" w:cs="宋体"/>
                <w:kern w:val="0"/>
                <w:sz w:val="19"/>
                <w:szCs w:val="19"/>
                <w:lang w:val="en-US" w:eastAsia="zh-CN" w:bidi="ar"/>
              </w:rPr>
              <w:t>1</w:t>
            </w:r>
          </w:p>
        </w:tc>
        <w:tc>
          <w:tcPr>
            <w:tcW w:w="8129" w:type="dxa"/>
            <w:tcBorders>
              <w:top w:val="single" w:color="333333" w:sz="4" w:space="0"/>
              <w:left w:val="single" w:color="333333" w:sz="4" w:space="0"/>
              <w:bottom w:val="single" w:color="333333" w:sz="4" w:space="0"/>
              <w:right w:val="single" w:color="333333" w:sz="4" w:space="0"/>
            </w:tcBorders>
            <w:tcMar>
              <w:top w:w="60" w:type="dxa"/>
              <w:left w:w="96" w:type="dxa"/>
              <w:bottom w:w="60" w:type="dxa"/>
              <w:right w:w="9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2"/>
              <w:jc w:val="both"/>
              <w:rPr>
                <w:sz w:val="19"/>
                <w:szCs w:val="19"/>
              </w:rPr>
            </w:pPr>
            <w:r>
              <w:rPr>
                <w:rFonts w:ascii="Calibri" w:hAnsi="Calibri" w:cs="Calibri"/>
                <w:sz w:val="24"/>
                <w:szCs w:val="24"/>
              </w:rPr>
              <w:t>★</w:t>
            </w:r>
            <w:r>
              <w:rPr>
                <w:rStyle w:val="4"/>
                <w:rFonts w:hint="eastAsia" w:ascii="宋体" w:hAnsi="宋体" w:eastAsia="宋体" w:cs="宋体"/>
                <w:sz w:val="28"/>
                <w:szCs w:val="28"/>
              </w:rPr>
              <w:t>一、服务内容及服务要求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2"/>
              <w:jc w:val="both"/>
              <w:rPr>
                <w:sz w:val="19"/>
                <w:szCs w:val="19"/>
              </w:rPr>
            </w:pPr>
            <w:r>
              <w:rPr>
                <w:rStyle w:val="4"/>
                <w:rFonts w:hint="eastAsia" w:ascii="宋体" w:hAnsi="宋体" w:eastAsia="宋体" w:cs="宋体"/>
                <w:sz w:val="24"/>
                <w:szCs w:val="24"/>
              </w:rPr>
              <w:t>（一）物业服务质量标准及要求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both"/>
              <w:rPr>
                <w:sz w:val="19"/>
                <w:szCs w:val="19"/>
              </w:rPr>
            </w:pPr>
            <w:r>
              <w:rPr>
                <w:rFonts w:hint="eastAsia" w:ascii="宋体" w:hAnsi="宋体" w:eastAsia="宋体" w:cs="宋体"/>
                <w:sz w:val="24"/>
                <w:szCs w:val="24"/>
              </w:rPr>
              <w:t>1、物业服务质量标准参照四川省成都市地方标准《住宅物业服务等级规范》（DB5101_T123-2021）住宅三级服务标准、《四川省物业管理条例》及采购人为本项目物业服务制定的物业服务标准。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both"/>
              <w:rPr>
                <w:sz w:val="19"/>
                <w:szCs w:val="19"/>
              </w:rPr>
            </w:pPr>
            <w:r>
              <w:rPr>
                <w:rFonts w:hint="eastAsia" w:ascii="宋体" w:hAnsi="宋体" w:eastAsia="宋体" w:cs="宋体"/>
                <w:sz w:val="24"/>
                <w:szCs w:val="24"/>
              </w:rPr>
              <w:t>2、本项目物业服务范围还包含物业承接查验、水电气费用代收代缴等采购人针对本项目提出的物业服务合理要求，中标人应无条件配合，不得要求另付费用。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2"/>
              <w:jc w:val="both"/>
              <w:rPr>
                <w:sz w:val="19"/>
                <w:szCs w:val="19"/>
              </w:rPr>
            </w:pPr>
            <w:r>
              <w:rPr>
                <w:rStyle w:val="4"/>
                <w:rFonts w:hint="eastAsia" w:ascii="宋体" w:hAnsi="宋体" w:eastAsia="宋体" w:cs="宋体"/>
                <w:sz w:val="24"/>
                <w:szCs w:val="24"/>
              </w:rPr>
              <w:t>（二）综合服务内容及要求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both"/>
              <w:rPr>
                <w:sz w:val="19"/>
                <w:szCs w:val="19"/>
              </w:rPr>
            </w:pPr>
            <w:r>
              <w:rPr>
                <w:rFonts w:hint="eastAsia" w:ascii="宋体" w:hAnsi="宋体" w:eastAsia="宋体" w:cs="宋体"/>
                <w:sz w:val="24"/>
                <w:szCs w:val="24"/>
              </w:rPr>
              <w:t>小区物业管理工作包括以下内容：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both"/>
              <w:rPr>
                <w:sz w:val="19"/>
                <w:szCs w:val="19"/>
              </w:rPr>
            </w:pPr>
            <w:r>
              <w:rPr>
                <w:rFonts w:hint="eastAsia" w:ascii="宋体" w:hAnsi="宋体" w:eastAsia="宋体" w:cs="宋体"/>
                <w:sz w:val="24"/>
                <w:szCs w:val="24"/>
              </w:rPr>
              <w:t>1、负责公共部位设施设备及附着物正常使用的维护与管理；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both"/>
              <w:rPr>
                <w:sz w:val="19"/>
                <w:szCs w:val="19"/>
              </w:rPr>
            </w:pPr>
            <w:r>
              <w:rPr>
                <w:rFonts w:hint="eastAsia" w:ascii="宋体" w:hAnsi="宋体" w:eastAsia="宋体" w:cs="宋体"/>
                <w:sz w:val="24"/>
                <w:szCs w:val="24"/>
              </w:rPr>
              <w:t>2、共用设施设备的日常运行、维修、养护和管理，包括：共用的上下水管道、落水管、污水管、共用照明、楼内消防设施设备、电梯等（不含中大型维修，中大型维修指单项费用发生额超过</w:t>
            </w:r>
            <w:r>
              <w:rPr>
                <w:rFonts w:hint="eastAsia" w:ascii="宋体" w:hAnsi="宋体" w:eastAsia="宋体" w:cs="宋体"/>
                <w:sz w:val="24"/>
                <w:szCs w:val="24"/>
                <w:u w:val="single"/>
              </w:rPr>
              <w:t>1500</w:t>
            </w:r>
            <w:r>
              <w:rPr>
                <w:rFonts w:hint="eastAsia" w:ascii="宋体" w:hAnsi="宋体" w:eastAsia="宋体" w:cs="宋体"/>
                <w:sz w:val="24"/>
                <w:szCs w:val="24"/>
              </w:rPr>
              <w:t>元（含）的维修）；但不包含设施设备达到强制报废年限后的更新、更换、改造等。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both"/>
              <w:rPr>
                <w:sz w:val="19"/>
                <w:szCs w:val="19"/>
              </w:rPr>
            </w:pPr>
            <w:r>
              <w:rPr>
                <w:rFonts w:hint="eastAsia" w:ascii="宋体" w:hAnsi="宋体" w:eastAsia="宋体" w:cs="宋体"/>
                <w:sz w:val="24"/>
                <w:szCs w:val="24"/>
              </w:rPr>
              <w:t>3、负责小区日常安全巡查服务，公共秩序、治安管理；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both"/>
              <w:rPr>
                <w:sz w:val="19"/>
                <w:szCs w:val="19"/>
              </w:rPr>
            </w:pPr>
            <w:r>
              <w:rPr>
                <w:rFonts w:hint="eastAsia" w:ascii="宋体" w:hAnsi="宋体" w:eastAsia="宋体" w:cs="宋体"/>
                <w:sz w:val="24"/>
                <w:szCs w:val="24"/>
              </w:rPr>
              <w:t>4、负责小区环境卫生的维护与管理；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both"/>
              <w:rPr>
                <w:sz w:val="19"/>
                <w:szCs w:val="19"/>
              </w:rPr>
            </w:pPr>
            <w:r>
              <w:rPr>
                <w:rFonts w:hint="eastAsia" w:ascii="宋体" w:hAnsi="宋体" w:eastAsia="宋体" w:cs="宋体"/>
                <w:sz w:val="24"/>
                <w:szCs w:val="24"/>
              </w:rPr>
              <w:t>5、负责小区内雨污管网、化粪池服务期一年内至少清掏一次并做好记录和管理。如未清掏，采购人自行委托三方清掏，相关费用由中标人承担；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both"/>
              <w:rPr>
                <w:sz w:val="19"/>
                <w:szCs w:val="19"/>
              </w:rPr>
            </w:pPr>
            <w:r>
              <w:rPr>
                <w:rFonts w:hint="eastAsia" w:ascii="宋体" w:hAnsi="宋体" w:eastAsia="宋体" w:cs="宋体"/>
                <w:sz w:val="24"/>
                <w:szCs w:val="24"/>
              </w:rPr>
              <w:t>6、小区内安保系统维护管理；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both"/>
              <w:rPr>
                <w:sz w:val="19"/>
                <w:szCs w:val="19"/>
              </w:rPr>
            </w:pPr>
            <w:r>
              <w:rPr>
                <w:rFonts w:hint="eastAsia" w:ascii="宋体" w:hAnsi="宋体" w:eastAsia="宋体" w:cs="宋体"/>
                <w:sz w:val="24"/>
                <w:szCs w:val="24"/>
              </w:rPr>
              <w:t>7、负责小区绿化养护工作；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both"/>
              <w:rPr>
                <w:sz w:val="19"/>
                <w:szCs w:val="19"/>
              </w:rPr>
            </w:pPr>
            <w:r>
              <w:rPr>
                <w:rFonts w:hint="eastAsia" w:ascii="宋体" w:hAnsi="宋体" w:eastAsia="宋体" w:cs="宋体"/>
                <w:sz w:val="24"/>
                <w:szCs w:val="24"/>
              </w:rPr>
              <w:t>8、其他按相关文件及物业管理条例，属于物业管理服务范围的其他工作；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both"/>
              <w:rPr>
                <w:sz w:val="19"/>
                <w:szCs w:val="19"/>
              </w:rPr>
            </w:pPr>
            <w:r>
              <w:rPr>
                <w:rFonts w:hint="eastAsia" w:ascii="宋体" w:hAnsi="宋体" w:eastAsia="宋体" w:cs="宋体"/>
                <w:sz w:val="24"/>
                <w:szCs w:val="24"/>
              </w:rPr>
              <w:t>9、提供房屋质量承接查验、车辆进出和停车位管理等服务。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2"/>
              <w:jc w:val="both"/>
              <w:rPr>
                <w:sz w:val="19"/>
                <w:szCs w:val="19"/>
              </w:rPr>
            </w:pPr>
            <w:r>
              <w:rPr>
                <w:rStyle w:val="4"/>
                <w:rFonts w:hint="eastAsia" w:ascii="宋体" w:hAnsi="宋体" w:eastAsia="宋体" w:cs="宋体"/>
                <w:sz w:val="24"/>
                <w:szCs w:val="24"/>
              </w:rPr>
              <w:t>（三）服务标准及要求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both"/>
              <w:rPr>
                <w:sz w:val="19"/>
                <w:szCs w:val="19"/>
              </w:rPr>
            </w:pPr>
            <w:r>
              <w:rPr>
                <w:rFonts w:hint="eastAsia" w:ascii="宋体" w:hAnsi="宋体" w:eastAsia="宋体" w:cs="宋体"/>
                <w:sz w:val="24"/>
                <w:szCs w:val="24"/>
              </w:rPr>
              <w:t>1.综合服务（共47项）</w:t>
            </w:r>
          </w:p>
          <w:tbl>
            <w:tblPr>
              <w:tblStyle w:val="5"/>
              <w:tblW w:w="6911"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37"/>
              <w:gridCol w:w="59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937" w:type="dxa"/>
                  <w:tcBorders>
                    <w:top w:val="single" w:color="000000" w:sz="4" w:space="0"/>
                    <w:left w:val="single" w:color="000000" w:sz="4" w:space="0"/>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Style w:val="4"/>
                      <w:rFonts w:hint="eastAsia" w:ascii="宋体" w:hAnsi="宋体" w:eastAsia="宋体" w:cs="宋体"/>
                      <w:sz w:val="24"/>
                      <w:szCs w:val="24"/>
                    </w:rPr>
                    <w:t>项目</w:t>
                  </w:r>
                </w:p>
              </w:tc>
              <w:tc>
                <w:tcPr>
                  <w:tcW w:w="5974" w:type="dxa"/>
                  <w:tcBorders>
                    <w:top w:val="single" w:color="000000" w:sz="4" w:space="0"/>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Style w:val="4"/>
                      <w:rFonts w:hint="eastAsia" w:ascii="宋体" w:hAnsi="宋体" w:eastAsia="宋体" w:cs="宋体"/>
                      <w:sz w:val="24"/>
                      <w:szCs w:val="24"/>
                    </w:rPr>
                    <w:t>内容及要求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937" w:type="dxa"/>
                  <w:tcBorders>
                    <w:top w:val="nil"/>
                    <w:left w:val="single" w:color="000000" w:sz="4" w:space="0"/>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服务场所</w:t>
                  </w:r>
                </w:p>
              </w:tc>
              <w:tc>
                <w:tcPr>
                  <w:tcW w:w="5974" w:type="dxa"/>
                  <w:tcBorders>
                    <w:top w:val="nil"/>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1、有客户服务中心，至少应配置有办公桌、椅、饮水机、电脑、网络、办公耗材。（供应商应将本条要求所产生的费用分项单列计入分项报价明细设备工器具配置费中，进入总报价）。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2、客户服务中心公示物业服务人证照、项目主要服务人员姓名、照片、岗位信息、企业和项目负责人的信用信息、物业服务事项、服务标准、收费项目、收费标准(服务期内统计1次，按约定公示物业服务报告)、共有部分经营情况、报修电话、三级投诉电话和需要公示的其他事项。有管务信息查询台。提供特约服务的，应公示服务项目、服务标准及收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3、在物业服务公共区域内张贴物业服务记录和需要公示的其他事项，采用互联网方式记录服务的，记录应具有可追溯性。</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4、有管务公开栏及其他宣传栏，内容至少每季度更新1次。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5、客户服务中心工作时间至少10h值班，其他时间物业服务区域内有值班人员。公示有24h服务电话。（供应商应针对本项人员的内容及要求提供承诺函承诺并盖公章，格式自拟）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937" w:type="dxa"/>
                  <w:tcBorders>
                    <w:top w:val="nil"/>
                    <w:left w:val="single" w:color="000000" w:sz="4" w:space="0"/>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人员</w:t>
                  </w:r>
                </w:p>
              </w:tc>
              <w:tc>
                <w:tcPr>
                  <w:tcW w:w="5974" w:type="dxa"/>
                  <w:tcBorders>
                    <w:top w:val="nil"/>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6、专业岗位从业人员按照相关规定取得职业资格证书。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7、一个物业服务区域配备1名项目负责人和1名经过培训取得相关证书专(兼)职安全管理人员。项目负责人应按规定建立个人信用信息档案，按规定办理执业登记。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8、从业人员统一着装，佩戴标志，规范服务，语言文明，主动、热情。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9、项目负责人及安全管理员服务期内至少完成企业内部安全培训36学时，客服人员服务期内至少完成企业内部安全培训24学时。          （供应商应针对本项人员的内容及要求提供承诺函承诺并盖公章，格式自拟）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937" w:type="dxa"/>
                  <w:tcBorders>
                    <w:top w:val="nil"/>
                    <w:left w:val="single" w:color="000000" w:sz="4" w:space="0"/>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制度</w:t>
                  </w:r>
                </w:p>
              </w:tc>
              <w:tc>
                <w:tcPr>
                  <w:tcW w:w="5974" w:type="dxa"/>
                  <w:tcBorders>
                    <w:top w:val="nil"/>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10、有双方签订的（前期）物业服务合同，合同权利义务关系及安全责任明确。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11、有共用部位及共用设施设备维修养护、安全生产(含消防与安全防范)、绿化养护、环境卫生、公共秩序维护等管理制度及管理服务规程。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12、按照DB5101/T69建立完整的安全生产制度体系，并在主管部门进行应急预案告知性备案。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13、有完整的人事管理制度、培训制度、考勤制度和考核制度。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14、有物业服务和安全管理工作记录(含有效电子数据记录)。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15、中标供应商入场后15日内，向业主提供有便民服务指南内容的业主手册。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937" w:type="dxa"/>
                  <w:tcBorders>
                    <w:top w:val="nil"/>
                    <w:left w:val="single" w:color="000000" w:sz="4" w:space="0"/>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档案</w:t>
                  </w:r>
                </w:p>
              </w:tc>
              <w:tc>
                <w:tcPr>
                  <w:tcW w:w="5974" w:type="dxa"/>
                  <w:tcBorders>
                    <w:top w:val="nil"/>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16、有物业服务档案管理制度，有住户、房屋等基本档案内容，有电梯、消防等设施设备承接查验、运行、维修、养护档案资料，有门岗、报修、投诉等档案资料(含互联网电子档案资料)。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17、档案资料齐全、整洁、管理规范，查阅方便。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18、有档案管理人员，并设置有档案资料室。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19、建立小区基础信息数据库，与街道、社区实现数据共享。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937" w:type="dxa"/>
                  <w:tcBorders>
                    <w:top w:val="nil"/>
                    <w:left w:val="single" w:color="000000" w:sz="4" w:space="0"/>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标志</w:t>
                  </w:r>
                </w:p>
              </w:tc>
              <w:tc>
                <w:tcPr>
                  <w:tcW w:w="5974" w:type="dxa"/>
                  <w:tcBorders>
                    <w:top w:val="nil"/>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20、重点部位按相关要求设置有安全警示标志、消防标志、导向标志、指示标志及其他标志。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21、有小区门、楼栋、单元、楼层、户门标志。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22、有小区平面示意图。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23、有倡导文明、环保、健康生活的温馨提示标志。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24、标志完整、清晰、明显。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937" w:type="dxa"/>
                  <w:tcBorders>
                    <w:top w:val="nil"/>
                    <w:left w:val="single" w:color="000000" w:sz="4" w:space="0"/>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客户服务</w:t>
                  </w:r>
                </w:p>
              </w:tc>
              <w:tc>
                <w:tcPr>
                  <w:tcW w:w="5974" w:type="dxa"/>
                  <w:tcBorders>
                    <w:top w:val="nil"/>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25、服务期内公示物业服务合同履行情况。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26、重要物业服务事项应在主要出入口、各楼单元门以书面形式履行告知义务。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27、供应商提供承诺函承诺水、电急修20min内、其他报修按双方约定时间到达现场；由专项服务企业负责的设备设施报修应在30min内告知；有报修、维修记录，维修回访率不低于60%。（提供承诺函并盖公章，格式自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28、业主或物业使用人提出的意见、建议、投诉在2个工作日内回复；投诉回访率不低于80%。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29、按照国家或地方标准要求服务期内组织1次物业服务客户满意度调查，对调查中业主反馈的问题制定整改措施，落实处理并回访。调查结果在物业服务区域公示。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30、实施宠物管理制度与措施，设置宠物管理标志，严格管理，有小区犬只档案。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31、出入口配置有便民服务推车，小区户数在1000户以内的推车配置数量不少于3辆；小区户数超过1000户的，1000户以上的部分按1辆/300户标准配置，不足300户按300户计算（供应商应将本条要求推车的数量及费用单列计入分项报价明细设备工器具配置费中，进入总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32、提供平板车借用服务（供应商应将本条要求所产生的费用单列计入分项报价明细设备工器具配置费中，进入总报价）。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33、投保物业共用部位、共用设施设备及公众责任保险（供应商应将本条要求所产生的费用单列计入分项报价明细设备工器具配置费中，进入总报价）。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34、智能公共广播系统能播放广播与背景音乐。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35、公共卫生间能正常使用。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36、有无噪音无干扰氛围管理服务措施，工作人员夜间值守、巡逻时对讲机佩戴耳麦，工作过程中实行“说话轻、走路轻、操作轻”。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37、服务期内至少组织1次业主恳谈会，组织1次业主参观共用设施设备机房。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38、提供邮件代收服务。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39、国家法定节假日在小区大门及小区内进行节日氛围营造，供应商在投标文件中针对本项目制定的项目服务方案里须提供至少三个国家法定节假日氛围营造活动方案，并在方案中一一列明每一节假日氛围营造活动费用（包含物资名称、数量、费用），并将此项费用合计列入分项报价明细表专项费用中，进入总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937" w:type="dxa"/>
                  <w:tcBorders>
                    <w:top w:val="nil"/>
                    <w:left w:val="single" w:color="000000" w:sz="4" w:space="0"/>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专项委托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服务管理</w:t>
                  </w:r>
                </w:p>
              </w:tc>
              <w:tc>
                <w:tcPr>
                  <w:tcW w:w="5974" w:type="dxa"/>
                  <w:tcBorders>
                    <w:top w:val="nil"/>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40、签订有专项服务委托合同，明确委托事项、服务质量和各方权利义务。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41、消防、电梯、水质检测等专业服务企业应符合相关行政主管部门的要求，操作人员应持有相应的职业资格证书。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42、专业服务企业人员进入物业服务区域内应统一着装、佩戴标志。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43、对专项委托服务应有监督及评价机制，有监督评价记录。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937" w:type="dxa"/>
                  <w:tcBorders>
                    <w:top w:val="nil"/>
                    <w:left w:val="single" w:color="000000" w:sz="4" w:space="0"/>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社区文化和安全建设</w:t>
                  </w:r>
                </w:p>
              </w:tc>
              <w:tc>
                <w:tcPr>
                  <w:tcW w:w="5974" w:type="dxa"/>
                  <w:tcBorders>
                    <w:top w:val="nil"/>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44、服务期内至少开展1次精神文明建设和安全宣传活动，内容包括科学防疫、消防安全、食品卫生、生活垃圾分类、房屋及其附属设施设备使用安全、环保及法律等。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45、服务期内至少组织1次社区文化活动。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46、有志愿者服务组织，开展和积极参与社区关爱空巢老人、残障人士等便民利民志愿服务活动。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47、社区文化有活动计划、有记录、有总结，相关资料齐全。</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508"/>
              <w:jc w:val="both"/>
              <w:rPr>
                <w:sz w:val="19"/>
                <w:szCs w:val="19"/>
              </w:rPr>
            </w:pPr>
            <w:r>
              <w:rPr>
                <w:rFonts w:hint="eastAsia" w:ascii="宋体" w:hAnsi="宋体" w:eastAsia="宋体" w:cs="宋体"/>
                <w:sz w:val="24"/>
                <w:szCs w:val="24"/>
              </w:rPr>
              <w:t>2.共用部位及共用设施设备运行和维修养护（65项）</w:t>
            </w:r>
          </w:p>
          <w:tbl>
            <w:tblPr>
              <w:tblStyle w:val="5"/>
              <w:tblW w:w="6911"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05"/>
              <w:gridCol w:w="805"/>
              <w:gridCol w:w="530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1610" w:type="dxa"/>
                  <w:gridSpan w:val="2"/>
                  <w:tcBorders>
                    <w:top w:val="single" w:color="000000" w:sz="4" w:space="0"/>
                    <w:left w:val="single" w:color="000000" w:sz="4" w:space="0"/>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Style w:val="4"/>
                      <w:rFonts w:hint="eastAsia" w:ascii="宋体" w:hAnsi="宋体" w:eastAsia="宋体" w:cs="宋体"/>
                      <w:sz w:val="24"/>
                      <w:szCs w:val="24"/>
                    </w:rPr>
                    <w:t>项目</w:t>
                  </w:r>
                </w:p>
              </w:tc>
              <w:tc>
                <w:tcPr>
                  <w:tcW w:w="5301" w:type="dxa"/>
                  <w:tcBorders>
                    <w:top w:val="single" w:color="000000" w:sz="4" w:space="0"/>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Style w:val="4"/>
                      <w:rFonts w:hint="eastAsia" w:ascii="宋体" w:hAnsi="宋体" w:eastAsia="宋体" w:cs="宋体"/>
                      <w:sz w:val="24"/>
                      <w:szCs w:val="24"/>
                    </w:rPr>
                    <w:t>内容及要求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1610" w:type="dxa"/>
                  <w:gridSpan w:val="2"/>
                  <w:tcBorders>
                    <w:top w:val="nil"/>
                    <w:left w:val="single" w:color="000000" w:sz="4" w:space="0"/>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综合管理</w:t>
                  </w:r>
                </w:p>
              </w:tc>
              <w:tc>
                <w:tcPr>
                  <w:tcW w:w="5301" w:type="dxa"/>
                  <w:tcBorders>
                    <w:top w:val="nil"/>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8" w:beforeAutospacing="0" w:after="0" w:afterAutospacing="0" w:line="30" w:lineRule="atLeast"/>
                    <w:ind w:left="96" w:right="36" w:firstLine="336"/>
                    <w:jc w:val="both"/>
                    <w:rPr>
                      <w:sz w:val="19"/>
                      <w:szCs w:val="19"/>
                    </w:rPr>
                  </w:pPr>
                  <w:r>
                    <w:rPr>
                      <w:rFonts w:hint="eastAsia" w:ascii="宋体" w:hAnsi="宋体" w:eastAsia="宋体" w:cs="宋体"/>
                      <w:sz w:val="24"/>
                      <w:szCs w:val="24"/>
                    </w:rPr>
                    <w:t>1、按照相关规定实施承接查验。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8" w:beforeAutospacing="0" w:after="0" w:afterAutospacing="0" w:line="30" w:lineRule="atLeast"/>
                    <w:ind w:left="96" w:right="36" w:firstLine="336"/>
                    <w:jc w:val="both"/>
                    <w:rPr>
                      <w:sz w:val="19"/>
                      <w:szCs w:val="19"/>
                    </w:rPr>
                  </w:pPr>
                  <w:r>
                    <w:rPr>
                      <w:rFonts w:hint="eastAsia" w:ascii="宋体" w:hAnsi="宋体" w:eastAsia="宋体" w:cs="宋体"/>
                      <w:sz w:val="24"/>
                      <w:szCs w:val="24"/>
                    </w:rPr>
                    <w:t>2、建立共用设备设施安全管理制度及台账和重大危险源(或重点风险部位)台账，并实施管控行为。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8" w:beforeAutospacing="0" w:after="0" w:afterAutospacing="0" w:line="30" w:lineRule="atLeast"/>
                    <w:ind w:left="96" w:right="36" w:firstLine="336"/>
                    <w:jc w:val="both"/>
                    <w:rPr>
                      <w:sz w:val="19"/>
                      <w:szCs w:val="19"/>
                    </w:rPr>
                  </w:pPr>
                  <w:r>
                    <w:rPr>
                      <w:rFonts w:hint="eastAsia" w:ascii="宋体" w:hAnsi="宋体" w:eastAsia="宋体" w:cs="宋体"/>
                      <w:sz w:val="24"/>
                      <w:szCs w:val="24"/>
                    </w:rPr>
                    <w:t>3、按规范申请使用房屋专项维修资金，有紧急维修情形，按专项维修资金应急使用预案实施维修。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8" w:beforeAutospacing="0" w:after="0" w:afterAutospacing="0" w:line="30" w:lineRule="atLeast"/>
                    <w:ind w:left="96" w:right="36" w:firstLine="336"/>
                    <w:jc w:val="both"/>
                    <w:rPr>
                      <w:sz w:val="19"/>
                      <w:szCs w:val="19"/>
                    </w:rPr>
                  </w:pPr>
                  <w:r>
                    <w:rPr>
                      <w:rFonts w:hint="eastAsia" w:ascii="宋体" w:hAnsi="宋体" w:eastAsia="宋体" w:cs="宋体"/>
                      <w:sz w:val="24"/>
                      <w:szCs w:val="24"/>
                    </w:rPr>
                    <w:t>4、有房屋共用部位及共用设施设备的基础档案。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8" w:beforeAutospacing="0" w:after="0" w:afterAutospacing="0" w:line="30" w:lineRule="atLeast"/>
                    <w:ind w:left="96" w:right="36" w:firstLine="336"/>
                    <w:jc w:val="both"/>
                    <w:rPr>
                      <w:sz w:val="19"/>
                      <w:szCs w:val="19"/>
                    </w:rPr>
                  </w:pPr>
                  <w:r>
                    <w:rPr>
                      <w:rFonts w:hint="eastAsia" w:ascii="宋体" w:hAnsi="宋体" w:eastAsia="宋体" w:cs="宋体"/>
                      <w:sz w:val="24"/>
                      <w:szCs w:val="24"/>
                    </w:rPr>
                    <w:t>5、服务期内制订出维修养护计划，按计划进行设施设备保养。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8" w:beforeAutospacing="0" w:after="0" w:afterAutospacing="0" w:line="30" w:lineRule="atLeast"/>
                    <w:ind w:left="96" w:right="36" w:firstLine="336"/>
                    <w:jc w:val="both"/>
                    <w:rPr>
                      <w:sz w:val="19"/>
                      <w:szCs w:val="19"/>
                    </w:rPr>
                  </w:pPr>
                  <w:r>
                    <w:rPr>
                      <w:rFonts w:hint="eastAsia" w:ascii="宋体" w:hAnsi="宋体" w:eastAsia="宋体" w:cs="宋体"/>
                      <w:sz w:val="24"/>
                      <w:szCs w:val="24"/>
                    </w:rPr>
                    <w:t>6、特种设备按照有关规定运行、维修养护和定期检验。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8" w:beforeAutospacing="0" w:after="0" w:afterAutospacing="0" w:line="30" w:lineRule="atLeast"/>
                    <w:ind w:left="96" w:right="36" w:firstLine="336"/>
                    <w:jc w:val="both"/>
                    <w:rPr>
                      <w:sz w:val="19"/>
                      <w:szCs w:val="19"/>
                    </w:rPr>
                  </w:pPr>
                  <w:r>
                    <w:rPr>
                      <w:rFonts w:hint="eastAsia" w:ascii="宋体" w:hAnsi="宋体" w:eastAsia="宋体" w:cs="宋体"/>
                      <w:sz w:val="24"/>
                      <w:szCs w:val="24"/>
                    </w:rPr>
                    <w:t>7、雷电、强降水、大风等极端天气前后有检查防范措施。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8" w:beforeAutospacing="0" w:after="0" w:afterAutospacing="0" w:line="30" w:lineRule="atLeast"/>
                    <w:ind w:left="96" w:right="36" w:firstLine="336"/>
                    <w:jc w:val="both"/>
                    <w:rPr>
                      <w:sz w:val="19"/>
                      <w:szCs w:val="19"/>
                    </w:rPr>
                  </w:pPr>
                  <w:r>
                    <w:rPr>
                      <w:rFonts w:hint="eastAsia" w:ascii="宋体" w:hAnsi="宋体" w:eastAsia="宋体" w:cs="宋体"/>
                      <w:sz w:val="24"/>
                      <w:szCs w:val="24"/>
                    </w:rPr>
                    <w:t>8、设备机房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8" w:beforeAutospacing="0" w:after="0" w:afterAutospacing="0" w:line="30" w:lineRule="atLeast"/>
                    <w:ind w:left="96" w:right="36" w:firstLine="336"/>
                    <w:jc w:val="both"/>
                    <w:rPr>
                      <w:sz w:val="19"/>
                      <w:szCs w:val="19"/>
                    </w:rPr>
                  </w:pPr>
                  <w:r>
                    <w:rPr>
                      <w:rFonts w:hint="eastAsia" w:ascii="宋体" w:hAnsi="宋体" w:eastAsia="宋体" w:cs="宋体"/>
                      <w:sz w:val="24"/>
                      <w:szCs w:val="24"/>
                    </w:rPr>
                    <w:t>(1)每月清洁1次，机房整洁有序，室内无杂物。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8" w:beforeAutospacing="0" w:after="0" w:afterAutospacing="0" w:line="30" w:lineRule="atLeast"/>
                    <w:ind w:left="96" w:right="36" w:firstLine="336"/>
                    <w:jc w:val="both"/>
                    <w:rPr>
                      <w:sz w:val="19"/>
                      <w:szCs w:val="19"/>
                    </w:rPr>
                  </w:pPr>
                  <w:r>
                    <w:rPr>
                      <w:rFonts w:hint="eastAsia" w:ascii="宋体" w:hAnsi="宋体" w:eastAsia="宋体" w:cs="宋体"/>
                      <w:sz w:val="24"/>
                      <w:szCs w:val="24"/>
                    </w:rPr>
                    <w:t>(2)应有完善的防鼠措施，防鼠板、防鼠网、防鼠药物等应符合规范要求。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8" w:beforeAutospacing="0" w:after="0" w:afterAutospacing="0" w:line="30" w:lineRule="atLeast"/>
                    <w:ind w:left="96" w:right="36" w:firstLine="336"/>
                    <w:jc w:val="both"/>
                    <w:rPr>
                      <w:sz w:val="19"/>
                      <w:szCs w:val="19"/>
                    </w:rPr>
                  </w:pPr>
                  <w:r>
                    <w:rPr>
                      <w:rFonts w:hint="eastAsia" w:ascii="宋体" w:hAnsi="宋体" w:eastAsia="宋体" w:cs="宋体"/>
                      <w:sz w:val="24"/>
                      <w:szCs w:val="24"/>
                    </w:rPr>
                    <w:t>(3)在明显易取位置配备有符合规定的消防器材及专用工具，确保完好有效。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8" w:beforeAutospacing="0" w:after="0" w:afterAutospacing="0" w:line="30" w:lineRule="atLeast"/>
                    <w:ind w:left="96" w:right="36" w:firstLine="336"/>
                    <w:jc w:val="both"/>
                    <w:rPr>
                      <w:sz w:val="19"/>
                      <w:szCs w:val="19"/>
                    </w:rPr>
                  </w:pPr>
                  <w:r>
                    <w:rPr>
                      <w:rFonts w:hint="eastAsia" w:ascii="宋体" w:hAnsi="宋体" w:eastAsia="宋体" w:cs="宋体"/>
                      <w:sz w:val="24"/>
                      <w:szCs w:val="24"/>
                    </w:rPr>
                    <w:t>(4)有环境要求的设备机房，温、湿度应在规定范围内。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8" w:beforeAutospacing="0" w:after="0" w:afterAutospacing="0" w:line="30" w:lineRule="atLeast"/>
                    <w:ind w:left="96" w:right="36" w:firstLine="336"/>
                    <w:jc w:val="both"/>
                    <w:rPr>
                      <w:sz w:val="19"/>
                      <w:szCs w:val="19"/>
                    </w:rPr>
                  </w:pPr>
                  <w:r>
                    <w:rPr>
                      <w:rFonts w:hint="eastAsia" w:ascii="宋体" w:hAnsi="宋体" w:eastAsia="宋体" w:cs="宋体"/>
                      <w:sz w:val="24"/>
                      <w:szCs w:val="24"/>
                    </w:rPr>
                    <w:t>(5)设施设备标志、标牌及安全标识、标牌齐全、规范。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8" w:beforeAutospacing="0" w:after="0" w:afterAutospacing="0" w:line="30" w:lineRule="atLeast"/>
                    <w:ind w:left="96" w:right="36" w:firstLine="336"/>
                    <w:jc w:val="both"/>
                    <w:rPr>
                      <w:sz w:val="19"/>
                      <w:szCs w:val="19"/>
                    </w:rPr>
                  </w:pPr>
                  <w:r>
                    <w:rPr>
                      <w:rFonts w:hint="eastAsia" w:ascii="宋体" w:hAnsi="宋体" w:eastAsia="宋体" w:cs="宋体"/>
                      <w:sz w:val="24"/>
                      <w:szCs w:val="24"/>
                    </w:rPr>
                    <w:t>(6)张贴或悬挂相关制度、证书。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8" w:beforeAutospacing="0" w:after="0" w:afterAutospacing="0" w:line="30" w:lineRule="atLeast"/>
                    <w:ind w:left="96" w:right="36" w:firstLine="336"/>
                    <w:jc w:val="both"/>
                    <w:rPr>
                      <w:sz w:val="19"/>
                      <w:szCs w:val="19"/>
                    </w:rPr>
                  </w:pPr>
                  <w:r>
                    <w:rPr>
                      <w:rFonts w:hint="eastAsia" w:ascii="宋体" w:hAnsi="宋体" w:eastAsia="宋体" w:cs="宋体"/>
                      <w:sz w:val="24"/>
                      <w:szCs w:val="24"/>
                    </w:rPr>
                    <w:t>(7)运行记录齐全、完整。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8" w:beforeAutospacing="0" w:after="0" w:afterAutospacing="0" w:line="30" w:lineRule="atLeast"/>
                    <w:ind w:left="96" w:right="36" w:firstLine="336"/>
                    <w:jc w:val="both"/>
                    <w:rPr>
                      <w:sz w:val="19"/>
                      <w:szCs w:val="19"/>
                    </w:rPr>
                  </w:pPr>
                  <w:r>
                    <w:rPr>
                      <w:rFonts w:hint="eastAsia" w:ascii="宋体" w:hAnsi="宋体" w:eastAsia="宋体" w:cs="宋体"/>
                      <w:sz w:val="24"/>
                      <w:szCs w:val="24"/>
                    </w:rPr>
                    <w:t>9、服务期内对房屋共用部位、共用设施等区域进行专项检查，若发现白蚁及时向属地住建部门汇报处理。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8" w:beforeAutospacing="0" w:after="0" w:afterAutospacing="0" w:line="30" w:lineRule="atLeast"/>
                    <w:ind w:left="96" w:right="36" w:firstLine="336"/>
                    <w:jc w:val="both"/>
                    <w:rPr>
                      <w:sz w:val="19"/>
                      <w:szCs w:val="19"/>
                    </w:rPr>
                  </w:pPr>
                  <w:r>
                    <w:rPr>
                      <w:rFonts w:hint="eastAsia" w:ascii="宋体" w:hAnsi="宋体" w:eastAsia="宋体" w:cs="宋体"/>
                      <w:sz w:val="24"/>
                      <w:szCs w:val="24"/>
                    </w:rPr>
                    <w:t>10、运行、检查、维修养护工作有记录，并对记录每月进行归档。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8" w:beforeAutospacing="0" w:after="0" w:afterAutospacing="0" w:line="30" w:lineRule="atLeast"/>
                    <w:ind w:left="96" w:right="36" w:firstLine="336"/>
                    <w:jc w:val="both"/>
                    <w:rPr>
                      <w:sz w:val="19"/>
                      <w:szCs w:val="19"/>
                    </w:rPr>
                  </w:pPr>
                  <w:r>
                    <w:rPr>
                      <w:rFonts w:hint="eastAsia" w:ascii="宋体" w:hAnsi="宋体" w:eastAsia="宋体" w:cs="宋体"/>
                      <w:sz w:val="24"/>
                      <w:szCs w:val="24"/>
                    </w:rPr>
                    <w:t>11.工程维修维护人员全年至少完成一次企业内部安全培训。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05" w:type="dxa"/>
                  <w:vMerge w:val="restart"/>
                  <w:tcBorders>
                    <w:top w:val="nil"/>
                    <w:left w:val="single" w:color="000000" w:sz="4" w:space="0"/>
                    <w:bottom w:val="nil"/>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共用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部位</w:t>
                  </w:r>
                </w:p>
              </w:tc>
              <w:tc>
                <w:tcPr>
                  <w:tcW w:w="805" w:type="dxa"/>
                  <w:tcBorders>
                    <w:top w:val="nil"/>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房屋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结构</w:t>
                  </w:r>
                </w:p>
              </w:tc>
              <w:tc>
                <w:tcPr>
                  <w:tcW w:w="5301" w:type="dxa"/>
                  <w:tcBorders>
                    <w:top w:val="single" w:color="000000" w:sz="4" w:space="0"/>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08" w:beforeAutospacing="0" w:after="0" w:afterAutospacing="0" w:line="30" w:lineRule="atLeast"/>
                    <w:ind w:left="96" w:right="36" w:firstLine="336"/>
                    <w:jc w:val="both"/>
                    <w:rPr>
                      <w:sz w:val="19"/>
                      <w:szCs w:val="19"/>
                    </w:rPr>
                  </w:pPr>
                  <w:r>
                    <w:rPr>
                      <w:rFonts w:hint="eastAsia" w:ascii="宋体" w:hAnsi="宋体" w:eastAsia="宋体" w:cs="宋体"/>
                      <w:sz w:val="24"/>
                      <w:szCs w:val="24"/>
                    </w:rPr>
                    <w:t>12、服务期内巡视1次房屋结构，外观出现变形、开裂、沉降等现象时，应建议相关业主申请房屋安全鉴定，同时采取必要的防护措施。鉴定完成后，按照鉴定结果组织修缮。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05" w:type="dxa"/>
                  <w:vMerge w:val="continue"/>
                  <w:tcBorders>
                    <w:top w:val="nil"/>
                    <w:left w:val="single" w:color="000000" w:sz="4" w:space="0"/>
                    <w:bottom w:val="nil"/>
                    <w:right w:val="single" w:color="000000" w:sz="4" w:space="0"/>
                  </w:tcBorders>
                  <w:tcMar>
                    <w:top w:w="36" w:type="dxa"/>
                    <w:left w:w="36" w:type="dxa"/>
                    <w:bottom w:w="36" w:type="dxa"/>
                    <w:right w:w="36" w:type="dxa"/>
                  </w:tcMar>
                  <w:vAlign w:val="top"/>
                </w:tcPr>
                <w:p>
                  <w:pPr>
                    <w:jc w:val="left"/>
                    <w:rPr>
                      <w:rFonts w:hint="default" w:ascii="Times New Roman" w:hAnsi="Times New Roman" w:cs="Times New Roman"/>
                      <w:sz w:val="15"/>
                      <w:szCs w:val="15"/>
                    </w:rPr>
                  </w:pPr>
                </w:p>
              </w:tc>
              <w:tc>
                <w:tcPr>
                  <w:tcW w:w="805" w:type="dxa"/>
                  <w:tcBorders>
                    <w:top w:val="nil"/>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建筑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部件</w:t>
                  </w:r>
                </w:p>
              </w:tc>
              <w:tc>
                <w:tcPr>
                  <w:tcW w:w="5301" w:type="dxa"/>
                  <w:tcBorders>
                    <w:top w:val="nil"/>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44" w:beforeAutospacing="0" w:after="0" w:afterAutospacing="0" w:line="30" w:lineRule="atLeast"/>
                    <w:ind w:left="96" w:right="0" w:firstLine="336"/>
                    <w:jc w:val="both"/>
                    <w:rPr>
                      <w:sz w:val="19"/>
                      <w:szCs w:val="19"/>
                    </w:rPr>
                  </w:pPr>
                  <w:r>
                    <w:rPr>
                      <w:rFonts w:hint="eastAsia" w:ascii="宋体" w:hAnsi="宋体" w:eastAsia="宋体" w:cs="宋体"/>
                      <w:sz w:val="24"/>
                      <w:szCs w:val="24"/>
                    </w:rPr>
                    <w:t>13、每2个月检查1次外墙贴饰面或抹灰、屋檐、阳台、雨罩、空调室外机支撑构件等。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 w:beforeAutospacing="0" w:after="0" w:afterAutospacing="0" w:line="30" w:lineRule="atLeast"/>
                    <w:ind w:left="84" w:right="0" w:firstLine="336"/>
                    <w:jc w:val="both"/>
                    <w:rPr>
                      <w:sz w:val="19"/>
                      <w:szCs w:val="19"/>
                    </w:rPr>
                  </w:pPr>
                  <w:r>
                    <w:rPr>
                      <w:rFonts w:hint="eastAsia" w:ascii="宋体" w:hAnsi="宋体" w:eastAsia="宋体" w:cs="宋体"/>
                      <w:sz w:val="24"/>
                      <w:szCs w:val="24"/>
                    </w:rPr>
                    <w:t>14、每月巡查1次共用部位的门、窗、玻璃等。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 w:beforeAutospacing="0" w:after="0" w:afterAutospacing="0" w:line="30" w:lineRule="atLeast"/>
                    <w:ind w:left="84" w:right="0" w:firstLine="336"/>
                    <w:jc w:val="both"/>
                    <w:rPr>
                      <w:sz w:val="19"/>
                      <w:szCs w:val="19"/>
                    </w:rPr>
                  </w:pPr>
                  <w:r>
                    <w:rPr>
                      <w:rFonts w:hint="eastAsia" w:ascii="宋体" w:hAnsi="宋体" w:eastAsia="宋体" w:cs="宋体"/>
                      <w:sz w:val="24"/>
                      <w:szCs w:val="24"/>
                    </w:rPr>
                    <w:t>15、每季度检查1次共用部位的室内地面、墙面、天棚；室外屋面、散水等。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 w:beforeAutospacing="0" w:after="0" w:afterAutospacing="0" w:line="30" w:lineRule="atLeast"/>
                    <w:ind w:left="84" w:right="0" w:firstLine="336"/>
                    <w:jc w:val="both"/>
                    <w:rPr>
                      <w:sz w:val="19"/>
                      <w:szCs w:val="19"/>
                    </w:rPr>
                  </w:pPr>
                  <w:r>
                    <w:rPr>
                      <w:rFonts w:hint="eastAsia" w:ascii="宋体" w:hAnsi="宋体" w:eastAsia="宋体" w:cs="宋体"/>
                      <w:sz w:val="24"/>
                      <w:szCs w:val="24"/>
                    </w:rPr>
                    <w:t>16、服务期内汛前和强降雨后检查屋面防水和雨水落水管等。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05" w:type="dxa"/>
                  <w:vMerge w:val="continue"/>
                  <w:tcBorders>
                    <w:top w:val="nil"/>
                    <w:left w:val="single" w:color="000000" w:sz="4" w:space="0"/>
                    <w:bottom w:val="nil"/>
                    <w:right w:val="single" w:color="000000" w:sz="4" w:space="0"/>
                  </w:tcBorders>
                  <w:tcMar>
                    <w:top w:w="36" w:type="dxa"/>
                    <w:left w:w="36" w:type="dxa"/>
                    <w:bottom w:w="36" w:type="dxa"/>
                    <w:right w:w="36" w:type="dxa"/>
                  </w:tcMar>
                  <w:vAlign w:val="top"/>
                </w:tcPr>
                <w:p>
                  <w:pPr>
                    <w:jc w:val="left"/>
                    <w:rPr>
                      <w:rFonts w:hint="default" w:ascii="Times New Roman" w:hAnsi="Times New Roman" w:cs="Times New Roman"/>
                      <w:sz w:val="15"/>
                      <w:szCs w:val="15"/>
                    </w:rPr>
                  </w:pPr>
                </w:p>
              </w:tc>
              <w:tc>
                <w:tcPr>
                  <w:tcW w:w="805" w:type="dxa"/>
                  <w:tcBorders>
                    <w:top w:val="nil"/>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附属</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构筑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物</w:t>
                  </w:r>
                </w:p>
              </w:tc>
              <w:tc>
                <w:tcPr>
                  <w:tcW w:w="5301" w:type="dxa"/>
                  <w:tcBorders>
                    <w:top w:val="nil"/>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 w:beforeAutospacing="0" w:after="0" w:afterAutospacing="0" w:line="30" w:lineRule="atLeast"/>
                    <w:ind w:left="96" w:right="0" w:firstLine="336"/>
                    <w:jc w:val="both"/>
                    <w:rPr>
                      <w:sz w:val="19"/>
                      <w:szCs w:val="19"/>
                    </w:rPr>
                  </w:pPr>
                  <w:r>
                    <w:rPr>
                      <w:rFonts w:hint="eastAsia" w:ascii="宋体" w:hAnsi="宋体" w:eastAsia="宋体" w:cs="宋体"/>
                      <w:sz w:val="24"/>
                      <w:szCs w:val="24"/>
                    </w:rPr>
                    <w:t>17、每月巡查1次道路、场地、阶梯及扶手、侧石、管井、沟渠等。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 w:beforeAutospacing="0" w:after="0" w:afterAutospacing="0" w:line="30" w:lineRule="atLeast"/>
                    <w:ind w:left="84" w:right="0" w:firstLine="336"/>
                    <w:jc w:val="both"/>
                    <w:rPr>
                      <w:sz w:val="19"/>
                      <w:szCs w:val="19"/>
                    </w:rPr>
                  </w:pPr>
                  <w:r>
                    <w:rPr>
                      <w:rFonts w:hint="eastAsia" w:ascii="宋体" w:hAnsi="宋体" w:eastAsia="宋体" w:cs="宋体"/>
                      <w:sz w:val="24"/>
                      <w:szCs w:val="24"/>
                    </w:rPr>
                    <w:t>18、每月检查1次雨、污水管井等。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 w:beforeAutospacing="0" w:after="0" w:afterAutospacing="0" w:line="30" w:lineRule="atLeast"/>
                    <w:ind w:left="84" w:right="0" w:firstLine="336"/>
                    <w:jc w:val="both"/>
                    <w:rPr>
                      <w:sz w:val="19"/>
                      <w:szCs w:val="19"/>
                    </w:rPr>
                  </w:pPr>
                  <w:r>
                    <w:rPr>
                      <w:rFonts w:hint="eastAsia" w:ascii="宋体" w:hAnsi="宋体" w:eastAsia="宋体" w:cs="宋体"/>
                      <w:sz w:val="24"/>
                      <w:szCs w:val="24"/>
                    </w:rPr>
                    <w:t>19、每月巡查1次大门、围墙、围栏等。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 w:beforeAutospacing="0" w:after="0" w:afterAutospacing="0" w:line="30" w:lineRule="atLeast"/>
                    <w:ind w:left="84" w:right="0" w:firstLine="336"/>
                    <w:jc w:val="both"/>
                    <w:rPr>
                      <w:sz w:val="19"/>
                      <w:szCs w:val="19"/>
                    </w:rPr>
                  </w:pPr>
                  <w:r>
                    <w:rPr>
                      <w:rFonts w:hint="eastAsia" w:ascii="宋体" w:hAnsi="宋体" w:eastAsia="宋体" w:cs="宋体"/>
                      <w:sz w:val="24"/>
                      <w:szCs w:val="24"/>
                    </w:rPr>
                    <w:t>20、每月巡查1次休闲椅、凉亭、雕塑、景观小品等。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 w:beforeAutospacing="0" w:after="0" w:afterAutospacing="0" w:line="30" w:lineRule="atLeast"/>
                    <w:ind w:left="84" w:right="0" w:firstLine="336"/>
                    <w:jc w:val="both"/>
                    <w:rPr>
                      <w:sz w:val="19"/>
                      <w:szCs w:val="19"/>
                    </w:rPr>
                  </w:pPr>
                  <w:r>
                    <w:rPr>
                      <w:rFonts w:hint="eastAsia" w:ascii="宋体" w:hAnsi="宋体" w:eastAsia="宋体" w:cs="宋体"/>
                      <w:sz w:val="24"/>
                      <w:szCs w:val="24"/>
                    </w:rPr>
                    <w:t>21、每月巡查1次天台，对天台进行有效的规范管理。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05" w:type="dxa"/>
                  <w:vMerge w:val="continue"/>
                  <w:tcBorders>
                    <w:top w:val="nil"/>
                    <w:left w:val="single" w:color="000000" w:sz="4" w:space="0"/>
                    <w:bottom w:val="nil"/>
                    <w:right w:val="single" w:color="000000" w:sz="4" w:space="0"/>
                  </w:tcBorders>
                  <w:tcMar>
                    <w:top w:w="36" w:type="dxa"/>
                    <w:left w:w="36" w:type="dxa"/>
                    <w:bottom w:w="36" w:type="dxa"/>
                    <w:right w:w="36" w:type="dxa"/>
                  </w:tcMar>
                  <w:vAlign w:val="top"/>
                </w:tcPr>
                <w:p>
                  <w:pPr>
                    <w:jc w:val="left"/>
                    <w:rPr>
                      <w:rFonts w:hint="default" w:ascii="Times New Roman" w:hAnsi="Times New Roman" w:cs="Times New Roman"/>
                      <w:sz w:val="15"/>
                      <w:szCs w:val="15"/>
                    </w:rPr>
                  </w:pPr>
                </w:p>
              </w:tc>
              <w:tc>
                <w:tcPr>
                  <w:tcW w:w="805" w:type="dxa"/>
                  <w:tcBorders>
                    <w:top w:val="nil"/>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外立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面</w:t>
                  </w:r>
                </w:p>
              </w:tc>
              <w:tc>
                <w:tcPr>
                  <w:tcW w:w="5301" w:type="dxa"/>
                  <w:tcBorders>
                    <w:top w:val="nil"/>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 w:beforeAutospacing="0" w:after="0" w:afterAutospacing="0" w:line="30" w:lineRule="atLeast"/>
                    <w:ind w:left="84" w:right="84" w:firstLine="336"/>
                    <w:jc w:val="both"/>
                    <w:rPr>
                      <w:sz w:val="19"/>
                      <w:szCs w:val="19"/>
                    </w:rPr>
                  </w:pPr>
                  <w:r>
                    <w:rPr>
                      <w:rFonts w:hint="eastAsia" w:ascii="宋体" w:hAnsi="宋体" w:eastAsia="宋体" w:cs="宋体"/>
                      <w:sz w:val="24"/>
                      <w:szCs w:val="24"/>
                    </w:rPr>
                    <w:t>22、每周巡查1次外立面，重点时期加强巡查频次，发现外墙开裂、脱落及时采取安全防范措施并报告相关部门。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05" w:type="dxa"/>
                  <w:vMerge w:val="restart"/>
                  <w:tcBorders>
                    <w:top w:val="nil"/>
                    <w:left w:val="single" w:color="000000" w:sz="4" w:space="0"/>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共用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设备</w:t>
                  </w:r>
                </w:p>
              </w:tc>
              <w:tc>
                <w:tcPr>
                  <w:tcW w:w="805" w:type="dxa"/>
                  <w:tcBorders>
                    <w:top w:val="nil"/>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供水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系统</w:t>
                  </w:r>
                </w:p>
              </w:tc>
              <w:tc>
                <w:tcPr>
                  <w:tcW w:w="5301" w:type="dxa"/>
                  <w:tcBorders>
                    <w:top w:val="nil"/>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23、服务期1年内应对二次供水水箱进行至少1次清洗消毒、检测，水质符合GB5749的要求。供应商应将本条要求所产生的费用（二次供水清洗消毒费用、检测费用）在设施设备维护保养费中逐一列明，计入总报价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24、每日巡检1次供水设施，发现跑冒滴漏现象及时解决。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 w:beforeAutospacing="0" w:after="0" w:afterAutospacing="0" w:line="30" w:lineRule="atLeast"/>
                    <w:ind w:left="0" w:right="0" w:firstLine="336"/>
                    <w:jc w:val="both"/>
                    <w:rPr>
                      <w:sz w:val="19"/>
                      <w:szCs w:val="19"/>
                    </w:rPr>
                  </w:pPr>
                  <w:r>
                    <w:rPr>
                      <w:rFonts w:hint="eastAsia" w:ascii="宋体" w:hAnsi="宋体" w:eastAsia="宋体" w:cs="宋体"/>
                      <w:sz w:val="24"/>
                      <w:szCs w:val="24"/>
                    </w:rPr>
                    <w:t>25、每日巡视1次水箱间、水泵房，检查设备运行状况。</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 w:beforeAutospacing="0" w:after="0" w:afterAutospacing="0" w:line="30" w:lineRule="atLeast"/>
                    <w:ind w:left="0" w:right="0" w:firstLine="336"/>
                    <w:jc w:val="both"/>
                    <w:rPr>
                      <w:sz w:val="19"/>
                      <w:szCs w:val="19"/>
                    </w:rPr>
                  </w:pPr>
                  <w:r>
                    <w:rPr>
                      <w:rFonts w:hint="eastAsia" w:ascii="宋体" w:hAnsi="宋体" w:eastAsia="宋体" w:cs="宋体"/>
                      <w:sz w:val="24"/>
                      <w:szCs w:val="24"/>
                    </w:rPr>
                    <w:t>26、水箱盖保持完好并加锁，钥匙由专人保管；溢流管口、透气口应安装金属防护网并保持完好。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 w:beforeAutospacing="0" w:after="0" w:afterAutospacing="0" w:line="30" w:lineRule="atLeast"/>
                    <w:ind w:left="0" w:right="0" w:firstLine="336"/>
                    <w:jc w:val="both"/>
                    <w:rPr>
                      <w:sz w:val="19"/>
                      <w:szCs w:val="19"/>
                    </w:rPr>
                  </w:pPr>
                  <w:r>
                    <w:rPr>
                      <w:rFonts w:hint="eastAsia" w:ascii="宋体" w:hAnsi="宋体" w:eastAsia="宋体" w:cs="宋体"/>
                      <w:sz w:val="24"/>
                      <w:szCs w:val="24"/>
                    </w:rPr>
                    <w:t>27、管道井封堵严密。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8" w:beforeAutospacing="0" w:after="0" w:afterAutospacing="0" w:line="30" w:lineRule="atLeast"/>
                    <w:ind w:left="0" w:right="0" w:firstLine="336"/>
                    <w:jc w:val="both"/>
                    <w:rPr>
                      <w:sz w:val="19"/>
                      <w:szCs w:val="19"/>
                    </w:rPr>
                  </w:pPr>
                  <w:r>
                    <w:rPr>
                      <w:rFonts w:hint="eastAsia" w:ascii="宋体" w:hAnsi="宋体" w:eastAsia="宋体" w:cs="宋体"/>
                      <w:sz w:val="24"/>
                      <w:szCs w:val="24"/>
                    </w:rPr>
                    <w:t>28、服务期内对供水管道、阀门等进行养护处理。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05" w:type="dxa"/>
                  <w:vMerge w:val="continue"/>
                  <w:tcBorders>
                    <w:top w:val="nil"/>
                    <w:left w:val="single" w:color="000000" w:sz="4" w:space="0"/>
                    <w:bottom w:val="single" w:color="000000" w:sz="4" w:space="0"/>
                    <w:right w:val="single" w:color="000000" w:sz="4" w:space="0"/>
                  </w:tcBorders>
                  <w:tcMar>
                    <w:top w:w="36" w:type="dxa"/>
                    <w:left w:w="36" w:type="dxa"/>
                    <w:bottom w:w="36" w:type="dxa"/>
                    <w:right w:w="36" w:type="dxa"/>
                  </w:tcMar>
                  <w:vAlign w:val="top"/>
                </w:tcPr>
                <w:p>
                  <w:pPr>
                    <w:jc w:val="left"/>
                    <w:rPr>
                      <w:rFonts w:hint="default" w:ascii="Times New Roman" w:hAnsi="Times New Roman" w:cs="Times New Roman"/>
                      <w:sz w:val="15"/>
                      <w:szCs w:val="15"/>
                    </w:rPr>
                  </w:pPr>
                </w:p>
              </w:tc>
              <w:tc>
                <w:tcPr>
                  <w:tcW w:w="805" w:type="dxa"/>
                  <w:tcBorders>
                    <w:top w:val="nil"/>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排水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系统</w:t>
                  </w:r>
                </w:p>
              </w:tc>
              <w:tc>
                <w:tcPr>
                  <w:tcW w:w="5301" w:type="dxa"/>
                  <w:tcBorders>
                    <w:top w:val="nil"/>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29、有防汛预案，服务期内至少组织1次演练。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30、配备有防汛物资，包括沙袋、雨具、照明工具、抽水泵、防洪挡板等，供应商在投标文件中针对本项目制定的项目服务方案里须提供防汛物资清单（包含物资名称、数量、价格）并逐一列明每项物资明细价格，并将此项费用合计单独列入分项报价明细表设备工器具配置费中，进入总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31、排水设施：服务期内汛前对雨、污水井、屋面雨水口等设施进行检查，若堵塞及时组织清理、疏通。</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32、污水泵：汛期每日巡视1次，平时每月巡视1次，检查设备运行状态；每次巡视进行1次手动启动测试；服务期内养护1次。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33、化粪池：每月巡查1次，服务期1年内清掏1次，发现异常及时清掏。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34、雨污管网：每月巡查1次，每季度至少清掏1次，发现异常及时清掏。供应商应将本条排水系统维护要求（化粪池、雨污管网）所产生的费用分项计入分项报价明细设施设备维护保养费中，进入总报价。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05" w:type="dxa"/>
                  <w:vMerge w:val="continue"/>
                  <w:tcBorders>
                    <w:top w:val="nil"/>
                    <w:left w:val="single" w:color="000000" w:sz="4" w:space="0"/>
                    <w:bottom w:val="single" w:color="000000" w:sz="4" w:space="0"/>
                    <w:right w:val="single" w:color="000000" w:sz="4" w:space="0"/>
                  </w:tcBorders>
                  <w:tcMar>
                    <w:top w:w="36" w:type="dxa"/>
                    <w:left w:w="36" w:type="dxa"/>
                    <w:bottom w:w="36" w:type="dxa"/>
                    <w:right w:w="36" w:type="dxa"/>
                  </w:tcMar>
                  <w:vAlign w:val="top"/>
                </w:tcPr>
                <w:p>
                  <w:pPr>
                    <w:jc w:val="left"/>
                    <w:rPr>
                      <w:rFonts w:hint="default" w:ascii="Times New Roman" w:hAnsi="Times New Roman" w:cs="Times New Roman"/>
                      <w:sz w:val="15"/>
                      <w:szCs w:val="15"/>
                    </w:rPr>
                  </w:pPr>
                </w:p>
              </w:tc>
              <w:tc>
                <w:tcPr>
                  <w:tcW w:w="805" w:type="dxa"/>
                  <w:tcBorders>
                    <w:top w:val="nil"/>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供配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电系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统及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照明</w:t>
                  </w:r>
                </w:p>
              </w:tc>
              <w:tc>
                <w:tcPr>
                  <w:tcW w:w="5301" w:type="dxa"/>
                  <w:tcBorders>
                    <w:top w:val="nil"/>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35、楼内照明：每周巡视2次，一般故障1日内修复；复杂故障5日内修复。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36、楼外照明：每周巡视1次，一般故障1日内修复；复杂故障1周内修复；每月调整1次时间控制器。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37、路灯、楼道灯完好率应不低于94%，供应商在投标文件中单独提供书面承诺函承诺。（提供承诺函承诺并盖公章，格式自拟）。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38、应急照明、疏散指示标志：每日巡视1次，发现故障，30min内组织维修。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39、低压柜：每周巡视2次设备运行状况；服务期内养护1次，养护内容包括紧固、检测、清扫；服务期内检查1次电气安全。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40、低压配电箱和线路：每月检查1次设备运行状况；服务期内养护1次，养护内容包括紧固、检测、清扫。</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41、控制柜：每月检查1次设备运行状况；服务期内养护1次，养护内容包括紧固、检测、调试、清扫。</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42、发电机：每月试运行1次，每次试机15分钟，并填写《停电及发电记录表》,保证运行正常；服务期内活化1次蓄电池；每周巡视1次充电机和蓄电池。小区停电需发电供应时，如发电时间在4小时以上的，其产生的油耗由招标人按实单独支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43、配电室、楼层配电间：有门、孔、洞、窗等处的防鼠措施完备；穿墙线槽周边封堵严密；锁具完好；电缆进出线和开关标志准确。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44、变配电室高低压电缆沟、电梯底坑无积水。服务期内组织对高低压母线、配电盘、变压器、电缆进行1次例行试验，根据预防性测试结果对相关设备进行维护。供应商应将本条要求所产生的供配电系统维保费及试验费用计入分项报价明细设施设备维护保养费中，进入总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05" w:type="dxa"/>
                  <w:vMerge w:val="continue"/>
                  <w:tcBorders>
                    <w:top w:val="nil"/>
                    <w:left w:val="single" w:color="000000" w:sz="4" w:space="0"/>
                    <w:bottom w:val="single" w:color="000000" w:sz="4" w:space="0"/>
                    <w:right w:val="single" w:color="000000" w:sz="4" w:space="0"/>
                  </w:tcBorders>
                  <w:tcMar>
                    <w:top w:w="36" w:type="dxa"/>
                    <w:left w:w="36" w:type="dxa"/>
                    <w:bottom w:w="36" w:type="dxa"/>
                    <w:right w:w="36" w:type="dxa"/>
                  </w:tcMar>
                  <w:vAlign w:val="top"/>
                </w:tcPr>
                <w:p>
                  <w:pPr>
                    <w:jc w:val="left"/>
                    <w:rPr>
                      <w:rFonts w:hint="default" w:ascii="Times New Roman" w:hAnsi="Times New Roman" w:cs="Times New Roman"/>
                      <w:sz w:val="15"/>
                      <w:szCs w:val="15"/>
                    </w:rPr>
                  </w:pPr>
                </w:p>
              </w:tc>
              <w:tc>
                <w:tcPr>
                  <w:tcW w:w="805" w:type="dxa"/>
                  <w:tcBorders>
                    <w:top w:val="nil"/>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停车场相关设施</w:t>
                  </w:r>
                </w:p>
              </w:tc>
              <w:tc>
                <w:tcPr>
                  <w:tcW w:w="5301" w:type="dxa"/>
                  <w:tcBorders>
                    <w:top w:val="nil"/>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45、规范管理非机动车充电设施，建立巡查制度，每周2次对充电设施进行巡查，发现问题报告相关部门，并做好区域防患警戒隔离。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46、规范管理机动车充电设施，张贴设备铭牌，建立设备设施信息化管理台账，建立巡查制度，每周2次对充电设施进行巡查，发现问题报告相关部门，并做好区域防患警戒隔离。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47、机动车停车场配置车辆进出管控系统。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48、主机、道闸、读卡器等主要设备，每月巡检1次，服务期内养护1次，保证系统操作软件运行稳定、可靠，道闸启闭灵活，读卡器反应灵敏。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49、车场灯完好率应不低于85%，供应商在投标文件中单独提供书面承诺函承诺。（提供承诺函承诺并盖公章，格式自拟）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50、停车场交通导视系统及公共信息图形符号符合相关国家标准的规定，且清晰直观。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05" w:type="dxa"/>
                  <w:vMerge w:val="continue"/>
                  <w:tcBorders>
                    <w:top w:val="nil"/>
                    <w:left w:val="single" w:color="000000" w:sz="4" w:space="0"/>
                    <w:bottom w:val="single" w:color="000000" w:sz="4" w:space="0"/>
                    <w:right w:val="single" w:color="000000" w:sz="4" w:space="0"/>
                  </w:tcBorders>
                  <w:tcMar>
                    <w:top w:w="36" w:type="dxa"/>
                    <w:left w:w="36" w:type="dxa"/>
                    <w:bottom w:w="36" w:type="dxa"/>
                    <w:right w:w="36" w:type="dxa"/>
                  </w:tcMar>
                  <w:vAlign w:val="top"/>
                </w:tcPr>
                <w:p>
                  <w:pPr>
                    <w:jc w:val="left"/>
                    <w:rPr>
                      <w:rFonts w:hint="default" w:ascii="Times New Roman" w:hAnsi="Times New Roman" w:cs="Times New Roman"/>
                      <w:sz w:val="15"/>
                      <w:szCs w:val="15"/>
                    </w:rPr>
                  </w:pPr>
                </w:p>
              </w:tc>
              <w:tc>
                <w:tcPr>
                  <w:tcW w:w="805" w:type="dxa"/>
                  <w:tcBorders>
                    <w:top w:val="nil"/>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防范</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系统</w:t>
                  </w:r>
                </w:p>
              </w:tc>
              <w:tc>
                <w:tcPr>
                  <w:tcW w:w="5301" w:type="dxa"/>
                  <w:tcBorders>
                    <w:top w:val="nil"/>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51、物防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(1)外露管道等易攀爬处有防盗设施，如：防盗伞、防爬刺、带钩铁丝或抹黄油等。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(2)应安装单元防盗安全门。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(3)物业区域内路灯、楼道灯等夜间照明设施齐全，使用正常。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(4)落实专人对各类物防设施每月开展1次全面检查，及时排除安全隐患。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52、技防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(1)监控系统：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a.设备设施24h运转正常，实现对管理区域的有效监控，画面齐全、清晰；b.摄像头完好率应不低于90%，防高空抛物监控摄像头正常运行；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c.按设备随机使用说明书的要求对硬盘录像机、摄像机等设备进行检修保养。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(2)门禁系统：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a.每月检查1次，保证系统工作正常；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b.每月检查1次楼宇对讲设备按键、显示屏、通话等功能状况，保障设备运行正常。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(3)电子巡更：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a.每季度调试保养1次，保证正常运行；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b.保持巡更时间、地点、人员和数据的显示、归档、查询及打印功能正常，巡更违规记录提示功能正常。</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(4)周界防范系统：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a.按照产品使用说明书的要求来进行操作和维护；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b.每月进行1次全面检查；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c.每月对主机作1次表面清洁，定期对系统周围环境进行巡视；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d.报警系统有效性测试每周1次，中心报警控制主机能准确显示报警或故障发生的信息，并同时发出报警信号。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(5)技防设施设备出现运行不正常和损坏等问题，应立即进行维修。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53、消防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(1)定期对灭火器、火灾报警器、室内消火栓、消防水泵、防火门、防排烟系统、消防电梯、应急照明、疏散指示标志等普通消防设施、自动消防设施进行检查或试验，确保完好或处于正常状态，可随时启用。每天检查消防通道和疏散通道，确保畅通、无占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(2)在客户服务中心或消防控制室或其他场所建立微型消防站，配备2KG灭火器4具、消防斧2套和个人防护设备（防火服、安全帽、防火毯、防烟面罩）2套。供应商应将本条要求所产生的费用分项列入分项报价明细表设备工器具配置费中，进入总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(3)有自动消防设施的应与消防维保单位签订消防维保合同，约定双方的权利、义务与责任。供应商应将本条要求所产生的消防设施维保费用计入分项报价明细设施设备维护保养费中，进入总报价。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(4)供应商在投标文件中提供承诺函承诺有消防安全管理制度及火灾应急预案，服务期内对员工进行消防安全培训不少于2次，服务期内对业主开展消防安全宣传教育不少于2次，服务期内组织有员工、业主或物业使用人参加的消防演练不少于2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(5)发生火情时，应立即报警，疏散人员，组织力量实施初期扑救，并协助配合消防救援机构工作。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05" w:type="dxa"/>
                  <w:vMerge w:val="continue"/>
                  <w:tcBorders>
                    <w:top w:val="nil"/>
                    <w:left w:val="single" w:color="000000" w:sz="4" w:space="0"/>
                    <w:bottom w:val="single" w:color="000000" w:sz="4" w:space="0"/>
                    <w:right w:val="single" w:color="000000" w:sz="4" w:space="0"/>
                  </w:tcBorders>
                  <w:tcMar>
                    <w:top w:w="36" w:type="dxa"/>
                    <w:left w:w="36" w:type="dxa"/>
                    <w:bottom w:w="36" w:type="dxa"/>
                    <w:right w:w="36" w:type="dxa"/>
                  </w:tcMar>
                  <w:vAlign w:val="top"/>
                </w:tcPr>
                <w:p>
                  <w:pPr>
                    <w:jc w:val="left"/>
                    <w:rPr>
                      <w:rFonts w:hint="default" w:ascii="Times New Roman" w:hAnsi="Times New Roman" w:cs="Times New Roman"/>
                      <w:sz w:val="15"/>
                      <w:szCs w:val="15"/>
                    </w:rPr>
                  </w:pPr>
                </w:p>
              </w:tc>
              <w:tc>
                <w:tcPr>
                  <w:tcW w:w="805" w:type="dxa"/>
                  <w:tcBorders>
                    <w:top w:val="nil"/>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电梯</w:t>
                  </w:r>
                </w:p>
              </w:tc>
              <w:tc>
                <w:tcPr>
                  <w:tcW w:w="5301" w:type="dxa"/>
                  <w:tcBorders>
                    <w:top w:val="nil"/>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54、按相关规定进行定期检验。电梯检验有效期届满前1个月，应向电梯检验检测机构提出定期检验申请。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55、在电梯轿厢内或者出入口的明显位置张贴有效的特种设备使用标志；在电梯轿厢内显著位置张贴电梯使用的安全注意事项和警示标志、使用管理单位名称和维保单位名称及其急修、救援、投诉电话。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56、有以岗位责任制为核心的电梯使用安全管理制度。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57、设立24h值班电话，电梯紧急报警装置能随时与值班人员取得有效联系。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58、日常维护保养和定期检查中发现的故障隐患应及时消除。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59、与有相应有效资质的电梯维保单位签订电梯维保合同，约定双方的权利、义务与责任。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60、配备电梯管理人员并取得特种设备作业人员相应证书。每日检查1次电梯安全状况。服务期内至少对电梯安全管理人员进行1次特种设备安全培训，保证其具备必要的安全知识。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61、有电梯突发事件或者事故的应急预案，并服务期内演练1次。发生电梯困人时应及时采取措施。供应商在投标文件中提供单独承诺函承诺物业服务人员应在15min内到达现场安抚受困乘客，专业维修人员应在30min内到达现场。（提供承诺函承诺并盖公章，格式自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62、供应商应将本条要求所产生的电梯维保费用及年检费用（年检费用以特检院收费标准为准，每部电梯按照643.5 元+[（总层数+负一楼）-5]*64.35 元进行报价）计入分项报价明细设施设备维护保养费中，进入总报价。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05" w:type="dxa"/>
                  <w:tcBorders>
                    <w:top w:val="nil"/>
                    <w:left w:val="single" w:color="000000" w:sz="4" w:space="0"/>
                    <w:bottom w:val="single" w:color="000000" w:sz="4" w:space="0"/>
                    <w:right w:val="single" w:color="000000" w:sz="4" w:space="0"/>
                  </w:tcBorders>
                  <w:tcMar>
                    <w:top w:w="36" w:type="dxa"/>
                    <w:left w:w="36" w:type="dxa"/>
                    <w:bottom w:w="36" w:type="dxa"/>
                    <w:right w:w="36" w:type="dxa"/>
                  </w:tcMar>
                  <w:vAlign w:val="top"/>
                </w:tcPr>
                <w:p>
                  <w:pPr>
                    <w:jc w:val="left"/>
                    <w:rPr>
                      <w:rFonts w:hint="default" w:ascii="Times New Roman" w:hAnsi="Times New Roman" w:cs="Times New Roman"/>
                      <w:sz w:val="15"/>
                      <w:szCs w:val="15"/>
                    </w:rPr>
                  </w:pPr>
                </w:p>
              </w:tc>
              <w:tc>
                <w:tcPr>
                  <w:tcW w:w="805" w:type="dxa"/>
                  <w:tcBorders>
                    <w:top w:val="nil"/>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游乐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设施</w:t>
                  </w:r>
                </w:p>
              </w:tc>
              <w:tc>
                <w:tcPr>
                  <w:tcW w:w="5301" w:type="dxa"/>
                  <w:tcBorders>
                    <w:top w:val="nil"/>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63、每日巡查1次游乐设施，确保无安全隐患。排查游乐设施，确保完好、无尖锐硬物、无挂钩及螺栓、无锋利而未打磨的边沿；排查活动场地，确保平整，场地有沙坑的，确保沙坑中无破砖块或碎玻璃，无其他影响游乐场所使用的安全隐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05" w:type="dxa"/>
                  <w:tcBorders>
                    <w:top w:val="nil"/>
                    <w:left w:val="single" w:color="000000" w:sz="4" w:space="0"/>
                    <w:bottom w:val="single" w:color="000000" w:sz="4" w:space="0"/>
                    <w:right w:val="single" w:color="000000" w:sz="4" w:space="0"/>
                  </w:tcBorders>
                  <w:tcMar>
                    <w:top w:w="36" w:type="dxa"/>
                    <w:left w:w="36" w:type="dxa"/>
                    <w:bottom w:w="36" w:type="dxa"/>
                    <w:right w:w="36" w:type="dxa"/>
                  </w:tcMar>
                  <w:vAlign w:val="top"/>
                </w:tcPr>
                <w:p>
                  <w:pPr>
                    <w:jc w:val="left"/>
                    <w:rPr>
                      <w:rFonts w:hint="default" w:ascii="Times New Roman" w:hAnsi="Times New Roman" w:cs="Times New Roman"/>
                      <w:sz w:val="15"/>
                      <w:szCs w:val="15"/>
                    </w:rPr>
                  </w:pPr>
                </w:p>
              </w:tc>
              <w:tc>
                <w:tcPr>
                  <w:tcW w:w="805" w:type="dxa"/>
                  <w:tcBorders>
                    <w:top w:val="nil"/>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垃圾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设备</w:t>
                  </w:r>
                </w:p>
              </w:tc>
              <w:tc>
                <w:tcPr>
                  <w:tcW w:w="5301" w:type="dxa"/>
                  <w:tcBorders>
                    <w:top w:val="nil"/>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64、有详细的垃圾分类设施设备日常运行维护方案（供应商须在投标文件中针对本项目制定的项目服务方案的卫生消杀管理方案中体现）。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65、每周巡查1次垃圾分类投放站点、垃圾收集房、大件垃圾投放点，发现损坏，及时组织更换、维修。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3.装饰装修管理（5项）</w:t>
            </w:r>
          </w:p>
          <w:tbl>
            <w:tblPr>
              <w:tblStyle w:val="5"/>
              <w:tblW w:w="6959"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37"/>
              <w:gridCol w:w="60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937" w:type="dxa"/>
                  <w:tcBorders>
                    <w:top w:val="single" w:color="000000" w:sz="4" w:space="0"/>
                    <w:left w:val="single" w:color="000000" w:sz="4" w:space="0"/>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Style w:val="4"/>
                      <w:rFonts w:hint="eastAsia" w:ascii="宋体" w:hAnsi="宋体" w:eastAsia="宋体" w:cs="宋体"/>
                      <w:sz w:val="24"/>
                      <w:szCs w:val="24"/>
                    </w:rPr>
                    <w:t>项目</w:t>
                  </w:r>
                </w:p>
              </w:tc>
              <w:tc>
                <w:tcPr>
                  <w:tcW w:w="6022" w:type="dxa"/>
                  <w:tcBorders>
                    <w:top w:val="single" w:color="000000" w:sz="4" w:space="0"/>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Style w:val="4"/>
                      <w:rFonts w:hint="eastAsia" w:ascii="宋体" w:hAnsi="宋体" w:eastAsia="宋体" w:cs="宋体"/>
                      <w:sz w:val="24"/>
                      <w:szCs w:val="24"/>
                    </w:rPr>
                    <w:t>内容及要求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937" w:type="dxa"/>
                  <w:tcBorders>
                    <w:top w:val="nil"/>
                    <w:left w:val="single" w:color="000000" w:sz="4" w:space="0"/>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装饰装修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管理</w:t>
                  </w:r>
                </w:p>
              </w:tc>
              <w:tc>
                <w:tcPr>
                  <w:tcW w:w="6022" w:type="dxa"/>
                  <w:tcBorders>
                    <w:top w:val="nil"/>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84" w:beforeAutospacing="0" w:after="0" w:afterAutospacing="0" w:line="30" w:lineRule="atLeast"/>
                    <w:ind w:left="84" w:right="84" w:firstLine="336"/>
                    <w:jc w:val="left"/>
                    <w:rPr>
                      <w:sz w:val="19"/>
                      <w:szCs w:val="19"/>
                    </w:rPr>
                  </w:pPr>
                  <w:r>
                    <w:rPr>
                      <w:rFonts w:hint="eastAsia" w:ascii="宋体" w:hAnsi="宋体" w:eastAsia="宋体" w:cs="宋体"/>
                      <w:sz w:val="24"/>
                      <w:szCs w:val="24"/>
                    </w:rPr>
                    <w:t>1、建立装饰装修管理服务制度和装饰装修施工现场安全巡查制度。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84" w:beforeAutospacing="0" w:after="0" w:afterAutospacing="0" w:line="30" w:lineRule="atLeast"/>
                    <w:ind w:left="84" w:right="84" w:firstLine="336"/>
                    <w:jc w:val="left"/>
                    <w:rPr>
                      <w:sz w:val="19"/>
                      <w:szCs w:val="19"/>
                    </w:rPr>
                  </w:pPr>
                  <w:r>
                    <w:rPr>
                      <w:rFonts w:hint="eastAsia" w:ascii="宋体" w:hAnsi="宋体" w:eastAsia="宋体" w:cs="宋体"/>
                      <w:sz w:val="24"/>
                      <w:szCs w:val="24"/>
                    </w:rPr>
                    <w:t>2、建立装饰装修管理档案。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84" w:beforeAutospacing="0" w:after="0" w:afterAutospacing="0" w:line="30" w:lineRule="atLeast"/>
                    <w:ind w:left="84" w:right="84" w:firstLine="336"/>
                    <w:jc w:val="left"/>
                    <w:rPr>
                      <w:sz w:val="19"/>
                      <w:szCs w:val="19"/>
                    </w:rPr>
                  </w:pPr>
                  <w:r>
                    <w:rPr>
                      <w:rFonts w:hint="eastAsia" w:ascii="宋体" w:hAnsi="宋体" w:eastAsia="宋体" w:cs="宋体"/>
                      <w:sz w:val="24"/>
                      <w:szCs w:val="24"/>
                    </w:rPr>
                    <w:t>3、受理业主或物业使用人的装饰装修申报登记，与业主或物业使用人、装饰装修企业签订住宅室内装饰装修管理服务协议，告知业主或物业使用人在装饰装修过程中的禁止行为和注意事项，并进行安全教育和安全交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84" w:beforeAutospacing="0" w:after="0" w:afterAutospacing="0" w:line="30" w:lineRule="atLeast"/>
                    <w:ind w:left="84" w:right="84" w:firstLine="336"/>
                    <w:jc w:val="left"/>
                    <w:rPr>
                      <w:sz w:val="19"/>
                      <w:szCs w:val="19"/>
                    </w:rPr>
                  </w:pPr>
                  <w:r>
                    <w:rPr>
                      <w:rFonts w:hint="eastAsia" w:ascii="宋体" w:hAnsi="宋体" w:eastAsia="宋体" w:cs="宋体"/>
                      <w:sz w:val="24"/>
                      <w:szCs w:val="24"/>
                    </w:rPr>
                    <w:t>4、供应商在投标文件中单独提供书面承诺函承诺在装饰装修期间每2日巡查1次现场，发现业主或物业使用人未申报登记或者有违法违规行为的，应立即劝阻；拒不改正的，上报相关行政主管部门及业主、业主委员会进行处理。（提供承诺函承诺并盖公章，格式自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84" w:beforeAutospacing="0" w:after="0" w:afterAutospacing="0" w:line="30" w:lineRule="atLeast"/>
                    <w:ind w:left="84" w:right="84" w:firstLine="336"/>
                    <w:jc w:val="left"/>
                    <w:rPr>
                      <w:sz w:val="19"/>
                      <w:szCs w:val="19"/>
                    </w:rPr>
                  </w:pPr>
                  <w:r>
                    <w:rPr>
                      <w:rFonts w:hint="eastAsia" w:ascii="宋体" w:hAnsi="宋体" w:eastAsia="宋体" w:cs="宋体"/>
                      <w:sz w:val="24"/>
                      <w:szCs w:val="24"/>
                    </w:rPr>
                    <w:t>5、委托清运装修垃圾的，应在指定地点规范堆放，并在1周内清运。自行清运装修垃圾的，应采用袋装运输或密闭运输。</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4.公共秩序维护（15项）</w:t>
            </w:r>
          </w:p>
          <w:tbl>
            <w:tblPr>
              <w:tblStyle w:val="5"/>
              <w:tblW w:w="6635"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01"/>
              <w:gridCol w:w="57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901" w:type="dxa"/>
                  <w:tcBorders>
                    <w:top w:val="single" w:color="000000" w:sz="4" w:space="0"/>
                    <w:left w:val="single" w:color="000000" w:sz="4" w:space="0"/>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Style w:val="4"/>
                      <w:rFonts w:hint="eastAsia" w:ascii="宋体" w:hAnsi="宋体" w:eastAsia="宋体" w:cs="宋体"/>
                      <w:sz w:val="24"/>
                      <w:szCs w:val="24"/>
                    </w:rPr>
                    <w:t>项目</w:t>
                  </w:r>
                </w:p>
              </w:tc>
              <w:tc>
                <w:tcPr>
                  <w:tcW w:w="5734" w:type="dxa"/>
                  <w:tcBorders>
                    <w:top w:val="single" w:color="000000" w:sz="4" w:space="0"/>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Style w:val="4"/>
                      <w:rFonts w:hint="eastAsia" w:ascii="宋体" w:hAnsi="宋体" w:eastAsia="宋体" w:cs="宋体"/>
                      <w:sz w:val="24"/>
                      <w:szCs w:val="24"/>
                    </w:rPr>
                    <w:t>内容及要求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901" w:type="dxa"/>
                  <w:tcBorders>
                    <w:top w:val="nil"/>
                    <w:left w:val="single" w:color="000000" w:sz="4" w:space="0"/>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公共秩序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维护</w:t>
                  </w:r>
                </w:p>
              </w:tc>
              <w:tc>
                <w:tcPr>
                  <w:tcW w:w="5734" w:type="dxa"/>
                  <w:tcBorders>
                    <w:top w:val="nil"/>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84" w:beforeAutospacing="0" w:after="0" w:afterAutospacing="0" w:line="30" w:lineRule="atLeast"/>
                    <w:ind w:left="0" w:right="0" w:firstLine="336"/>
                    <w:jc w:val="both"/>
                    <w:rPr>
                      <w:sz w:val="19"/>
                      <w:szCs w:val="19"/>
                    </w:rPr>
                  </w:pPr>
                  <w:r>
                    <w:rPr>
                      <w:rFonts w:hint="eastAsia" w:ascii="宋体" w:hAnsi="宋体" w:eastAsia="宋体" w:cs="宋体"/>
                      <w:sz w:val="24"/>
                      <w:szCs w:val="24"/>
                    </w:rPr>
                    <w:t>1、主出入口24h有专人值守，人员进出有技术控制措施。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2、配备警棍、钢盔、钢叉、盾牌等反恐防爆设备。供应商在投标文件中针对本项目制定的项目服务方案里须提供反恐防爆设备配置清单（包含物资名称、数量、价格）并逐一列明每项物资明细价格，并将此项费用合计单独列入分项报价明细表设备工器具配置费中，进入总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84" w:beforeAutospacing="0" w:after="0" w:afterAutospacing="0" w:line="30" w:lineRule="atLeast"/>
                    <w:ind w:left="96" w:right="0" w:firstLine="336"/>
                    <w:jc w:val="both"/>
                    <w:rPr>
                      <w:sz w:val="19"/>
                      <w:szCs w:val="19"/>
                    </w:rPr>
                  </w:pPr>
                  <w:r>
                    <w:rPr>
                      <w:rFonts w:hint="eastAsia" w:ascii="宋体" w:hAnsi="宋体" w:eastAsia="宋体" w:cs="宋体"/>
                      <w:sz w:val="24"/>
                      <w:szCs w:val="24"/>
                    </w:rPr>
                    <w:t>3、安防控制室设专人24h值守。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84" w:beforeAutospacing="0" w:after="0" w:afterAutospacing="0" w:line="30" w:lineRule="atLeast"/>
                    <w:ind w:left="96" w:right="0" w:firstLine="336"/>
                    <w:jc w:val="both"/>
                    <w:rPr>
                      <w:sz w:val="19"/>
                      <w:szCs w:val="19"/>
                    </w:rPr>
                  </w:pPr>
                  <w:r>
                    <w:rPr>
                      <w:rFonts w:hint="eastAsia" w:ascii="宋体" w:hAnsi="宋体" w:eastAsia="宋体" w:cs="宋体"/>
                      <w:sz w:val="24"/>
                      <w:szCs w:val="24"/>
                    </w:rPr>
                    <w:t>4、配有安全监控设施，实施24h监控，保存录像不低于30天。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84" w:beforeAutospacing="0" w:after="0" w:afterAutospacing="0" w:line="30" w:lineRule="atLeast"/>
                    <w:ind w:left="96" w:right="0" w:firstLine="336"/>
                    <w:jc w:val="both"/>
                    <w:rPr>
                      <w:sz w:val="19"/>
                      <w:szCs w:val="19"/>
                    </w:rPr>
                  </w:pPr>
                  <w:r>
                    <w:rPr>
                      <w:rFonts w:hint="eastAsia" w:ascii="宋体" w:hAnsi="宋体" w:eastAsia="宋体" w:cs="宋体"/>
                      <w:sz w:val="24"/>
                      <w:szCs w:val="24"/>
                    </w:rPr>
                    <w:t>5、制定详细的巡查方案，按照规定路线和时间进行巡逻，每3h巡查1次，重点区域应增加巡逻频率，并做好巡逻记录。供应商应在投标文件中针对本项目制定的公共秩序维护方案中提供至少两套安全巡查线路图。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84" w:beforeAutospacing="0" w:after="0" w:afterAutospacing="0" w:line="30" w:lineRule="atLeast"/>
                    <w:ind w:left="96" w:right="0" w:firstLine="336"/>
                    <w:jc w:val="both"/>
                    <w:rPr>
                      <w:sz w:val="19"/>
                      <w:szCs w:val="19"/>
                    </w:rPr>
                  </w:pPr>
                  <w:r>
                    <w:rPr>
                      <w:rFonts w:hint="eastAsia" w:ascii="宋体" w:hAnsi="宋体" w:eastAsia="宋体" w:cs="宋体"/>
                      <w:sz w:val="24"/>
                      <w:szCs w:val="24"/>
                    </w:rPr>
                    <w:t>6、有外来人员管理制度，对来访人员进行询问登记。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84" w:beforeAutospacing="0" w:after="0" w:afterAutospacing="0" w:line="30" w:lineRule="atLeast"/>
                    <w:ind w:left="96" w:right="0" w:firstLine="336"/>
                    <w:jc w:val="both"/>
                    <w:rPr>
                      <w:sz w:val="19"/>
                      <w:szCs w:val="19"/>
                    </w:rPr>
                  </w:pPr>
                  <w:r>
                    <w:rPr>
                      <w:rFonts w:hint="eastAsia" w:ascii="宋体" w:hAnsi="宋体" w:eastAsia="宋体" w:cs="宋体"/>
                      <w:sz w:val="24"/>
                      <w:szCs w:val="24"/>
                    </w:rPr>
                    <w:t>7、基于车辆进出管控系统对机动车实行进出管理，有序停放，不得阻塞消防通道。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84" w:beforeAutospacing="0" w:after="0" w:afterAutospacing="0" w:line="30" w:lineRule="atLeast"/>
                    <w:ind w:left="96" w:right="0" w:firstLine="336"/>
                    <w:jc w:val="both"/>
                    <w:rPr>
                      <w:sz w:val="19"/>
                      <w:szCs w:val="19"/>
                    </w:rPr>
                  </w:pPr>
                  <w:r>
                    <w:rPr>
                      <w:rFonts w:hint="eastAsia" w:ascii="宋体" w:hAnsi="宋体" w:eastAsia="宋体" w:cs="宋体"/>
                      <w:sz w:val="24"/>
                      <w:szCs w:val="24"/>
                    </w:rPr>
                    <w:t>8、停车场出入口采用系统管理无人值守的，应设置紧急按钮或者公示紧急联系电话。</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84" w:beforeAutospacing="0" w:after="0" w:afterAutospacing="0" w:line="30" w:lineRule="atLeast"/>
                    <w:ind w:left="96" w:right="0" w:firstLine="336"/>
                    <w:jc w:val="both"/>
                    <w:rPr>
                      <w:sz w:val="19"/>
                      <w:szCs w:val="19"/>
                    </w:rPr>
                  </w:pPr>
                  <w:r>
                    <w:rPr>
                      <w:rFonts w:hint="eastAsia" w:ascii="宋体" w:hAnsi="宋体" w:eastAsia="宋体" w:cs="宋体"/>
                      <w:sz w:val="24"/>
                      <w:szCs w:val="24"/>
                    </w:rPr>
                    <w:t>9、非机动车刷卡进出，车辆停放有序，停车场区域配有监控设施。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84" w:beforeAutospacing="0" w:after="0" w:afterAutospacing="0" w:line="30" w:lineRule="atLeast"/>
                    <w:ind w:left="96" w:right="0" w:firstLine="336"/>
                    <w:jc w:val="both"/>
                    <w:rPr>
                      <w:sz w:val="19"/>
                      <w:szCs w:val="19"/>
                    </w:rPr>
                  </w:pPr>
                  <w:r>
                    <w:rPr>
                      <w:rFonts w:hint="eastAsia" w:ascii="宋体" w:hAnsi="宋体" w:eastAsia="宋体" w:cs="宋体"/>
                      <w:sz w:val="24"/>
                      <w:szCs w:val="24"/>
                    </w:rPr>
                    <w:t>10、供应商应在投标文件中针对本项目制定的公共秩序维护方案中提供大宗物品进出管理制度，实行大宗物品搬运进出登记管理。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84" w:beforeAutospacing="0" w:after="0" w:afterAutospacing="0" w:line="30" w:lineRule="atLeast"/>
                    <w:ind w:left="96" w:right="0" w:firstLine="336"/>
                    <w:jc w:val="both"/>
                    <w:rPr>
                      <w:sz w:val="19"/>
                      <w:szCs w:val="19"/>
                    </w:rPr>
                  </w:pPr>
                  <w:r>
                    <w:rPr>
                      <w:rFonts w:hint="eastAsia" w:ascii="宋体" w:hAnsi="宋体" w:eastAsia="宋体" w:cs="宋体"/>
                      <w:sz w:val="24"/>
                      <w:szCs w:val="24"/>
                    </w:rPr>
                    <w:t>11、对违法犯罪行为立即报警，并协助公安机关进行处理。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84" w:beforeAutospacing="0" w:after="0" w:afterAutospacing="0" w:line="30" w:lineRule="atLeast"/>
                    <w:ind w:left="96" w:right="0" w:firstLine="336"/>
                    <w:jc w:val="both"/>
                    <w:rPr>
                      <w:sz w:val="19"/>
                      <w:szCs w:val="19"/>
                    </w:rPr>
                  </w:pPr>
                  <w:r>
                    <w:rPr>
                      <w:rFonts w:hint="eastAsia" w:ascii="宋体" w:hAnsi="宋体" w:eastAsia="宋体" w:cs="宋体"/>
                      <w:sz w:val="24"/>
                      <w:szCs w:val="24"/>
                    </w:rPr>
                    <w:t>12、对秩序维护人员应进行相关法律法规及岗位流程培训合格后方能上岗，全年至少完成企业内部安全培训24学时。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84" w:beforeAutospacing="0" w:after="0" w:afterAutospacing="0" w:line="30" w:lineRule="atLeast"/>
                    <w:ind w:left="96" w:right="0" w:firstLine="336"/>
                    <w:jc w:val="both"/>
                    <w:rPr>
                      <w:sz w:val="19"/>
                      <w:szCs w:val="19"/>
                    </w:rPr>
                  </w:pPr>
                  <w:r>
                    <w:rPr>
                      <w:rFonts w:hint="eastAsia" w:ascii="宋体" w:hAnsi="宋体" w:eastAsia="宋体" w:cs="宋体"/>
                      <w:sz w:val="24"/>
                      <w:szCs w:val="24"/>
                    </w:rPr>
                    <w:t>13、利用小区公告栏张贴安全防范宣传品。服务期内开展1次安全用电、用气检查及宣传；服务期内开展1次抵制高空抛物、宠物扰邻、非机动车乱停乱放等不文明行为宣传。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84" w:beforeAutospacing="0" w:after="0" w:afterAutospacing="0" w:line="30" w:lineRule="atLeast"/>
                    <w:ind w:left="96" w:right="0" w:firstLine="336"/>
                    <w:jc w:val="both"/>
                    <w:rPr>
                      <w:sz w:val="19"/>
                      <w:szCs w:val="19"/>
                    </w:rPr>
                  </w:pPr>
                  <w:r>
                    <w:rPr>
                      <w:rFonts w:hint="eastAsia" w:ascii="宋体" w:hAnsi="宋体" w:eastAsia="宋体" w:cs="宋体"/>
                      <w:sz w:val="24"/>
                      <w:szCs w:val="24"/>
                    </w:rPr>
                    <w:t>14、有出租房屋公示栏和租户管理制度，租户信息完善。配合做好流动人口登记、出租房屋登记工作，登记薄册齐全。投标人在投标文件中针对本项目制定的公共秩序维护方案里须提供租户管理制度。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84" w:beforeAutospacing="0" w:after="0" w:afterAutospacing="0" w:line="30" w:lineRule="atLeast"/>
                    <w:ind w:left="96" w:right="0" w:firstLine="336"/>
                    <w:jc w:val="both"/>
                    <w:rPr>
                      <w:sz w:val="19"/>
                      <w:szCs w:val="19"/>
                    </w:rPr>
                  </w:pPr>
                  <w:r>
                    <w:rPr>
                      <w:rFonts w:hint="eastAsia" w:ascii="宋体" w:hAnsi="宋体" w:eastAsia="宋体" w:cs="宋体"/>
                      <w:sz w:val="24"/>
                      <w:szCs w:val="24"/>
                    </w:rPr>
                    <w:t>15、应制定并实施安全管理应急预案，定期组织安全事故应急演练，应急演练服务期内不少于1次。</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both"/>
              <w:rPr>
                <w:sz w:val="19"/>
                <w:szCs w:val="19"/>
              </w:rPr>
            </w:pPr>
            <w:r>
              <w:rPr>
                <w:rFonts w:hint="eastAsia" w:ascii="宋体" w:hAnsi="宋体" w:eastAsia="宋体" w:cs="宋体"/>
                <w:sz w:val="24"/>
                <w:szCs w:val="24"/>
              </w:rPr>
              <w:t>5.环境卫生维护（17项）</w:t>
            </w:r>
          </w:p>
          <w:tbl>
            <w:tblPr>
              <w:tblStyle w:val="5"/>
              <w:tblW w:w="7912"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602"/>
              <w:gridCol w:w="6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1602" w:type="dxa"/>
                  <w:tcBorders>
                    <w:top w:val="single" w:color="000000" w:sz="4" w:space="0"/>
                    <w:left w:val="single" w:color="000000" w:sz="4" w:space="0"/>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Style w:val="4"/>
                      <w:rFonts w:hint="eastAsia" w:ascii="宋体" w:hAnsi="宋体" w:eastAsia="宋体" w:cs="宋体"/>
                      <w:sz w:val="24"/>
                      <w:szCs w:val="24"/>
                    </w:rPr>
                    <w:t>项目</w:t>
                  </w:r>
                </w:p>
              </w:tc>
              <w:tc>
                <w:tcPr>
                  <w:tcW w:w="6310" w:type="dxa"/>
                  <w:tcBorders>
                    <w:top w:val="single" w:color="000000" w:sz="4" w:space="0"/>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Style w:val="4"/>
                      <w:rFonts w:hint="eastAsia" w:ascii="宋体" w:hAnsi="宋体" w:eastAsia="宋体" w:cs="宋体"/>
                      <w:sz w:val="24"/>
                      <w:szCs w:val="24"/>
                    </w:rPr>
                    <w:t>内容及要求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1602" w:type="dxa"/>
                  <w:tcBorders>
                    <w:top w:val="nil"/>
                    <w:left w:val="single" w:color="000000" w:sz="4" w:space="0"/>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制度及人员培训</w:t>
                  </w:r>
                </w:p>
              </w:tc>
              <w:tc>
                <w:tcPr>
                  <w:tcW w:w="6310" w:type="dxa"/>
                  <w:tcBorders>
                    <w:top w:val="nil"/>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84" w:beforeAutospacing="0" w:after="0" w:afterAutospacing="0" w:line="30" w:lineRule="atLeast"/>
                    <w:ind w:left="96" w:right="0" w:firstLine="336"/>
                    <w:jc w:val="both"/>
                    <w:rPr>
                      <w:sz w:val="19"/>
                      <w:szCs w:val="19"/>
                    </w:rPr>
                  </w:pPr>
                  <w:r>
                    <w:rPr>
                      <w:rFonts w:hint="eastAsia" w:ascii="宋体" w:hAnsi="宋体" w:eastAsia="宋体" w:cs="宋体"/>
                      <w:sz w:val="24"/>
                      <w:szCs w:val="24"/>
                    </w:rPr>
                    <w:t>1、建立环境卫生维护制度及作业安全制度。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48" w:beforeAutospacing="0" w:after="0" w:afterAutospacing="0" w:line="30" w:lineRule="atLeast"/>
                    <w:ind w:left="84" w:right="0" w:firstLine="336"/>
                    <w:jc w:val="both"/>
                    <w:rPr>
                      <w:sz w:val="19"/>
                      <w:szCs w:val="19"/>
                    </w:rPr>
                  </w:pPr>
                  <w:r>
                    <w:rPr>
                      <w:rFonts w:hint="eastAsia" w:ascii="宋体" w:hAnsi="宋体" w:eastAsia="宋体" w:cs="宋体"/>
                      <w:sz w:val="24"/>
                      <w:szCs w:val="24"/>
                    </w:rPr>
                    <w:t>2、环境卫生维护人员全年至少完成企业内部安全培训24学时。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1602" w:type="dxa"/>
                  <w:tcBorders>
                    <w:top w:val="nil"/>
                    <w:left w:val="single" w:color="000000" w:sz="4" w:space="0"/>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生活垃圾的收集、清运</w:t>
                  </w:r>
                </w:p>
              </w:tc>
              <w:tc>
                <w:tcPr>
                  <w:tcW w:w="6310" w:type="dxa"/>
                  <w:tcBorders>
                    <w:top w:val="nil"/>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3、开展生活垃圾分类宣传，按照DB5101/T3要求设置垃圾分类收集点和对应垃圾收集容器，引导业主或居民对生活垃圾进行分类。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4、采用定时看管、定点分拣的方法对区域内垃圾分类桶进行检查，发现居民分类投放错误进行及时分拣，以确保垃圾收集车能够高效率的进入小区及时回收各类垃圾。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5、供应商在投标文件中提供承诺函承诺每周至少清洗1次垃圾收集容器、垃圾投放站点、垃圾收集房(夏季1次/3日)。每半月至少消毒1次，蝇、蚊孳生季节每5日消杀1次。（提供承诺函承诺并盖公章，格式自拟）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6、垃圾收集容器内的垃圾不溢出，周边无散落垃圾。生活垃圾分类清运至指定的垃圾收集房(点)，清运频次不低于2次/日。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7、垃圾收集转运站(点)保持外围整洁。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8、垃圾收集车应防漏、有垃圾收集车标志。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1602" w:type="dxa"/>
                  <w:tcBorders>
                    <w:top w:val="nil"/>
                    <w:left w:val="single" w:color="000000" w:sz="4" w:space="0"/>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物业共用部分清洁</w:t>
                  </w:r>
                </w:p>
              </w:tc>
              <w:tc>
                <w:tcPr>
                  <w:tcW w:w="6310" w:type="dxa"/>
                  <w:tcBorders>
                    <w:top w:val="nil"/>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 w:beforeAutospacing="0" w:after="0" w:afterAutospacing="0" w:line="30" w:lineRule="atLeast"/>
                    <w:ind w:left="84" w:right="0" w:firstLine="336"/>
                    <w:jc w:val="both"/>
                    <w:rPr>
                      <w:sz w:val="19"/>
                      <w:szCs w:val="19"/>
                    </w:rPr>
                  </w:pPr>
                  <w:r>
                    <w:rPr>
                      <w:rFonts w:hint="eastAsia" w:ascii="宋体" w:hAnsi="宋体" w:eastAsia="宋体" w:cs="宋体"/>
                      <w:sz w:val="24"/>
                      <w:szCs w:val="24"/>
                    </w:rPr>
                    <w:t>9、楼内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 w:beforeAutospacing="0" w:after="0" w:afterAutospacing="0" w:line="30" w:lineRule="atLeast"/>
                    <w:ind w:left="84" w:right="0" w:firstLine="336"/>
                    <w:jc w:val="both"/>
                    <w:rPr>
                      <w:sz w:val="19"/>
                      <w:szCs w:val="19"/>
                    </w:rPr>
                  </w:pPr>
                  <w:r>
                    <w:rPr>
                      <w:rFonts w:hint="eastAsia" w:ascii="宋体" w:hAnsi="宋体" w:eastAsia="宋体" w:cs="宋体"/>
                      <w:sz w:val="24"/>
                      <w:szCs w:val="24"/>
                    </w:rPr>
                    <w:t>(1)公共场所：每日清扫1次地面；每周擦拭1次信报箱等设施设备；每季度擦拭1次墙面；每季度清洁1次天花板、2米以上玻璃等高位卫生；每日巡视保洁2次大堂、一层及车库候梯厅。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 w:beforeAutospacing="0" w:after="0" w:afterAutospacing="0" w:line="30" w:lineRule="atLeast"/>
                    <w:ind w:left="84" w:right="0" w:firstLine="336"/>
                    <w:jc w:val="both"/>
                    <w:rPr>
                      <w:sz w:val="19"/>
                      <w:szCs w:val="19"/>
                    </w:rPr>
                  </w:pPr>
                  <w:r>
                    <w:rPr>
                      <w:rFonts w:hint="eastAsia" w:ascii="宋体" w:hAnsi="宋体" w:eastAsia="宋体" w:cs="宋体"/>
                      <w:sz w:val="24"/>
                      <w:szCs w:val="24"/>
                    </w:rPr>
                    <w:t>(2)楼梯、楼道：每日清扫1次地面；每周保洁1次楼道、楼梯地面；每周擦拭1次楼梯扶手、栏杆、窗台、防火门、消火栓、指示牌等共用设施；服务期内除尘1次楼内灯具。每日巡视保洁1次楼道、楼梯。</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 w:beforeAutospacing="0" w:after="0" w:afterAutospacing="0" w:line="30" w:lineRule="atLeast"/>
                    <w:ind w:left="84" w:right="0" w:firstLine="336"/>
                    <w:jc w:val="both"/>
                    <w:rPr>
                      <w:sz w:val="19"/>
                      <w:szCs w:val="19"/>
                    </w:rPr>
                  </w:pPr>
                  <w:r>
                    <w:rPr>
                      <w:rFonts w:hint="eastAsia" w:ascii="宋体" w:hAnsi="宋体" w:eastAsia="宋体" w:cs="宋体"/>
                      <w:sz w:val="24"/>
                      <w:szCs w:val="24"/>
                    </w:rPr>
                    <w:t>10、电梯轿厢：每日擦拭1次电梯轿厢门、面板；每日保洁1次轿厢地面，不锈钢或其他材料装饰的电梯轿厢，每月护理1次；石材装饰的电梯轿厢，服务期内养护1次；每日巡视保洁2次电梯轿厢。电梯按键每日消毒1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 w:beforeAutospacing="0" w:after="0" w:afterAutospacing="0" w:line="30" w:lineRule="atLeast"/>
                    <w:ind w:left="84" w:right="0" w:firstLine="336"/>
                    <w:jc w:val="both"/>
                    <w:rPr>
                      <w:sz w:val="19"/>
                      <w:szCs w:val="19"/>
                    </w:rPr>
                  </w:pPr>
                  <w:r>
                    <w:rPr>
                      <w:rFonts w:hint="eastAsia" w:ascii="宋体" w:hAnsi="宋体" w:eastAsia="宋体" w:cs="宋体"/>
                      <w:sz w:val="24"/>
                      <w:szCs w:val="24"/>
                    </w:rPr>
                    <w:t>11、天台、屋面：每月清扫1次。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 w:beforeAutospacing="0" w:after="0" w:afterAutospacing="0" w:line="30" w:lineRule="atLeast"/>
                    <w:ind w:left="84" w:right="0" w:firstLine="336"/>
                    <w:jc w:val="both"/>
                    <w:rPr>
                      <w:sz w:val="19"/>
                      <w:szCs w:val="19"/>
                    </w:rPr>
                  </w:pPr>
                  <w:r>
                    <w:rPr>
                      <w:rFonts w:hint="eastAsia" w:ascii="宋体" w:hAnsi="宋体" w:eastAsia="宋体" w:cs="宋体"/>
                      <w:sz w:val="24"/>
                      <w:szCs w:val="24"/>
                    </w:rPr>
                    <w:t>12、楼外道路及设施：每日清扫1次，巡视保洁2次，楼外道路无积水；每季度冲洗1次楼外道路；每月清洁1次楼外公共照明及共用设施；每季度清洁1次雨篷、门头等；每季度消毒1次游乐健身设施。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 w:beforeAutospacing="0" w:after="0" w:afterAutospacing="0" w:line="30" w:lineRule="atLeast"/>
                    <w:ind w:left="84" w:right="0" w:firstLine="336"/>
                    <w:jc w:val="both"/>
                    <w:rPr>
                      <w:sz w:val="19"/>
                      <w:szCs w:val="19"/>
                    </w:rPr>
                  </w:pPr>
                  <w:r>
                    <w:rPr>
                      <w:rFonts w:hint="eastAsia" w:ascii="宋体" w:hAnsi="宋体" w:eastAsia="宋体" w:cs="宋体"/>
                      <w:sz w:val="24"/>
                      <w:szCs w:val="24"/>
                    </w:rPr>
                    <w:t>13、地下车库：每周清扫2次地面；每季度循环排尘地面1次；每季度擦拭1次灯罩等附属设施。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 w:beforeAutospacing="0" w:after="0" w:afterAutospacing="0" w:line="30" w:lineRule="atLeast"/>
                    <w:ind w:left="84" w:right="0" w:firstLine="336"/>
                    <w:jc w:val="both"/>
                    <w:rPr>
                      <w:sz w:val="19"/>
                      <w:szCs w:val="19"/>
                    </w:rPr>
                  </w:pPr>
                  <w:r>
                    <w:rPr>
                      <w:rFonts w:hint="eastAsia" w:ascii="宋体" w:hAnsi="宋体" w:eastAsia="宋体" w:cs="宋体"/>
                      <w:sz w:val="24"/>
                      <w:szCs w:val="24"/>
                    </w:rPr>
                    <w:t>14、公共卫生间：每日清洁1次，巡视保洁1次。每月消毒2次。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 w:beforeAutospacing="0" w:after="0" w:afterAutospacing="0" w:line="30" w:lineRule="atLeast"/>
                    <w:ind w:left="84" w:right="0" w:firstLine="336"/>
                    <w:jc w:val="both"/>
                    <w:rPr>
                      <w:sz w:val="19"/>
                      <w:szCs w:val="19"/>
                    </w:rPr>
                  </w:pPr>
                  <w:r>
                    <w:rPr>
                      <w:rFonts w:hint="eastAsia" w:ascii="宋体" w:hAnsi="宋体" w:eastAsia="宋体" w:cs="宋体"/>
                      <w:sz w:val="24"/>
                      <w:szCs w:val="24"/>
                    </w:rPr>
                    <w:t>15、负责小区内雨污管网、化粪池服务期1年内至少清掏一次并做好记录和管理。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 w:beforeAutospacing="0" w:after="0" w:afterAutospacing="0" w:line="30" w:lineRule="atLeast"/>
                    <w:ind w:left="96" w:right="84" w:firstLine="336"/>
                    <w:jc w:val="both"/>
                    <w:rPr>
                      <w:sz w:val="19"/>
                      <w:szCs w:val="19"/>
                    </w:rPr>
                  </w:pPr>
                  <w:r>
                    <w:rPr>
                      <w:rFonts w:hint="eastAsia" w:ascii="宋体" w:hAnsi="宋体" w:eastAsia="宋体" w:cs="宋体"/>
                      <w:sz w:val="24"/>
                      <w:szCs w:val="24"/>
                    </w:rPr>
                    <w:t>16、配合相关部门进行有害生物的预防和控制。有完善的消杀灭害服务方案。投放药物应预先告知，投药位置有明显标志，公共区域消杀废弃物统一收集回收。夏季灭蚊、灭蝇每月不少于2次，垃圾桶周边无蚊虫，灭鼠、灭蟑螂每月不少于1次，有相关消杀记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 w:beforeAutospacing="0" w:after="0" w:afterAutospacing="0" w:line="30" w:lineRule="atLeast"/>
                    <w:ind w:left="96" w:right="84" w:firstLine="336"/>
                    <w:jc w:val="both"/>
                    <w:rPr>
                      <w:sz w:val="19"/>
                      <w:szCs w:val="19"/>
                    </w:rPr>
                  </w:pPr>
                  <w:r>
                    <w:rPr>
                      <w:rFonts w:hint="eastAsia" w:ascii="宋体" w:hAnsi="宋体" w:eastAsia="宋体" w:cs="宋体"/>
                      <w:sz w:val="24"/>
                      <w:szCs w:val="24"/>
                    </w:rPr>
                    <w:t>17、配合相关部门做好消杀消毒工作。供应商应将本条要求所产生的消杀物资计入分项报价明细耗品耗材费中，进入总报价。</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both"/>
              <w:rPr>
                <w:sz w:val="19"/>
                <w:szCs w:val="19"/>
              </w:rPr>
            </w:pPr>
            <w:r>
              <w:rPr>
                <w:rFonts w:hint="eastAsia" w:ascii="宋体" w:hAnsi="宋体" w:eastAsia="宋体" w:cs="宋体"/>
                <w:sz w:val="24"/>
                <w:szCs w:val="24"/>
              </w:rPr>
              <w:t>6.绿化养护（12项）</w:t>
            </w:r>
          </w:p>
          <w:tbl>
            <w:tblPr>
              <w:tblStyle w:val="5"/>
              <w:tblW w:w="7912"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058"/>
              <w:gridCol w:w="68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1058" w:type="dxa"/>
                  <w:tcBorders>
                    <w:top w:val="single" w:color="000000" w:sz="4" w:space="0"/>
                    <w:left w:val="single" w:color="000000" w:sz="4" w:space="0"/>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Style w:val="4"/>
                      <w:rFonts w:hint="eastAsia" w:ascii="宋体" w:hAnsi="宋体" w:eastAsia="宋体" w:cs="宋体"/>
                      <w:sz w:val="24"/>
                      <w:szCs w:val="24"/>
                    </w:rPr>
                    <w:t>项目</w:t>
                  </w:r>
                </w:p>
              </w:tc>
              <w:tc>
                <w:tcPr>
                  <w:tcW w:w="6854" w:type="dxa"/>
                  <w:tcBorders>
                    <w:top w:val="single" w:color="000000" w:sz="4" w:space="0"/>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Style w:val="4"/>
                      <w:rFonts w:hint="eastAsia" w:ascii="宋体" w:hAnsi="宋体" w:eastAsia="宋体" w:cs="宋体"/>
                      <w:sz w:val="24"/>
                      <w:szCs w:val="24"/>
                    </w:rPr>
                    <w:t>内容及要求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1058" w:type="dxa"/>
                  <w:tcBorders>
                    <w:top w:val="nil"/>
                    <w:left w:val="single" w:color="000000" w:sz="4" w:space="0"/>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制度及人员培训</w:t>
                  </w:r>
                </w:p>
              </w:tc>
              <w:tc>
                <w:tcPr>
                  <w:tcW w:w="6854" w:type="dxa"/>
                  <w:tcBorders>
                    <w:top w:val="nil"/>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1、建立绿化养护制度及安全作业制度。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2、绿化养护人员全年至少完成企业内部安全培训24学时。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84" w:hRule="atLeast"/>
              </w:trPr>
              <w:tc>
                <w:tcPr>
                  <w:tcW w:w="1058" w:type="dxa"/>
                  <w:tcBorders>
                    <w:top w:val="nil"/>
                    <w:left w:val="single" w:color="000000" w:sz="4" w:space="0"/>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绿化养护</w:t>
                  </w:r>
                </w:p>
              </w:tc>
              <w:tc>
                <w:tcPr>
                  <w:tcW w:w="6854" w:type="dxa"/>
                  <w:tcBorders>
                    <w:top w:val="nil"/>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3、基本要求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编制绿化养护措施和工作计划；生长季节每月检查3次绿化工作。有绿化档案。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4、灌溉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有计划地进行浇灌，灌溉水下渗充足均匀，无明显旱涝情况发生；一般植物确保在萌芽前、4月、5月、秋季、入冬前浇水1次，其他时间根据植物种类、生长情况和土壤墒情合理安排灌溉。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5、施肥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根据植物生长情况施肥，一般乔木服务期内施肥1~2次；灌木服务期内施肥1~2次；地被和草坪植物服务期内施肥2~3次；花坛植物根据生长情况进行追肥；尽量减少对化肥的依赖。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6、病虫害防治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根据病虫害发生规律，植物生长季每月至少检查3次病虫害情况；并根据检查结果防治病虫害，不因病虫害出现提前落叶、死亡现象。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7、整形修剪</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乔木服务期内冬季修剪1次；灌木服务期内生长季节和冬季修剪1次；绿篱服务期内至少修剪2次；草坪夏季每月至少修剪1次，服务期内至少修剪12次。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8、支撑加固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服务期内雨季前应对支撑杆进行1次全面检查，对松动的支撑应及时加固。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9、除草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服务期内全面除草2次，重点绿地增加除草次数。</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10、垃圾处理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绿化作业产生的垃圾应在作业完成后2h内清理干净。</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11、补植、改植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树木缺株、草坪空秃地段应及时补种和补植与原绿化品种相同的植物，绿化植物不适宜原种植环境的，可进行改植。补植、改植后土地无明显裸露。</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12、花卉布置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春节、国庆节等重要节日小区有花卉造型布置。供应商应将本条要求所产生的费用分项计入分项报价明细专项费用中，进入总报价。</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both"/>
              <w:rPr>
                <w:sz w:val="19"/>
                <w:szCs w:val="19"/>
              </w:rPr>
            </w:pPr>
            <w:r>
              <w:rPr>
                <w:rFonts w:hint="eastAsia" w:ascii="宋体" w:hAnsi="宋体" w:eastAsia="宋体" w:cs="宋体"/>
                <w:sz w:val="24"/>
                <w:szCs w:val="24"/>
              </w:rPr>
              <w:t>7.社区创新服务（6项）</w:t>
            </w:r>
          </w:p>
          <w:tbl>
            <w:tblPr>
              <w:tblStyle w:val="5"/>
              <w:tblW w:w="6803"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15"/>
              <w:gridCol w:w="58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915" w:type="dxa"/>
                  <w:tcBorders>
                    <w:top w:val="single" w:color="000000" w:sz="4" w:space="0"/>
                    <w:left w:val="single" w:color="000000" w:sz="4" w:space="0"/>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Style w:val="4"/>
                      <w:rFonts w:hint="eastAsia" w:ascii="宋体" w:hAnsi="宋体" w:eastAsia="宋体" w:cs="宋体"/>
                      <w:sz w:val="24"/>
                      <w:szCs w:val="24"/>
                    </w:rPr>
                    <w:t>项目</w:t>
                  </w:r>
                </w:p>
              </w:tc>
              <w:tc>
                <w:tcPr>
                  <w:tcW w:w="5888" w:type="dxa"/>
                  <w:tcBorders>
                    <w:top w:val="single" w:color="000000" w:sz="4" w:space="0"/>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Style w:val="4"/>
                      <w:rFonts w:hint="eastAsia" w:ascii="宋体" w:hAnsi="宋体" w:eastAsia="宋体" w:cs="宋体"/>
                      <w:sz w:val="24"/>
                      <w:szCs w:val="24"/>
                    </w:rPr>
                    <w:t>内容及要求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915" w:type="dxa"/>
                  <w:tcBorders>
                    <w:top w:val="nil"/>
                    <w:left w:val="single" w:color="000000" w:sz="4" w:space="0"/>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社区创新服务</w:t>
                  </w:r>
                </w:p>
              </w:tc>
              <w:tc>
                <w:tcPr>
                  <w:tcW w:w="5888" w:type="dxa"/>
                  <w:tcBorders>
                    <w:top w:val="nil"/>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1、与物业所在地的行业主管部门、街道办事处(乡镇人民政府)、公安派出所、社区居民委员会保持密切联系，配合重点工作，共同商议解决物业管理难题。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2、协助业主自治组织的筹备工作，建立与业主自治组织定期沟通的工作例会机制，听取业主对物业服务的意见和建议，主动接受业主自治组织的监督。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3、建立并运行计算机辅助管理系统。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4、采取节能措施，有效降低能耗（供应商在投标文件中针对本项目制定的设施设备运行维护管理方案里须提供节能方案）。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5、提供便民医药箱、便民针线包、便民雨伞、便民打气筒、小型维修工具借用(无偿)。供应商在投标文件中针对本项目制定的项目服务方案里须提供便民服务物资清单（便民医药箱、便民针线包、便民雨伞、便民打气筒清单包含物资名称、数量、价格）并逐一列明每项物资明细价格，并将此项费用合计单独列入分项报价明细表设备工器具配置费中，进入总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4"/>
                      <w:szCs w:val="24"/>
                    </w:rPr>
                    <w:t>6、制定服务菜单，根据业主需求提供包括维修、家政、洗衣、洗车、搬运、老年供餐、定期巡防、代管绿植、代管宠物、房屋管养等2种及以上特约服务(有偿)。</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2"/>
              <w:jc w:val="left"/>
              <w:rPr>
                <w:sz w:val="19"/>
                <w:szCs w:val="19"/>
              </w:rPr>
            </w:pPr>
            <w:r>
              <w:rPr>
                <w:rStyle w:val="4"/>
                <w:rFonts w:hint="eastAsia" w:ascii="宋体" w:hAnsi="宋体" w:eastAsia="宋体" w:cs="宋体"/>
                <w:sz w:val="24"/>
                <w:szCs w:val="24"/>
              </w:rPr>
              <w:t>（四）设施设备维修及专业维保管理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1、质保期内，项目内的设施设备维修按质保责任相关法律规定确定责任方，由责任方承担维修产生的全部维修费用。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2、质保期结束后，项目内的设施设备维修根据维修金额的大小划分为一般维修和中大型维修，其中：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一般维修是指单次单件维修费用</w:t>
            </w:r>
            <w:r>
              <w:rPr>
                <w:rFonts w:hint="eastAsia" w:ascii="宋体" w:hAnsi="宋体" w:eastAsia="宋体" w:cs="宋体"/>
                <w:sz w:val="24"/>
                <w:szCs w:val="24"/>
                <w:u w:val="single"/>
              </w:rPr>
              <w:t>1500</w:t>
            </w:r>
            <w:r>
              <w:rPr>
                <w:rFonts w:hint="eastAsia" w:ascii="宋体" w:hAnsi="宋体" w:eastAsia="宋体" w:cs="宋体"/>
                <w:sz w:val="24"/>
                <w:szCs w:val="24"/>
              </w:rPr>
              <w:t>元以下的设施设备维修，维修费用由中标人承担，计入分项报价明细中，进入总报价；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中大型维修指单次单件维修费用</w:t>
            </w:r>
            <w:r>
              <w:rPr>
                <w:rFonts w:hint="eastAsia" w:ascii="宋体" w:hAnsi="宋体" w:eastAsia="宋体" w:cs="宋体"/>
                <w:sz w:val="24"/>
                <w:szCs w:val="24"/>
                <w:u w:val="single"/>
              </w:rPr>
              <w:t>1500</w:t>
            </w:r>
            <w:r>
              <w:rPr>
                <w:rFonts w:hint="eastAsia" w:ascii="宋体" w:hAnsi="宋体" w:eastAsia="宋体" w:cs="宋体"/>
                <w:sz w:val="24"/>
                <w:szCs w:val="24"/>
              </w:rPr>
              <w:t>元（含）以上的设施设备维修，项目单项整改费用</w:t>
            </w:r>
            <w:r>
              <w:rPr>
                <w:rFonts w:hint="eastAsia" w:ascii="宋体" w:hAnsi="宋体" w:eastAsia="宋体" w:cs="宋体"/>
                <w:sz w:val="24"/>
                <w:szCs w:val="24"/>
                <w:u w:val="single"/>
              </w:rPr>
              <w:t>1500</w:t>
            </w:r>
            <w:r>
              <w:rPr>
                <w:rFonts w:hint="eastAsia" w:ascii="宋体" w:hAnsi="宋体" w:eastAsia="宋体" w:cs="宋体"/>
                <w:sz w:val="24"/>
                <w:szCs w:val="24"/>
              </w:rPr>
              <w:t>元（含）以上的中大型维修费用，可在公共维修资金中作为专项维修资金支出。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3、专业维保管理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负责本项目的电梯维保与年检、消防系统维保的实施单位应具备相应资质，供应商不具备此能力的，应委托具有相应资质单位提供服务，供应商应与实施单位签订合同，并负责对其进行监督考核。根据采购文件要求所产生的各项维保费用逐一列项报价计入设施设备维护保养费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4、项目单项整改费用</w:t>
            </w:r>
            <w:r>
              <w:rPr>
                <w:rFonts w:hint="eastAsia" w:ascii="宋体" w:hAnsi="宋体" w:eastAsia="宋体" w:cs="宋体"/>
                <w:sz w:val="24"/>
                <w:szCs w:val="24"/>
                <w:u w:val="single"/>
              </w:rPr>
              <w:t>1500</w:t>
            </w:r>
            <w:r>
              <w:rPr>
                <w:rFonts w:hint="eastAsia" w:ascii="宋体" w:hAnsi="宋体" w:eastAsia="宋体" w:cs="宋体"/>
                <w:sz w:val="24"/>
                <w:szCs w:val="24"/>
              </w:rPr>
              <w:t>元（含）以上的中大型维修费用，可在公共维修资金中作为专项维修资金支出。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2"/>
              <w:jc w:val="left"/>
              <w:rPr>
                <w:sz w:val="19"/>
                <w:szCs w:val="19"/>
              </w:rPr>
            </w:pPr>
            <w:r>
              <w:rPr>
                <w:rStyle w:val="4"/>
                <w:rFonts w:hint="eastAsia" w:ascii="宋体" w:hAnsi="宋体" w:eastAsia="宋体" w:cs="宋体"/>
                <w:sz w:val="24"/>
                <w:szCs w:val="24"/>
              </w:rPr>
              <w:t>（五）安全生产管理要求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依据有关安全的法律法规和本项目的安全生产管理要求，在采购人的指导下，供应商应建立本项目物业的安全生产管理体系，建立健全全员安全生产责任制和安全生产规章制度，加强从业人员安全生产教育和培训，加强安全生产管理，防止和减少生产安全事故，保障客户生命和财产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1、安全生产及责任划分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投标人应提供承诺函承诺在服务期内提供的全过程中承担所有与安全生产方面相关的责任和义务，包括以下内容：（说明：提供承诺函承诺并盖公章，格式自拟）：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（1）确保所有服务内容都遵守国家和地方适用有关职业健康安全的法律法规要求，以及采购人的规章制度。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（2）确保所有服务的作业人员都经过安全知识、技术操作等各方面的培训。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（3）确保所有设备、设施都符合国家法律和采购人的要求，并能正确的安全的工作，所有工作程序和方法都能正确得到实施。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（4）确保所有安全风险作业都在实施前与采购人书面进行了通报和协商。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（5）确保在接到采购人对作业人员的不安全行为发出口头或书面通知后，立即实施整改。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（6）管理服务范围内没有因管理服务不当而发生刑事案件和失窃、火灾、交通等安全事故，因供应商管理服务不当造成安全事故，供应商应承担相应责任。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2、安全生产及灾害预防。建立安全生产规章制度和操作规程，普及安全生产知识，安全用电、用气、安全操作设备及机具。供应商应在在投标文件中针对本项目制定的项目服务方案应急处理方案中提供暴雨或灾害性天气应急预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2"/>
              <w:jc w:val="left"/>
              <w:rPr>
                <w:sz w:val="19"/>
                <w:szCs w:val="19"/>
              </w:rPr>
            </w:pPr>
            <w:r>
              <w:rPr>
                <w:rStyle w:val="4"/>
                <w:rFonts w:hint="eastAsia" w:ascii="宋体" w:hAnsi="宋体" w:eastAsia="宋体" w:cs="宋体"/>
                <w:sz w:val="24"/>
                <w:szCs w:val="24"/>
              </w:rPr>
              <w:t>（六）供应商设备工器具配置要求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1、供应商应结合招标文件要求配备必备的设备工器具如下表：</w:t>
            </w:r>
          </w:p>
          <w:tbl>
            <w:tblPr>
              <w:tblStyle w:val="5"/>
              <w:tblW w:w="7911" w:type="dxa"/>
              <w:jc w:val="center"/>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43"/>
              <w:gridCol w:w="1696"/>
              <w:gridCol w:w="3086"/>
              <w:gridCol w:w="18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384" w:hRule="atLeast"/>
                <w:jc w:val="center"/>
              </w:trPr>
              <w:tc>
                <w:tcPr>
                  <w:tcW w:w="1243" w:type="dxa"/>
                  <w:tcBorders>
                    <w:top w:val="single" w:color="000000" w:sz="4" w:space="0"/>
                    <w:left w:val="single" w:color="000000" w:sz="4" w:space="0"/>
                    <w:bottom w:val="single" w:color="000000" w:sz="4" w:space="0"/>
                    <w:right w:val="single" w:color="000000" w:sz="4" w:space="0"/>
                  </w:tcBorders>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序号</w:t>
                  </w:r>
                </w:p>
              </w:tc>
              <w:tc>
                <w:tcPr>
                  <w:tcW w:w="1696" w:type="dxa"/>
                  <w:tcBorders>
                    <w:top w:val="single" w:color="000000" w:sz="4" w:space="0"/>
                    <w:left w:val="nil"/>
                    <w:bottom w:val="single" w:color="000000" w:sz="4" w:space="0"/>
                    <w:right w:val="single" w:color="000000" w:sz="4" w:space="0"/>
                  </w:tcBorders>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部门</w:t>
                  </w:r>
                </w:p>
              </w:tc>
              <w:tc>
                <w:tcPr>
                  <w:tcW w:w="3086" w:type="dxa"/>
                  <w:tcBorders>
                    <w:top w:val="single" w:color="000000" w:sz="4" w:space="0"/>
                    <w:left w:val="nil"/>
                    <w:bottom w:val="single" w:color="000000" w:sz="4" w:space="0"/>
                    <w:right w:val="single" w:color="000000" w:sz="4" w:space="0"/>
                  </w:tcBorders>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物资</w:t>
                  </w:r>
                </w:p>
              </w:tc>
              <w:tc>
                <w:tcPr>
                  <w:tcW w:w="1886" w:type="dxa"/>
                  <w:tcBorders>
                    <w:top w:val="single" w:color="000000" w:sz="4" w:space="0"/>
                    <w:left w:val="nil"/>
                    <w:bottom w:val="single" w:color="000000" w:sz="4" w:space="0"/>
                    <w:right w:val="single" w:color="000000" w:sz="4" w:space="0"/>
                  </w:tcBorders>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jc w:val="center"/>
              </w:trPr>
              <w:tc>
                <w:tcPr>
                  <w:tcW w:w="1243" w:type="dxa"/>
                  <w:tcBorders>
                    <w:top w:val="nil"/>
                    <w:left w:val="single" w:color="000000" w:sz="4" w:space="0"/>
                    <w:bottom w:val="single" w:color="000000" w:sz="4" w:space="0"/>
                    <w:right w:val="single" w:color="000000" w:sz="4" w:space="0"/>
                  </w:tcBorders>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1"/>
                      <w:szCs w:val="21"/>
                    </w:rPr>
                    <w:t>1</w:t>
                  </w:r>
                </w:p>
              </w:tc>
              <w:tc>
                <w:tcPr>
                  <w:tcW w:w="1696" w:type="dxa"/>
                  <w:tcBorders>
                    <w:top w:val="nil"/>
                    <w:left w:val="nil"/>
                    <w:bottom w:val="single" w:color="000000" w:sz="4" w:space="0"/>
                    <w:right w:val="single" w:color="000000" w:sz="4" w:space="0"/>
                  </w:tcBorders>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both"/>
                    <w:rPr>
                      <w:sz w:val="19"/>
                      <w:szCs w:val="19"/>
                    </w:rPr>
                  </w:pPr>
                  <w:r>
                    <w:rPr>
                      <w:rFonts w:hint="eastAsia" w:ascii="宋体" w:hAnsi="宋体" w:eastAsia="宋体" w:cs="宋体"/>
                      <w:sz w:val="21"/>
                      <w:szCs w:val="21"/>
                    </w:rPr>
                    <w:t>客服部</w:t>
                  </w:r>
                </w:p>
              </w:tc>
              <w:tc>
                <w:tcPr>
                  <w:tcW w:w="3086" w:type="dxa"/>
                  <w:tcBorders>
                    <w:top w:val="nil"/>
                    <w:left w:val="nil"/>
                    <w:bottom w:val="single" w:color="000000" w:sz="4" w:space="0"/>
                    <w:right w:val="single" w:color="000000" w:sz="4" w:space="0"/>
                  </w:tcBorders>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1"/>
                      <w:szCs w:val="21"/>
                    </w:rPr>
                    <w:t>办公桌椅、电脑、打印机、饮水机、宽带网络，以及办公类耗材（如笔、墨、纸等）</w:t>
                  </w:r>
                </w:p>
              </w:tc>
              <w:tc>
                <w:tcPr>
                  <w:tcW w:w="1886" w:type="dxa"/>
                  <w:tcBorders>
                    <w:top w:val="nil"/>
                    <w:left w:val="nil"/>
                    <w:bottom w:val="single" w:color="000000" w:sz="4" w:space="0"/>
                    <w:right w:val="single" w:color="000000" w:sz="4" w:space="0"/>
                  </w:tcBorders>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1"/>
                      <w:szCs w:val="21"/>
                    </w:rPr>
                    <w:t>办公桌椅3套、电脑2台，打印机1台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jc w:val="center"/>
              </w:trPr>
              <w:tc>
                <w:tcPr>
                  <w:tcW w:w="1243" w:type="dxa"/>
                  <w:tcBorders>
                    <w:top w:val="nil"/>
                    <w:left w:val="single" w:color="000000" w:sz="4" w:space="0"/>
                    <w:bottom w:val="single" w:color="000000" w:sz="4" w:space="0"/>
                    <w:right w:val="single" w:color="000000" w:sz="4" w:space="0"/>
                  </w:tcBorders>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1"/>
                      <w:szCs w:val="21"/>
                    </w:rPr>
                    <w:t>2</w:t>
                  </w:r>
                </w:p>
              </w:tc>
              <w:tc>
                <w:tcPr>
                  <w:tcW w:w="1696" w:type="dxa"/>
                  <w:tcBorders>
                    <w:top w:val="nil"/>
                    <w:left w:val="nil"/>
                    <w:bottom w:val="single" w:color="000000" w:sz="4" w:space="0"/>
                    <w:right w:val="single" w:color="000000" w:sz="4" w:space="0"/>
                  </w:tcBorders>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1"/>
                      <w:szCs w:val="21"/>
                    </w:rPr>
                    <w:t>环境维护部（保洁）</w:t>
                  </w:r>
                </w:p>
              </w:tc>
              <w:tc>
                <w:tcPr>
                  <w:tcW w:w="3086" w:type="dxa"/>
                  <w:tcBorders>
                    <w:top w:val="nil"/>
                    <w:left w:val="nil"/>
                    <w:bottom w:val="single" w:color="000000" w:sz="4" w:space="0"/>
                    <w:right w:val="single" w:color="000000" w:sz="4" w:space="0"/>
                  </w:tcBorders>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1"/>
                      <w:szCs w:val="21"/>
                    </w:rPr>
                    <w:t>保洁类耗材（撮箕、扫把、拖布、抹布、大小垃圾袋等）；清洁保洁工具</w:t>
                  </w:r>
                </w:p>
              </w:tc>
              <w:tc>
                <w:tcPr>
                  <w:tcW w:w="1886" w:type="dxa"/>
                  <w:tcBorders>
                    <w:top w:val="nil"/>
                    <w:left w:val="nil"/>
                    <w:bottom w:val="single" w:color="000000" w:sz="4" w:space="0"/>
                    <w:right w:val="single" w:color="000000" w:sz="4" w:space="0"/>
                  </w:tcBorders>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1"/>
                      <w:szCs w:val="21"/>
                    </w:rPr>
                    <w:t>按需配备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jc w:val="center"/>
              </w:trPr>
              <w:tc>
                <w:tcPr>
                  <w:tcW w:w="1243" w:type="dxa"/>
                  <w:vMerge w:val="restart"/>
                  <w:tcBorders>
                    <w:top w:val="nil"/>
                    <w:left w:val="single" w:color="000000" w:sz="4" w:space="0"/>
                    <w:bottom w:val="nil"/>
                    <w:right w:val="single" w:color="000000" w:sz="4" w:space="0"/>
                  </w:tcBorders>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1"/>
                      <w:szCs w:val="21"/>
                    </w:rPr>
                    <w:t>3</w:t>
                  </w:r>
                </w:p>
              </w:tc>
              <w:tc>
                <w:tcPr>
                  <w:tcW w:w="1696" w:type="dxa"/>
                  <w:vMerge w:val="restart"/>
                  <w:tcBorders>
                    <w:top w:val="nil"/>
                    <w:left w:val="nil"/>
                    <w:bottom w:val="nil"/>
                    <w:right w:val="single" w:color="000000" w:sz="4" w:space="0"/>
                  </w:tcBorders>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1"/>
                      <w:szCs w:val="21"/>
                    </w:rPr>
                    <w:t>秩序维护部</w:t>
                  </w:r>
                </w:p>
              </w:tc>
              <w:tc>
                <w:tcPr>
                  <w:tcW w:w="3086" w:type="dxa"/>
                  <w:tcBorders>
                    <w:top w:val="nil"/>
                    <w:left w:val="nil"/>
                    <w:bottom w:val="single" w:color="000000" w:sz="4" w:space="0"/>
                    <w:right w:val="single" w:color="000000" w:sz="4" w:space="0"/>
                  </w:tcBorders>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1"/>
                      <w:szCs w:val="21"/>
                    </w:rPr>
                    <w:t>秩序类（警棍、钢盔、钢叉、盾牌等反恐防爆设备）</w:t>
                  </w:r>
                </w:p>
              </w:tc>
              <w:tc>
                <w:tcPr>
                  <w:tcW w:w="1886" w:type="dxa"/>
                  <w:tcBorders>
                    <w:top w:val="nil"/>
                    <w:left w:val="nil"/>
                    <w:bottom w:val="single" w:color="000000" w:sz="4" w:space="0"/>
                    <w:right w:val="single" w:color="000000" w:sz="4" w:space="0"/>
                  </w:tcBorders>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1"/>
                      <w:szCs w:val="21"/>
                    </w:rPr>
                    <w:t>警棍、钢盔、钢叉、盾牌等反恐防爆设备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jc w:val="center"/>
              </w:trPr>
              <w:tc>
                <w:tcPr>
                  <w:tcW w:w="1243" w:type="dxa"/>
                  <w:vMerge w:val="continue"/>
                  <w:tcBorders>
                    <w:top w:val="nil"/>
                    <w:left w:val="single" w:color="000000" w:sz="4" w:space="0"/>
                    <w:bottom w:val="nil"/>
                    <w:right w:val="single" w:color="000000" w:sz="4" w:space="0"/>
                  </w:tcBorders>
                  <w:tcMar>
                    <w:top w:w="36" w:type="dxa"/>
                    <w:left w:w="36" w:type="dxa"/>
                    <w:bottom w:w="36" w:type="dxa"/>
                    <w:right w:w="36" w:type="dxa"/>
                  </w:tcMar>
                  <w:vAlign w:val="center"/>
                </w:tcPr>
                <w:p>
                  <w:pPr>
                    <w:jc w:val="left"/>
                    <w:rPr>
                      <w:rFonts w:hint="default" w:ascii="Times New Roman" w:hAnsi="Times New Roman" w:cs="Times New Roman"/>
                      <w:sz w:val="15"/>
                      <w:szCs w:val="15"/>
                    </w:rPr>
                  </w:pPr>
                </w:p>
              </w:tc>
              <w:tc>
                <w:tcPr>
                  <w:tcW w:w="1696" w:type="dxa"/>
                  <w:vMerge w:val="continue"/>
                  <w:tcBorders>
                    <w:top w:val="nil"/>
                    <w:left w:val="nil"/>
                    <w:bottom w:val="nil"/>
                    <w:right w:val="single" w:color="000000" w:sz="4" w:space="0"/>
                  </w:tcBorders>
                  <w:tcMar>
                    <w:top w:w="36" w:type="dxa"/>
                    <w:left w:w="36" w:type="dxa"/>
                    <w:bottom w:w="36" w:type="dxa"/>
                    <w:right w:w="36" w:type="dxa"/>
                  </w:tcMar>
                  <w:vAlign w:val="center"/>
                </w:tcPr>
                <w:p>
                  <w:pPr>
                    <w:jc w:val="left"/>
                    <w:rPr>
                      <w:rFonts w:hint="default" w:ascii="Times New Roman" w:hAnsi="Times New Roman" w:cs="Times New Roman"/>
                      <w:sz w:val="15"/>
                      <w:szCs w:val="15"/>
                    </w:rPr>
                  </w:pPr>
                </w:p>
              </w:tc>
              <w:tc>
                <w:tcPr>
                  <w:tcW w:w="3086" w:type="dxa"/>
                  <w:tcBorders>
                    <w:top w:val="nil"/>
                    <w:left w:val="nil"/>
                    <w:bottom w:val="single" w:color="000000" w:sz="4" w:space="0"/>
                    <w:right w:val="single" w:color="000000" w:sz="4" w:space="0"/>
                  </w:tcBorders>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1"/>
                      <w:szCs w:val="21"/>
                    </w:rPr>
                    <w:t>微型消防站</w:t>
                  </w:r>
                </w:p>
              </w:tc>
              <w:tc>
                <w:tcPr>
                  <w:tcW w:w="1886" w:type="dxa"/>
                  <w:tcBorders>
                    <w:top w:val="nil"/>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1"/>
                      <w:szCs w:val="21"/>
                    </w:rPr>
                    <w:t>配备2KG灭火器4具、消防斧2套和个人防护设备（防火服、安全帽、防火毯、防烟面罩）2套。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jc w:val="center"/>
              </w:trPr>
              <w:tc>
                <w:tcPr>
                  <w:tcW w:w="1243" w:type="dxa"/>
                  <w:vMerge w:val="continue"/>
                  <w:tcBorders>
                    <w:top w:val="nil"/>
                    <w:left w:val="single" w:color="000000" w:sz="4" w:space="0"/>
                    <w:bottom w:val="nil"/>
                    <w:right w:val="single" w:color="000000" w:sz="4" w:space="0"/>
                  </w:tcBorders>
                  <w:tcMar>
                    <w:top w:w="36" w:type="dxa"/>
                    <w:left w:w="36" w:type="dxa"/>
                    <w:bottom w:w="36" w:type="dxa"/>
                    <w:right w:w="36" w:type="dxa"/>
                  </w:tcMar>
                  <w:vAlign w:val="center"/>
                </w:tcPr>
                <w:p>
                  <w:pPr>
                    <w:jc w:val="left"/>
                    <w:rPr>
                      <w:rFonts w:hint="default" w:ascii="Times New Roman" w:hAnsi="Times New Roman" w:cs="Times New Roman"/>
                      <w:sz w:val="15"/>
                      <w:szCs w:val="15"/>
                    </w:rPr>
                  </w:pPr>
                </w:p>
              </w:tc>
              <w:tc>
                <w:tcPr>
                  <w:tcW w:w="1696" w:type="dxa"/>
                  <w:vMerge w:val="continue"/>
                  <w:tcBorders>
                    <w:top w:val="nil"/>
                    <w:left w:val="nil"/>
                    <w:bottom w:val="nil"/>
                    <w:right w:val="single" w:color="000000" w:sz="4" w:space="0"/>
                  </w:tcBorders>
                  <w:tcMar>
                    <w:top w:w="36" w:type="dxa"/>
                    <w:left w:w="36" w:type="dxa"/>
                    <w:bottom w:w="36" w:type="dxa"/>
                    <w:right w:w="36" w:type="dxa"/>
                  </w:tcMar>
                  <w:vAlign w:val="center"/>
                </w:tcPr>
                <w:p>
                  <w:pPr>
                    <w:jc w:val="left"/>
                    <w:rPr>
                      <w:rFonts w:hint="default" w:ascii="Times New Roman" w:hAnsi="Times New Roman" w:cs="Times New Roman"/>
                      <w:sz w:val="15"/>
                      <w:szCs w:val="15"/>
                    </w:rPr>
                  </w:pPr>
                </w:p>
              </w:tc>
              <w:tc>
                <w:tcPr>
                  <w:tcW w:w="3086" w:type="dxa"/>
                  <w:tcBorders>
                    <w:top w:val="nil"/>
                    <w:left w:val="nil"/>
                    <w:bottom w:val="single" w:color="000000" w:sz="4" w:space="0"/>
                    <w:right w:val="single" w:color="000000" w:sz="4" w:space="0"/>
                  </w:tcBorders>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1"/>
                      <w:szCs w:val="21"/>
                    </w:rPr>
                    <w:t>门岗设备</w:t>
                  </w:r>
                </w:p>
              </w:tc>
              <w:tc>
                <w:tcPr>
                  <w:tcW w:w="1886" w:type="dxa"/>
                  <w:tcBorders>
                    <w:top w:val="nil"/>
                    <w:left w:val="nil"/>
                    <w:bottom w:val="single" w:color="000000" w:sz="4" w:space="0"/>
                    <w:right w:val="single" w:color="000000" w:sz="4" w:space="0"/>
                  </w:tcBorders>
                  <w:tcMar>
                    <w:top w:w="36" w:type="dxa"/>
                    <w:left w:w="36" w:type="dxa"/>
                    <w:bottom w:w="36" w:type="dxa"/>
                    <w:right w:w="36"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1"/>
                      <w:szCs w:val="21"/>
                    </w:rPr>
                    <w:t>巡更棒3套、防水强光电筒4台、对讲机各4对（门岗秩序维护配置）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jc w:val="center"/>
              </w:trPr>
              <w:tc>
                <w:tcPr>
                  <w:tcW w:w="1243" w:type="dxa"/>
                  <w:vMerge w:val="restart"/>
                  <w:tcBorders>
                    <w:top w:val="nil"/>
                    <w:left w:val="single" w:color="000000" w:sz="4" w:space="0"/>
                    <w:bottom w:val="nil"/>
                    <w:right w:val="single" w:color="000000" w:sz="4" w:space="0"/>
                  </w:tcBorders>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1"/>
                      <w:szCs w:val="21"/>
                    </w:rPr>
                    <w:t>4</w:t>
                  </w:r>
                </w:p>
              </w:tc>
              <w:tc>
                <w:tcPr>
                  <w:tcW w:w="1696" w:type="dxa"/>
                  <w:vMerge w:val="restart"/>
                  <w:tcBorders>
                    <w:top w:val="nil"/>
                    <w:left w:val="nil"/>
                    <w:bottom w:val="nil"/>
                    <w:right w:val="single" w:color="000000" w:sz="4" w:space="0"/>
                  </w:tcBorders>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1"/>
                      <w:szCs w:val="21"/>
                    </w:rPr>
                    <w:t>工程维护部</w:t>
                  </w:r>
                </w:p>
              </w:tc>
              <w:tc>
                <w:tcPr>
                  <w:tcW w:w="3086" w:type="dxa"/>
                  <w:tcBorders>
                    <w:top w:val="nil"/>
                    <w:left w:val="nil"/>
                    <w:bottom w:val="single" w:color="000000" w:sz="4" w:space="0"/>
                    <w:right w:val="single" w:color="000000" w:sz="4" w:space="0"/>
                  </w:tcBorders>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1"/>
                      <w:szCs w:val="21"/>
                    </w:rPr>
                    <w:t>工程类机具机械</w:t>
                  </w:r>
                </w:p>
              </w:tc>
              <w:tc>
                <w:tcPr>
                  <w:tcW w:w="1886" w:type="dxa"/>
                  <w:tcBorders>
                    <w:top w:val="nil"/>
                    <w:left w:val="nil"/>
                    <w:bottom w:val="single" w:color="000000" w:sz="4" w:space="0"/>
                    <w:right w:val="single" w:color="000000" w:sz="4" w:space="0"/>
                  </w:tcBorders>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1"/>
                      <w:szCs w:val="21"/>
                    </w:rPr>
                    <w:t>个人维修工具2套、切割机1台、应急潜污泵2台、钳工台1套、万用表1台、摇表1台、管道公用工具1套、弱电公共工具1套、维修推车1台、电锤1台。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jc w:val="center"/>
              </w:trPr>
              <w:tc>
                <w:tcPr>
                  <w:tcW w:w="1243" w:type="dxa"/>
                  <w:vMerge w:val="continue"/>
                  <w:tcBorders>
                    <w:top w:val="nil"/>
                    <w:left w:val="single" w:color="000000" w:sz="4" w:space="0"/>
                    <w:bottom w:val="nil"/>
                    <w:right w:val="single" w:color="000000" w:sz="4" w:space="0"/>
                  </w:tcBorders>
                  <w:tcMar>
                    <w:top w:w="36" w:type="dxa"/>
                    <w:left w:w="36" w:type="dxa"/>
                    <w:bottom w:w="36" w:type="dxa"/>
                    <w:right w:w="36" w:type="dxa"/>
                  </w:tcMar>
                  <w:vAlign w:val="center"/>
                </w:tcPr>
                <w:p>
                  <w:pPr>
                    <w:jc w:val="left"/>
                    <w:rPr>
                      <w:rFonts w:hint="default" w:ascii="Times New Roman" w:hAnsi="Times New Roman" w:cs="Times New Roman"/>
                      <w:sz w:val="15"/>
                      <w:szCs w:val="15"/>
                    </w:rPr>
                  </w:pPr>
                </w:p>
              </w:tc>
              <w:tc>
                <w:tcPr>
                  <w:tcW w:w="1696" w:type="dxa"/>
                  <w:vMerge w:val="continue"/>
                  <w:tcBorders>
                    <w:top w:val="nil"/>
                    <w:left w:val="nil"/>
                    <w:bottom w:val="nil"/>
                    <w:right w:val="single" w:color="000000" w:sz="4" w:space="0"/>
                  </w:tcBorders>
                  <w:tcMar>
                    <w:top w:w="36" w:type="dxa"/>
                    <w:left w:w="36" w:type="dxa"/>
                    <w:bottom w:w="36" w:type="dxa"/>
                    <w:right w:w="36" w:type="dxa"/>
                  </w:tcMar>
                  <w:vAlign w:val="center"/>
                </w:tcPr>
                <w:p>
                  <w:pPr>
                    <w:jc w:val="left"/>
                    <w:rPr>
                      <w:rFonts w:hint="default" w:ascii="Times New Roman" w:hAnsi="Times New Roman" w:cs="Times New Roman"/>
                      <w:sz w:val="15"/>
                      <w:szCs w:val="15"/>
                    </w:rPr>
                  </w:pPr>
                </w:p>
              </w:tc>
              <w:tc>
                <w:tcPr>
                  <w:tcW w:w="3086" w:type="dxa"/>
                  <w:tcBorders>
                    <w:top w:val="nil"/>
                    <w:left w:val="nil"/>
                    <w:bottom w:val="single" w:color="000000" w:sz="4" w:space="0"/>
                    <w:right w:val="single" w:color="000000" w:sz="4" w:space="0"/>
                  </w:tcBorders>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1"/>
                      <w:szCs w:val="21"/>
                    </w:rPr>
                    <w:t>工程类（维修用设施设备：线、开关、灯泡、井盖等）</w:t>
                  </w:r>
                </w:p>
              </w:tc>
              <w:tc>
                <w:tcPr>
                  <w:tcW w:w="1886" w:type="dxa"/>
                  <w:tcBorders>
                    <w:top w:val="nil"/>
                    <w:left w:val="nil"/>
                    <w:bottom w:val="single" w:color="000000" w:sz="4" w:space="0"/>
                    <w:right w:val="single" w:color="000000" w:sz="4" w:space="0"/>
                  </w:tcBorders>
                  <w:tcMar>
                    <w:top w:w="36" w:type="dxa"/>
                    <w:left w:w="36" w:type="dxa"/>
                    <w:bottom w:w="36" w:type="dxa"/>
                    <w:right w:w="36" w:type="dxa"/>
                  </w:tcMar>
                  <w:vAlign w:val="center"/>
                </w:tcPr>
                <w:p>
                  <w:pPr>
                    <w:jc w:val="left"/>
                    <w:rPr>
                      <w:rFonts w:hint="default" w:ascii="Times New Roman" w:hAnsi="Times New Roman" w:cs="Times New 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jc w:val="center"/>
              </w:trPr>
              <w:tc>
                <w:tcPr>
                  <w:tcW w:w="1243" w:type="dxa"/>
                  <w:vMerge w:val="restart"/>
                  <w:tcBorders>
                    <w:top w:val="nil"/>
                    <w:left w:val="single" w:color="000000" w:sz="4" w:space="0"/>
                    <w:bottom w:val="nil"/>
                    <w:right w:val="single" w:color="000000" w:sz="4" w:space="0"/>
                  </w:tcBorders>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1"/>
                      <w:szCs w:val="21"/>
                    </w:rPr>
                    <w:t>5</w:t>
                  </w:r>
                </w:p>
              </w:tc>
              <w:tc>
                <w:tcPr>
                  <w:tcW w:w="1696" w:type="dxa"/>
                  <w:vMerge w:val="restart"/>
                  <w:tcBorders>
                    <w:top w:val="nil"/>
                    <w:left w:val="nil"/>
                    <w:bottom w:val="nil"/>
                    <w:right w:val="single" w:color="000000" w:sz="4" w:space="0"/>
                  </w:tcBorders>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1"/>
                      <w:szCs w:val="21"/>
                    </w:rPr>
                    <w:t>环境维护部（绿化）</w:t>
                  </w:r>
                </w:p>
              </w:tc>
              <w:tc>
                <w:tcPr>
                  <w:tcW w:w="3086" w:type="dxa"/>
                  <w:tcBorders>
                    <w:top w:val="nil"/>
                    <w:left w:val="nil"/>
                    <w:bottom w:val="single" w:color="000000" w:sz="4" w:space="0"/>
                    <w:right w:val="single" w:color="000000" w:sz="4" w:space="0"/>
                  </w:tcBorders>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center"/>
                    <w:rPr>
                      <w:sz w:val="19"/>
                      <w:szCs w:val="19"/>
                    </w:rPr>
                  </w:pPr>
                  <w:r>
                    <w:rPr>
                      <w:rFonts w:hint="eastAsia" w:ascii="宋体" w:hAnsi="宋体" w:eastAsia="宋体" w:cs="宋体"/>
                      <w:sz w:val="21"/>
                      <w:szCs w:val="21"/>
                    </w:rPr>
                    <w:t>绿化机具设备</w:t>
                  </w:r>
                </w:p>
              </w:tc>
              <w:tc>
                <w:tcPr>
                  <w:tcW w:w="1886" w:type="dxa"/>
                  <w:tcBorders>
                    <w:top w:val="nil"/>
                    <w:left w:val="nil"/>
                    <w:bottom w:val="single" w:color="000000" w:sz="4" w:space="0"/>
                    <w:right w:val="single" w:color="000000" w:sz="4" w:space="0"/>
                  </w:tcBorders>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eastAsia" w:ascii="宋体" w:hAnsi="宋体" w:eastAsia="宋体" w:cs="宋体"/>
                      <w:sz w:val="21"/>
                      <w:szCs w:val="21"/>
                    </w:rPr>
                    <w:t>打药机1台及其他必备手动绿化工具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jc w:val="center"/>
              </w:trPr>
              <w:tc>
                <w:tcPr>
                  <w:tcW w:w="1243" w:type="dxa"/>
                  <w:vMerge w:val="continue"/>
                  <w:tcBorders>
                    <w:top w:val="nil"/>
                    <w:left w:val="single" w:color="000000" w:sz="4" w:space="0"/>
                    <w:bottom w:val="nil"/>
                    <w:right w:val="single" w:color="000000" w:sz="4" w:space="0"/>
                  </w:tcBorders>
                  <w:tcMar>
                    <w:top w:w="36" w:type="dxa"/>
                    <w:left w:w="36" w:type="dxa"/>
                    <w:bottom w:w="36" w:type="dxa"/>
                    <w:right w:w="36" w:type="dxa"/>
                  </w:tcMar>
                  <w:vAlign w:val="center"/>
                </w:tcPr>
                <w:p>
                  <w:pPr>
                    <w:jc w:val="left"/>
                    <w:rPr>
                      <w:rFonts w:hint="default" w:ascii="Times New Roman" w:hAnsi="Times New Roman" w:cs="Times New Roman"/>
                      <w:sz w:val="15"/>
                      <w:szCs w:val="15"/>
                    </w:rPr>
                  </w:pPr>
                </w:p>
              </w:tc>
              <w:tc>
                <w:tcPr>
                  <w:tcW w:w="1696" w:type="dxa"/>
                  <w:vMerge w:val="continue"/>
                  <w:tcBorders>
                    <w:top w:val="nil"/>
                    <w:left w:val="nil"/>
                    <w:bottom w:val="nil"/>
                    <w:right w:val="single" w:color="000000" w:sz="4" w:space="0"/>
                  </w:tcBorders>
                  <w:tcMar>
                    <w:top w:w="36" w:type="dxa"/>
                    <w:left w:w="36" w:type="dxa"/>
                    <w:bottom w:w="36" w:type="dxa"/>
                    <w:right w:w="36" w:type="dxa"/>
                  </w:tcMar>
                  <w:vAlign w:val="center"/>
                </w:tcPr>
                <w:p>
                  <w:pPr>
                    <w:jc w:val="left"/>
                    <w:rPr>
                      <w:rFonts w:hint="default" w:ascii="Times New Roman" w:hAnsi="Times New Roman" w:cs="Times New Roman"/>
                      <w:sz w:val="15"/>
                      <w:szCs w:val="15"/>
                    </w:rPr>
                  </w:pPr>
                </w:p>
              </w:tc>
              <w:tc>
                <w:tcPr>
                  <w:tcW w:w="3086" w:type="dxa"/>
                  <w:tcBorders>
                    <w:top w:val="nil"/>
                    <w:left w:val="nil"/>
                    <w:bottom w:val="single" w:color="000000" w:sz="4" w:space="0"/>
                    <w:right w:val="single" w:color="000000" w:sz="4" w:space="0"/>
                  </w:tcBorders>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1"/>
                      <w:szCs w:val="21"/>
                    </w:rPr>
                    <w:t>绿化类耗材（药剂、油等）</w:t>
                  </w:r>
                </w:p>
              </w:tc>
              <w:tc>
                <w:tcPr>
                  <w:tcW w:w="1886" w:type="dxa"/>
                  <w:tcBorders>
                    <w:top w:val="nil"/>
                    <w:left w:val="nil"/>
                    <w:bottom w:val="single" w:color="000000" w:sz="4" w:space="0"/>
                    <w:right w:val="single" w:color="000000" w:sz="4" w:space="0"/>
                  </w:tcBorders>
                  <w:tcMar>
                    <w:top w:w="36" w:type="dxa"/>
                    <w:left w:w="36" w:type="dxa"/>
                    <w:bottom w:w="36" w:type="dxa"/>
                    <w:right w:w="36" w:type="dxa"/>
                  </w:tcMar>
                  <w:vAlign w:val="center"/>
                </w:tcPr>
                <w:p>
                  <w:pPr>
                    <w:jc w:val="left"/>
                    <w:rPr>
                      <w:rFonts w:hint="default" w:ascii="Times New Roman" w:hAnsi="Times New Roman" w:cs="Times New 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jc w:val="center"/>
              </w:trPr>
              <w:tc>
                <w:tcPr>
                  <w:tcW w:w="1243" w:type="dxa"/>
                  <w:tcBorders>
                    <w:top w:val="nil"/>
                    <w:left w:val="single" w:color="000000" w:sz="4" w:space="0"/>
                    <w:bottom w:val="single" w:color="000000" w:sz="4" w:space="0"/>
                    <w:right w:val="single" w:color="000000" w:sz="4" w:space="0"/>
                  </w:tcBorders>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1"/>
                      <w:szCs w:val="21"/>
                    </w:rPr>
                    <w:t>6</w:t>
                  </w:r>
                </w:p>
              </w:tc>
              <w:tc>
                <w:tcPr>
                  <w:tcW w:w="1696" w:type="dxa"/>
                  <w:tcBorders>
                    <w:top w:val="nil"/>
                    <w:left w:val="nil"/>
                    <w:bottom w:val="single" w:color="000000" w:sz="4" w:space="0"/>
                    <w:right w:val="single" w:color="000000" w:sz="4" w:space="0"/>
                  </w:tcBorders>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1"/>
                      <w:szCs w:val="21"/>
                    </w:rPr>
                    <w:t>服装</w:t>
                  </w:r>
                </w:p>
              </w:tc>
              <w:tc>
                <w:tcPr>
                  <w:tcW w:w="4972" w:type="dxa"/>
                  <w:gridSpan w:val="2"/>
                  <w:tcBorders>
                    <w:top w:val="nil"/>
                    <w:left w:val="nil"/>
                    <w:bottom w:val="single" w:color="000000" w:sz="4" w:space="0"/>
                    <w:right w:val="single" w:color="000000" w:sz="4" w:space="0"/>
                  </w:tcBorders>
                  <w:tcMar>
                    <w:top w:w="36" w:type="dxa"/>
                    <w:left w:w="36" w:type="dxa"/>
                    <w:bottom w:w="36" w:type="dxa"/>
                    <w:right w:w="3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center"/>
                    <w:rPr>
                      <w:sz w:val="19"/>
                      <w:szCs w:val="19"/>
                    </w:rPr>
                  </w:pPr>
                  <w:r>
                    <w:rPr>
                      <w:rFonts w:hint="eastAsia" w:ascii="宋体" w:hAnsi="宋体" w:eastAsia="宋体" w:cs="宋体"/>
                      <w:sz w:val="21"/>
                      <w:szCs w:val="21"/>
                    </w:rPr>
                    <w:t>据实配备员工工作制服</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注：投标人应当承诺配置数量按招标文件要求不低于上述必备设备工器具清单要求的品种及数量，全新配置且仅供本项目单独使用。供应商应在分项报价明细中体现上述内容，并计入投标总价中，分项报价明细表中上述内容不允许缺项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2、自合同签订生效之日起3日内，中标供应商自带机具、办公用品及人员服装等工作必备物品进场，所有除第三方维保公司项目以外的设施设备的日常维修、维护所需的工具由中标供应商负责提供，中标供应商必须为工作人员配备足够的维修、维护用具以确保工作顺利开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2"/>
              <w:jc w:val="left"/>
              <w:rPr>
                <w:sz w:val="19"/>
                <w:szCs w:val="19"/>
              </w:rPr>
            </w:pPr>
            <w:r>
              <w:rPr>
                <w:rStyle w:val="4"/>
                <w:rFonts w:hint="eastAsia" w:ascii="宋体" w:hAnsi="宋体" w:eastAsia="宋体" w:cs="宋体"/>
                <w:sz w:val="24"/>
                <w:szCs w:val="24"/>
              </w:rPr>
              <w:t>（七）人员配置要求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1、人员数量配置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本项目最低人员配置不得少于36人。全部为专门服务于本项目的全职全日制人员，不得使用非全日制及兼职人员，人员数量配置如下表：</w:t>
            </w:r>
          </w:p>
          <w:tbl>
            <w:tblPr>
              <w:tblStyle w:val="5"/>
              <w:tblW w:w="6958" w:type="dxa"/>
              <w:jc w:val="center"/>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27"/>
              <w:gridCol w:w="2059"/>
              <w:gridCol w:w="1709"/>
              <w:gridCol w:w="22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jc w:val="center"/>
              </w:trPr>
              <w:tc>
                <w:tcPr>
                  <w:tcW w:w="927" w:type="dxa"/>
                  <w:tcBorders>
                    <w:top w:val="single" w:color="000000" w:sz="4" w:space="0"/>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序号</w:t>
                  </w:r>
                </w:p>
              </w:tc>
              <w:tc>
                <w:tcPr>
                  <w:tcW w:w="2059" w:type="dxa"/>
                  <w:tcBorders>
                    <w:top w:val="single" w:color="000000" w:sz="4" w:space="0"/>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岗位名称</w:t>
                  </w:r>
                </w:p>
              </w:tc>
              <w:tc>
                <w:tcPr>
                  <w:tcW w:w="1709" w:type="dxa"/>
                  <w:tcBorders>
                    <w:top w:val="single" w:color="000000" w:sz="4" w:space="0"/>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人员配置</w:t>
                  </w:r>
                </w:p>
              </w:tc>
              <w:tc>
                <w:tcPr>
                  <w:tcW w:w="2263" w:type="dxa"/>
                  <w:tcBorders>
                    <w:top w:val="single" w:color="000000" w:sz="4" w:space="0"/>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jc w:val="center"/>
              </w:trPr>
              <w:tc>
                <w:tcPr>
                  <w:tcW w:w="927"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1</w:t>
                  </w:r>
                </w:p>
              </w:tc>
              <w:tc>
                <w:tcPr>
                  <w:tcW w:w="2059"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项目经理</w:t>
                  </w:r>
                </w:p>
              </w:tc>
              <w:tc>
                <w:tcPr>
                  <w:tcW w:w="1709"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1</w:t>
                  </w:r>
                </w:p>
              </w:tc>
              <w:tc>
                <w:tcPr>
                  <w:tcW w:w="2263"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全面统筹计划组织实施物业管理服务工作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jc w:val="center"/>
              </w:trPr>
              <w:tc>
                <w:tcPr>
                  <w:tcW w:w="927"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2</w:t>
                  </w:r>
                </w:p>
              </w:tc>
              <w:tc>
                <w:tcPr>
                  <w:tcW w:w="2059"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办公室</w:t>
                  </w:r>
                </w:p>
              </w:tc>
              <w:tc>
                <w:tcPr>
                  <w:tcW w:w="1709"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1</w:t>
                  </w:r>
                </w:p>
              </w:tc>
              <w:tc>
                <w:tcPr>
                  <w:tcW w:w="2263"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对项目人事、行政、后勤管理工作负责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jc w:val="center"/>
              </w:trPr>
              <w:tc>
                <w:tcPr>
                  <w:tcW w:w="927"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3</w:t>
                  </w:r>
                </w:p>
              </w:tc>
              <w:tc>
                <w:tcPr>
                  <w:tcW w:w="2059"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财务</w:t>
                  </w:r>
                </w:p>
              </w:tc>
              <w:tc>
                <w:tcPr>
                  <w:tcW w:w="1709"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1</w:t>
                  </w:r>
                </w:p>
              </w:tc>
              <w:tc>
                <w:tcPr>
                  <w:tcW w:w="2263"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对项目收费、支出等费用工作负责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jc w:val="center"/>
              </w:trPr>
              <w:tc>
                <w:tcPr>
                  <w:tcW w:w="927"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4</w:t>
                  </w:r>
                </w:p>
              </w:tc>
              <w:tc>
                <w:tcPr>
                  <w:tcW w:w="2059"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秩序主管</w:t>
                  </w:r>
                </w:p>
              </w:tc>
              <w:tc>
                <w:tcPr>
                  <w:tcW w:w="1709"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1</w:t>
                  </w:r>
                </w:p>
              </w:tc>
              <w:tc>
                <w:tcPr>
                  <w:tcW w:w="2263"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对项目消防、安全、交通秩序突发事件处置等工作负责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jc w:val="center"/>
              </w:trPr>
              <w:tc>
                <w:tcPr>
                  <w:tcW w:w="927"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both"/>
                    <w:rPr>
                      <w:sz w:val="19"/>
                      <w:szCs w:val="19"/>
                    </w:rPr>
                  </w:pPr>
                  <w:r>
                    <w:rPr>
                      <w:rFonts w:hint="eastAsia" w:ascii="宋体" w:hAnsi="宋体" w:eastAsia="宋体" w:cs="宋体"/>
                      <w:sz w:val="24"/>
                      <w:szCs w:val="24"/>
                    </w:rPr>
                    <w:t>5</w:t>
                  </w:r>
                </w:p>
              </w:tc>
              <w:tc>
                <w:tcPr>
                  <w:tcW w:w="2059"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center"/>
                    <w:rPr>
                      <w:sz w:val="19"/>
                      <w:szCs w:val="19"/>
                    </w:rPr>
                  </w:pPr>
                  <w:r>
                    <w:rPr>
                      <w:rFonts w:hint="eastAsia" w:ascii="宋体" w:hAnsi="宋体" w:eastAsia="宋体" w:cs="宋体"/>
                      <w:sz w:val="24"/>
                      <w:szCs w:val="24"/>
                    </w:rPr>
                    <w:t>秩序班长（白班）</w:t>
                  </w:r>
                </w:p>
              </w:tc>
              <w:tc>
                <w:tcPr>
                  <w:tcW w:w="1709"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1</w:t>
                  </w:r>
                </w:p>
              </w:tc>
              <w:tc>
                <w:tcPr>
                  <w:tcW w:w="2263"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对白班消防、安全、交通秩序突发事件处置等工作负责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jc w:val="center"/>
              </w:trPr>
              <w:tc>
                <w:tcPr>
                  <w:tcW w:w="927"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both"/>
                    <w:rPr>
                      <w:sz w:val="19"/>
                      <w:szCs w:val="19"/>
                    </w:rPr>
                  </w:pPr>
                  <w:r>
                    <w:rPr>
                      <w:rFonts w:hint="eastAsia" w:ascii="宋体" w:hAnsi="宋体" w:eastAsia="宋体" w:cs="宋体"/>
                      <w:sz w:val="24"/>
                      <w:szCs w:val="24"/>
                    </w:rPr>
                    <w:t>6</w:t>
                  </w:r>
                </w:p>
              </w:tc>
              <w:tc>
                <w:tcPr>
                  <w:tcW w:w="2059"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秩序员（白班）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实行两班倒</w:t>
                  </w:r>
                </w:p>
              </w:tc>
              <w:tc>
                <w:tcPr>
                  <w:tcW w:w="1709"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3个出入口固定岗+巡逻岗+1个监控岗</w:t>
                  </w:r>
                </w:p>
              </w:tc>
              <w:tc>
                <w:tcPr>
                  <w:tcW w:w="2263"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对小区出入口，地下、地面以上，监控室管理工作负责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jc w:val="center"/>
              </w:trPr>
              <w:tc>
                <w:tcPr>
                  <w:tcW w:w="927"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both"/>
                    <w:rPr>
                      <w:sz w:val="19"/>
                      <w:szCs w:val="19"/>
                    </w:rPr>
                  </w:pPr>
                  <w:r>
                    <w:rPr>
                      <w:rFonts w:hint="eastAsia" w:ascii="宋体" w:hAnsi="宋体" w:eastAsia="宋体" w:cs="宋体"/>
                      <w:sz w:val="24"/>
                      <w:szCs w:val="24"/>
                    </w:rPr>
                    <w:t>7</w:t>
                  </w:r>
                </w:p>
              </w:tc>
              <w:tc>
                <w:tcPr>
                  <w:tcW w:w="2059"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秩序班长（夜班）</w:t>
                  </w:r>
                </w:p>
              </w:tc>
              <w:tc>
                <w:tcPr>
                  <w:tcW w:w="1709"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1</w:t>
                  </w:r>
                </w:p>
              </w:tc>
              <w:tc>
                <w:tcPr>
                  <w:tcW w:w="2263"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对项目夜间消防、安全、交通秩序突发事件处置等工作负责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jc w:val="center"/>
              </w:trPr>
              <w:tc>
                <w:tcPr>
                  <w:tcW w:w="927"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both"/>
                    <w:rPr>
                      <w:sz w:val="19"/>
                      <w:szCs w:val="19"/>
                    </w:rPr>
                  </w:pPr>
                  <w:r>
                    <w:rPr>
                      <w:rFonts w:hint="eastAsia" w:ascii="宋体" w:hAnsi="宋体" w:eastAsia="宋体" w:cs="宋体"/>
                      <w:sz w:val="24"/>
                      <w:szCs w:val="24"/>
                    </w:rPr>
                    <w:t>8</w:t>
                  </w:r>
                </w:p>
              </w:tc>
              <w:tc>
                <w:tcPr>
                  <w:tcW w:w="2059"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秩序员（夜班）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实行两班倒</w:t>
                  </w:r>
                </w:p>
              </w:tc>
              <w:tc>
                <w:tcPr>
                  <w:tcW w:w="1709"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3个出入口固定岗+巡逻岗+1个监控岗</w:t>
                  </w:r>
                </w:p>
              </w:tc>
              <w:tc>
                <w:tcPr>
                  <w:tcW w:w="2263"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对小区出入口，地下、地面以上，监控室管理工作负责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jc w:val="center"/>
              </w:trPr>
              <w:tc>
                <w:tcPr>
                  <w:tcW w:w="927"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both"/>
                    <w:rPr>
                      <w:sz w:val="19"/>
                      <w:szCs w:val="19"/>
                    </w:rPr>
                  </w:pPr>
                  <w:r>
                    <w:rPr>
                      <w:rFonts w:hint="eastAsia" w:ascii="宋体" w:hAnsi="宋体" w:eastAsia="宋体" w:cs="宋体"/>
                      <w:sz w:val="24"/>
                      <w:szCs w:val="24"/>
                    </w:rPr>
                    <w:t>9</w:t>
                  </w:r>
                </w:p>
              </w:tc>
              <w:tc>
                <w:tcPr>
                  <w:tcW w:w="2059"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换休秩序员</w:t>
                  </w:r>
                </w:p>
              </w:tc>
              <w:tc>
                <w:tcPr>
                  <w:tcW w:w="1709"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2名</w:t>
                  </w:r>
                </w:p>
              </w:tc>
              <w:tc>
                <w:tcPr>
                  <w:tcW w:w="2263"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换休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jc w:val="center"/>
              </w:trPr>
              <w:tc>
                <w:tcPr>
                  <w:tcW w:w="927"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10</w:t>
                  </w:r>
                </w:p>
              </w:tc>
              <w:tc>
                <w:tcPr>
                  <w:tcW w:w="2059"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客服主管（管家）</w:t>
                  </w:r>
                </w:p>
              </w:tc>
              <w:tc>
                <w:tcPr>
                  <w:tcW w:w="1709"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1</w:t>
                  </w:r>
                </w:p>
              </w:tc>
              <w:tc>
                <w:tcPr>
                  <w:tcW w:w="2263"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对业主宣传、档案、报修服务等工作负责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jc w:val="center"/>
              </w:trPr>
              <w:tc>
                <w:tcPr>
                  <w:tcW w:w="927"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11</w:t>
                  </w:r>
                </w:p>
              </w:tc>
              <w:tc>
                <w:tcPr>
                  <w:tcW w:w="2059"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客服员</w:t>
                  </w:r>
                </w:p>
              </w:tc>
              <w:tc>
                <w:tcPr>
                  <w:tcW w:w="1709"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1</w:t>
                  </w:r>
                </w:p>
              </w:tc>
              <w:tc>
                <w:tcPr>
                  <w:tcW w:w="2263"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对业主宣传、档案、报修服务等工作负责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jc w:val="center"/>
              </w:trPr>
              <w:tc>
                <w:tcPr>
                  <w:tcW w:w="927"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12</w:t>
                  </w:r>
                </w:p>
              </w:tc>
              <w:tc>
                <w:tcPr>
                  <w:tcW w:w="2059"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保洁主管</w:t>
                  </w:r>
                </w:p>
              </w:tc>
              <w:tc>
                <w:tcPr>
                  <w:tcW w:w="1709"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1</w:t>
                  </w:r>
                </w:p>
              </w:tc>
              <w:tc>
                <w:tcPr>
                  <w:tcW w:w="2263"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对项目各区域环境卫生、垃圾清运全面负责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jc w:val="center"/>
              </w:trPr>
              <w:tc>
                <w:tcPr>
                  <w:tcW w:w="927"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13</w:t>
                  </w:r>
                </w:p>
              </w:tc>
              <w:tc>
                <w:tcPr>
                  <w:tcW w:w="2059"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保洁员</w:t>
                  </w:r>
                </w:p>
              </w:tc>
              <w:tc>
                <w:tcPr>
                  <w:tcW w:w="1709"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13</w:t>
                  </w:r>
                </w:p>
              </w:tc>
              <w:tc>
                <w:tcPr>
                  <w:tcW w:w="2263"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落实辖区环境卫生及垃圾清运服务工作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jc w:val="center"/>
              </w:trPr>
              <w:tc>
                <w:tcPr>
                  <w:tcW w:w="927"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14</w:t>
                  </w:r>
                </w:p>
              </w:tc>
              <w:tc>
                <w:tcPr>
                  <w:tcW w:w="2059"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绿化员</w:t>
                  </w:r>
                </w:p>
              </w:tc>
              <w:tc>
                <w:tcPr>
                  <w:tcW w:w="1709"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2</w:t>
                  </w:r>
                </w:p>
              </w:tc>
              <w:tc>
                <w:tcPr>
                  <w:tcW w:w="2263"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对辖区内绿化修剪、补栽补种工作负责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jc w:val="center"/>
              </w:trPr>
              <w:tc>
                <w:tcPr>
                  <w:tcW w:w="927"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15</w:t>
                  </w:r>
                </w:p>
              </w:tc>
              <w:tc>
                <w:tcPr>
                  <w:tcW w:w="2059"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工程主管</w:t>
                  </w:r>
                </w:p>
              </w:tc>
              <w:tc>
                <w:tcPr>
                  <w:tcW w:w="1709"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1</w:t>
                  </w:r>
                </w:p>
              </w:tc>
              <w:tc>
                <w:tcPr>
                  <w:tcW w:w="2263"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对辖区设施设备维护养护工作负责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jc w:val="center"/>
              </w:trPr>
              <w:tc>
                <w:tcPr>
                  <w:tcW w:w="927"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16</w:t>
                  </w:r>
                </w:p>
              </w:tc>
              <w:tc>
                <w:tcPr>
                  <w:tcW w:w="2059"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水电维护</w:t>
                  </w:r>
                </w:p>
              </w:tc>
              <w:tc>
                <w:tcPr>
                  <w:tcW w:w="1709"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1</w:t>
                  </w:r>
                </w:p>
              </w:tc>
              <w:tc>
                <w:tcPr>
                  <w:tcW w:w="2263"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及时维护维修问题设施设备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jc w:val="center"/>
              </w:trPr>
              <w:tc>
                <w:tcPr>
                  <w:tcW w:w="927"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17</w:t>
                  </w:r>
                </w:p>
              </w:tc>
              <w:tc>
                <w:tcPr>
                  <w:tcW w:w="2059"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合计</w:t>
                  </w:r>
                </w:p>
              </w:tc>
              <w:tc>
                <w:tcPr>
                  <w:tcW w:w="1709"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36</w:t>
                  </w:r>
                </w:p>
              </w:tc>
              <w:tc>
                <w:tcPr>
                  <w:tcW w:w="2263" w:type="dxa"/>
                  <w:tcBorders>
                    <w:top w:val="nil"/>
                    <w:left w:val="single" w:color="000000" w:sz="4" w:space="0"/>
                    <w:bottom w:val="single" w:color="000000" w:sz="4" w:space="0"/>
                    <w:right w:val="single" w:color="000000" w:sz="4" w:space="0"/>
                  </w:tcBorders>
                  <w:tcMar>
                    <w:left w:w="84" w:type="dxa"/>
                    <w:right w:w="84" w:type="dxa"/>
                  </w:tcMar>
                  <w:vAlign w:val="center"/>
                </w:tcPr>
                <w:p>
                  <w:pPr>
                    <w:jc w:val="left"/>
                    <w:rPr>
                      <w:rFonts w:hint="default" w:ascii="Times New Roman" w:hAnsi="Times New Roman" w:cs="Times New Roman"/>
                      <w:sz w:val="15"/>
                      <w:szCs w:val="15"/>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注：①投标人应提供承诺函承诺配置人员（工作人员）具有初中文化以上，男性年龄55岁以下、女性50岁以下，身体健康，当地失地农民优先考虑。（提供承诺函承诺并盖公章，格式自拟）。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②投标人承诺本项目人员基本工资不得低于成都新津区最低工资标准，人员社保不低于项目所在地2023年成都市企业员工最低社保标准，在职期间为其购买劳动法规定的各项保险，其人员工资标准、社保、劳保、福利、工伤等应执行国家和地方政府的相关法律、法规和部门规章。（提供承诺函承诺并盖公章，格式自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2、人员岗位要求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（1）项目经理（管理人员）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①性别不限，男性年龄50岁以下、女性45岁以下。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96" w:afterAutospacing="0" w:line="30" w:lineRule="atLeast"/>
              <w:ind w:left="0" w:right="0" w:firstLine="480"/>
              <w:jc w:val="left"/>
              <w:rPr>
                <w:sz w:val="19"/>
                <w:szCs w:val="19"/>
              </w:rPr>
            </w:pPr>
            <w:r>
              <w:rPr>
                <w:rFonts w:hint="eastAsia" w:ascii="宋体" w:hAnsi="宋体" w:eastAsia="宋体" w:cs="宋体"/>
                <w:sz w:val="24"/>
                <w:szCs w:val="24"/>
              </w:rPr>
              <w:t>②具有全日制本科及以上学历。（说明:提供有效学历证书复印件及学信网截图。）</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③持有物业项目经理证或人力资源管理师证或中级以上职称书（说明:提供证书复印件）。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④具有五年以上类似物业服务项目经理岗位工作经验（说明：提供经验证明材料及供应商单位在职员工证明材料。经验证明材料需加盖业主单位公章，至少须体现项目经理姓名、身份证号码、项目名称及工作时间；若投标人拟派人员单个项目服务的服务时间少于5年的，则可提供多个项目且服务时间可累计；若投标人拟派人员在同时段同时为2个及以上的项目提供服务的，则该时段不计服务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⑤具备一定的组织管理能力和沟通协调能力。（说明：提供承诺函承诺并盖公章，格式自拟））。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⑥供应商拟派项目经理为专职岗位，不得在其他单位任职或兼职。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（2）行政办公</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u w:val="single"/>
              </w:rPr>
              <w:t>①男女不限，年龄35岁以下；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u w:val="single"/>
              </w:rPr>
              <w:t>②具有大专及以上文化程度（说明:提供有效学历证书复印件）；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u w:val="single"/>
              </w:rPr>
              <w:t>③具有三年以上从事行政、人事、后勤管理等类似岗位经验（说明：提供承诺函承诺并盖公章，格式自拟）。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（3）财务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u w:val="single"/>
              </w:rPr>
              <w:t>①男女不限，年龄50岁以下；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u w:val="single"/>
              </w:rPr>
              <w:t>②具有大专及以上文化程度（说明:提供有效学历证书复印件及初级会计证书。）；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u w:val="single"/>
              </w:rPr>
              <w:t>③具有三年以上从事物业项目收费、支出等财务工作岗位经验（说明：提供承诺函承诺并盖公章，格式自拟）。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（4）客服主管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①男女不限，年龄50岁以下；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②具有大专及以上文化程度（说明:提供有效学历证书复印件）；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③具有三年以上类似岗位经验说明：提供物业类相关资格证书及承诺函承诺并盖公章，格式自拟）。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（5)客服人员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①限女性，年龄35岁以下；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②具有大专及以上文化程度（说明:提供有效学历证书复印件）；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③至少1人具有二级乙等及以上普通话证书（说明:提供普通话证书复印件）；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④具有三年以上类似物业管理客服岗位工作经验（说明：提供承诺函承诺并盖公章，格式自拟）。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（6）秩序主管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①限男性，年龄50岁以下；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②具有专科及以上学历（说明:提供有效学历证书复印件）；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③持有物业管理类上岗证书或保安类上岗证书（说明:提供证书复印件）；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④具有三年以上类似物业管理项目秩序主管岗位工作经验（说明：提供承诺函承诺并盖公章，格式自拟）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（7）秩序维护员及监控值班人员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384" w:right="0" w:firstLine="336"/>
              <w:jc w:val="left"/>
              <w:rPr>
                <w:sz w:val="19"/>
                <w:szCs w:val="19"/>
              </w:rPr>
            </w:pPr>
            <w:r>
              <w:rPr>
                <w:rFonts w:hint="eastAsia" w:ascii="宋体" w:hAnsi="宋体" w:eastAsia="宋体" w:cs="宋体"/>
                <w:sz w:val="24"/>
                <w:szCs w:val="24"/>
              </w:rPr>
              <w:t>①限男性，年龄55岁及以下；</w:t>
            </w:r>
            <w:r>
              <w:rPr>
                <w:sz w:val="19"/>
                <w:szCs w:val="19"/>
              </w:rPr>
              <w:br w:type="textWrapping"/>
            </w:r>
            <w:r>
              <w:rPr>
                <w:rFonts w:hint="eastAsia" w:ascii="宋体" w:hAnsi="宋体" w:eastAsia="宋体" w:cs="宋体"/>
                <w:sz w:val="24"/>
                <w:szCs w:val="24"/>
              </w:rPr>
              <w:t>②至少2人持有人社部门或公安部门颁发的保安员证书，至少2人持有有效的职业资格证书【中级（或四级）及以上建（构）筑物消防员证或消防设施操作人员证】，至少2人持有退伍军人证，至少4人35岁以下（说明:提供有效的身份证及相关证书复印件，人员不重复）；</w:t>
            </w:r>
            <w:r>
              <w:rPr>
                <w:sz w:val="19"/>
                <w:szCs w:val="19"/>
              </w:rPr>
              <w:br w:type="textWrapping"/>
            </w:r>
            <w:r>
              <w:rPr>
                <w:rFonts w:hint="eastAsia" w:ascii="宋体" w:hAnsi="宋体" w:eastAsia="宋体" w:cs="宋体"/>
                <w:sz w:val="24"/>
                <w:szCs w:val="24"/>
              </w:rPr>
              <w:t>③具有三年以上类似物业管理秩序维护岗位或监控岗位工作经验（说明：提供承诺函承诺并盖公章，格式自拟）。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（8）工程主管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①限男性，年龄55岁以下；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②具有专科及以上学历（说明:提供有效学历证书复印件）；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③持有《中华人民共和国特种作业操作证》（高压电工作业）和（低压电工作业）及中级以上职称书（说明:提供证书复印件）。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④具有五年以上类似项目工程主管工作经验（说明：提供承诺函承诺并盖公章，格式自拟）。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（9）工程水电维护人员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①限男性，年龄55岁以下；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②持有《中华人民共和国特种作业操作证》（高压电工作业或低压电工作业），持有《中华人民共和国特种设备安全管理和作业人员证》（作业代码：A4或A）（说明:提供有效的证书复印件，人员不得重复）；</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③具有三年以上类似物业管理工程维修岗位工作经验（说明：提供承诺函承诺并盖公章，格式自拟）。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(10)环境主管</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①男性年龄55岁以下、女性年龄50岁以下；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②具有三年以上类似项目环境主管工作经验（说明：提供承诺函承诺并盖公章，格式自拟）。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(11)保洁员及绿化员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①女性年龄50岁以下，男性55岁以下；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②具有三年以上类似物业管理保洁服务或绿化养护工作经验。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说明：（1）以上人员岗位、数量、任职条件均为最低要求，投标人为本项目配置的人员不得低于上述最低要求。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（2）供应商投标时须提供以上持证人员身份证复印件及相关证书复印件。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（3）供应商须承诺：中标后持证人员为派驻现场的固定人员，不得随意更换人员，以便于采购人管理。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3、</w:t>
            </w:r>
            <w:r>
              <w:rPr>
                <w:rFonts w:hint="eastAsia" w:ascii="宋体" w:hAnsi="宋体" w:eastAsia="宋体" w:cs="宋体"/>
                <w:sz w:val="24"/>
                <w:szCs w:val="24"/>
                <w:u w:val="single"/>
              </w:rPr>
              <w:t>节假日人员保障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为保障节假日期间服务质量，节假日期间人员配置不低于如下标准。</w:t>
            </w:r>
          </w:p>
          <w:tbl>
            <w:tblPr>
              <w:tblStyle w:val="5"/>
              <w:tblW w:w="7911"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920"/>
              <w:gridCol w:w="2436"/>
              <w:gridCol w:w="35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4356" w:type="dxa"/>
                  <w:gridSpan w:val="2"/>
                  <w:tcBorders>
                    <w:top w:val="single" w:color="000000" w:sz="4" w:space="0"/>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2"/>
                      <w:szCs w:val="22"/>
                    </w:rPr>
                    <w:t>岗位      院落</w:t>
                  </w:r>
                </w:p>
              </w:tc>
              <w:tc>
                <w:tcPr>
                  <w:tcW w:w="3555" w:type="dxa"/>
                  <w:tcBorders>
                    <w:top w:val="single" w:color="000000" w:sz="4" w:space="0"/>
                    <w:left w:val="nil"/>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2"/>
                      <w:szCs w:val="22"/>
                    </w:rPr>
                    <w:t>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1920" w:type="dxa"/>
                  <w:tcBorders>
                    <w:top w:val="nil"/>
                    <w:left w:val="single" w:color="000000" w:sz="4" w:space="0"/>
                    <w:bottom w:val="single" w:color="000000" w:sz="4" w:space="0"/>
                    <w:right w:val="nil"/>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客服部</w:t>
                  </w:r>
                </w:p>
              </w:tc>
              <w:tc>
                <w:tcPr>
                  <w:tcW w:w="2436"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2"/>
                      <w:szCs w:val="22"/>
                    </w:rPr>
                    <w:t>客服人员</w:t>
                  </w:r>
                </w:p>
              </w:tc>
              <w:tc>
                <w:tcPr>
                  <w:tcW w:w="3555" w:type="dxa"/>
                  <w:tcBorders>
                    <w:top w:val="nil"/>
                    <w:left w:val="nil"/>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2"/>
                      <w:szCs w:val="22"/>
                    </w:rPr>
                    <w:t>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1920" w:type="dxa"/>
                  <w:tcBorders>
                    <w:top w:val="nil"/>
                    <w:left w:val="single" w:color="000000" w:sz="4" w:space="0"/>
                    <w:bottom w:val="single" w:color="000000" w:sz="4" w:space="0"/>
                    <w:right w:val="nil"/>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工程维护部</w:t>
                  </w:r>
                </w:p>
              </w:tc>
              <w:tc>
                <w:tcPr>
                  <w:tcW w:w="2436"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2"/>
                      <w:szCs w:val="22"/>
                    </w:rPr>
                    <w:t>工程维修人员</w:t>
                  </w:r>
                </w:p>
              </w:tc>
              <w:tc>
                <w:tcPr>
                  <w:tcW w:w="3555" w:type="dxa"/>
                  <w:tcBorders>
                    <w:top w:val="nil"/>
                    <w:left w:val="nil"/>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2"/>
                      <w:szCs w:val="22"/>
                    </w:rPr>
                    <w:t>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1920" w:type="dxa"/>
                  <w:vMerge w:val="restart"/>
                  <w:tcBorders>
                    <w:top w:val="nil"/>
                    <w:left w:val="single" w:color="000000" w:sz="4" w:space="0"/>
                    <w:bottom w:val="single" w:color="000000" w:sz="4" w:space="0"/>
                    <w:right w:val="nil"/>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秩序维护部</w:t>
                  </w:r>
                </w:p>
              </w:tc>
              <w:tc>
                <w:tcPr>
                  <w:tcW w:w="2436"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2"/>
                      <w:szCs w:val="22"/>
                    </w:rPr>
                    <w:t>秩序维护员</w:t>
                  </w:r>
                </w:p>
              </w:tc>
              <w:tc>
                <w:tcPr>
                  <w:tcW w:w="3555" w:type="dxa"/>
                  <w:tcBorders>
                    <w:top w:val="nil"/>
                    <w:left w:val="nil"/>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2"/>
                      <w:szCs w:val="22"/>
                    </w:rPr>
                    <w:t>3人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1920" w:type="dxa"/>
                  <w:vMerge w:val="continue"/>
                  <w:tcBorders>
                    <w:top w:val="nil"/>
                    <w:left w:val="single" w:color="000000" w:sz="4" w:space="0"/>
                    <w:bottom w:val="single" w:color="000000" w:sz="4" w:space="0"/>
                    <w:right w:val="nil"/>
                  </w:tcBorders>
                  <w:tcMar>
                    <w:left w:w="84" w:type="dxa"/>
                    <w:right w:w="84" w:type="dxa"/>
                  </w:tcMar>
                  <w:vAlign w:val="center"/>
                </w:tcPr>
                <w:p>
                  <w:pPr>
                    <w:jc w:val="left"/>
                    <w:rPr>
                      <w:rFonts w:hint="default" w:ascii="Times New Roman" w:hAnsi="Times New Roman" w:cs="Times New Roman"/>
                      <w:sz w:val="15"/>
                      <w:szCs w:val="15"/>
                    </w:rPr>
                  </w:pPr>
                </w:p>
              </w:tc>
              <w:tc>
                <w:tcPr>
                  <w:tcW w:w="2436"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2"/>
                      <w:szCs w:val="22"/>
                    </w:rPr>
                    <w:t>监控室值班人员</w:t>
                  </w:r>
                </w:p>
              </w:tc>
              <w:tc>
                <w:tcPr>
                  <w:tcW w:w="3555" w:type="dxa"/>
                  <w:tcBorders>
                    <w:top w:val="nil"/>
                    <w:left w:val="nil"/>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2"/>
                      <w:szCs w:val="22"/>
                    </w:rPr>
                    <w:t>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1920"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19"/>
                      <w:szCs w:val="19"/>
                    </w:rPr>
                    <w:t>环境维护部</w:t>
                  </w:r>
                </w:p>
              </w:tc>
              <w:tc>
                <w:tcPr>
                  <w:tcW w:w="2436" w:type="dxa"/>
                  <w:tcBorders>
                    <w:top w:val="nil"/>
                    <w:left w:val="nil"/>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2"/>
                      <w:szCs w:val="22"/>
                    </w:rPr>
                    <w:t>保洁人员</w:t>
                  </w:r>
                </w:p>
              </w:tc>
              <w:tc>
                <w:tcPr>
                  <w:tcW w:w="3555" w:type="dxa"/>
                  <w:tcBorders>
                    <w:top w:val="nil"/>
                    <w:left w:val="nil"/>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2"/>
                      <w:szCs w:val="22"/>
                    </w:rPr>
                    <w:t>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1920" w:type="dxa"/>
                  <w:tcBorders>
                    <w:top w:val="nil"/>
                    <w:left w:val="single" w:color="000000" w:sz="4" w:space="0"/>
                    <w:bottom w:val="single" w:color="000000" w:sz="4" w:space="0"/>
                    <w:right w:val="single" w:color="000000" w:sz="4" w:space="0"/>
                  </w:tcBorders>
                  <w:tcMar>
                    <w:left w:w="84" w:type="dxa"/>
                    <w:right w:w="84" w:type="dxa"/>
                  </w:tcMar>
                  <w:vAlign w:val="center"/>
                </w:tcPr>
                <w:p>
                  <w:pPr>
                    <w:jc w:val="left"/>
                    <w:rPr>
                      <w:rFonts w:hint="default" w:ascii="Times New Roman" w:hAnsi="Times New Roman" w:cs="Times New Roman"/>
                      <w:sz w:val="15"/>
                      <w:szCs w:val="15"/>
                    </w:rPr>
                  </w:pPr>
                </w:p>
              </w:tc>
              <w:tc>
                <w:tcPr>
                  <w:tcW w:w="2436" w:type="dxa"/>
                  <w:tcBorders>
                    <w:top w:val="nil"/>
                    <w:left w:val="nil"/>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2"/>
                      <w:szCs w:val="22"/>
                    </w:rPr>
                    <w:t>合计</w:t>
                  </w:r>
                </w:p>
              </w:tc>
              <w:tc>
                <w:tcPr>
                  <w:tcW w:w="3555" w:type="dxa"/>
                  <w:tcBorders>
                    <w:top w:val="nil"/>
                    <w:left w:val="nil"/>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2"/>
                      <w:szCs w:val="22"/>
                    </w:rPr>
                    <w:t>7人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7911" w:type="dxa"/>
                  <w:gridSpan w:val="3"/>
                  <w:tcBorders>
                    <w:top w:val="nil"/>
                    <w:left w:val="single" w:color="000000" w:sz="4" w:space="0"/>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2"/>
                      <w:szCs w:val="22"/>
                    </w:rPr>
                    <w:t>说明：为保障节假日期间服务质量，上述人员配置标准为节假日期间最低人员配置标准，供应商可多于、优于此配置标准,法定节假日须计算并支付加班费。</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4、供应商须需与采购项目的物业服务人员全员签订全日制用工《劳动合同》（非劳务合同），供应商对其服务人员在工作期间的疾病和人身安全、安全责任事故、劳务纠纷等负责，无论发生任何意外事件均由中标人全权承担所有责任，不得给采购人造成经济和名誉上的损失，采购人对此不承担任何的责任和义务。（说明：提供承诺函承诺并盖公章，格式自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5、供应商拟派本项目所有物业服务人员应身体健康、形象良好，无不良习惯，无精神疾病，无传染性疾病，人员到岗时需提供有效期内的《从业人员预防性健康检查合格证》。（说明：提供承诺函承诺并盖公章，格式自拟）。</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2"/>
              <w:jc w:val="left"/>
              <w:rPr>
                <w:sz w:val="19"/>
                <w:szCs w:val="19"/>
              </w:rPr>
            </w:pPr>
            <w:r>
              <w:rPr>
                <w:rStyle w:val="4"/>
                <w:rFonts w:hint="eastAsia" w:ascii="宋体" w:hAnsi="宋体" w:eastAsia="宋体" w:cs="宋体"/>
                <w:sz w:val="24"/>
                <w:szCs w:val="24"/>
              </w:rPr>
              <w:t>（八）考核标准及验收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both"/>
              <w:rPr>
                <w:sz w:val="19"/>
                <w:szCs w:val="19"/>
              </w:rPr>
            </w:pPr>
            <w:r>
              <w:rPr>
                <w:rFonts w:hint="eastAsia" w:ascii="宋体" w:hAnsi="宋体" w:eastAsia="宋体" w:cs="宋体"/>
                <w:sz w:val="24"/>
                <w:szCs w:val="24"/>
              </w:rPr>
              <w:t>1.验收办法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严格按照政府采购相关法律法规以及《财政部关于进一步加强政府采购需求和履约验收管理的指导意见》(财库〔2016〕205号)、《政府采购需求管理办法》（财库（2021）22号）以及本项目招标文件中服务要求的考核标准和办法进行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both"/>
              <w:rPr>
                <w:sz w:val="19"/>
                <w:szCs w:val="19"/>
              </w:rPr>
            </w:pPr>
            <w:r>
              <w:rPr>
                <w:rFonts w:hint="eastAsia" w:ascii="宋体" w:hAnsi="宋体" w:eastAsia="宋体" w:cs="宋体"/>
                <w:sz w:val="24"/>
                <w:szCs w:val="24"/>
              </w:rPr>
              <w:t>2.履约验收主体</w:t>
            </w:r>
            <w:r>
              <w:rPr>
                <w:sz w:val="19"/>
                <w:szCs w:val="19"/>
                <w:u w:val="single"/>
              </w:rPr>
              <w:t> </w:t>
            </w:r>
            <w:r>
              <w:rPr>
                <w:rFonts w:hint="eastAsia" w:ascii="宋体" w:hAnsi="宋体" w:eastAsia="宋体" w:cs="宋体"/>
                <w:sz w:val="24"/>
                <w:szCs w:val="24"/>
                <w:u w:val="single"/>
              </w:rPr>
              <w:t>成都市新津区花源街道。</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both"/>
              <w:rPr>
                <w:sz w:val="19"/>
                <w:szCs w:val="19"/>
              </w:rPr>
            </w:pPr>
            <w:r>
              <w:rPr>
                <w:rFonts w:hint="eastAsia" w:ascii="宋体" w:hAnsi="宋体" w:eastAsia="宋体" w:cs="宋体"/>
                <w:sz w:val="24"/>
                <w:szCs w:val="24"/>
              </w:rPr>
              <w:t>3.验收方式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both"/>
              <w:rPr>
                <w:sz w:val="19"/>
                <w:szCs w:val="19"/>
              </w:rPr>
            </w:pPr>
            <w:r>
              <w:rPr>
                <w:rFonts w:hint="eastAsia" w:ascii="宋体" w:hAnsi="宋体" w:eastAsia="宋体" w:cs="宋体"/>
                <w:sz w:val="24"/>
                <w:szCs w:val="24"/>
              </w:rPr>
              <w:t>单位内部验收。政府向社会公众提供的公共服务项目，验收时应当邀请服务对象参与并出具意见，验收结果应当向社会公告。</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both"/>
              <w:rPr>
                <w:sz w:val="19"/>
                <w:szCs w:val="19"/>
              </w:rPr>
            </w:pPr>
            <w:r>
              <w:rPr>
                <w:rFonts w:hint="eastAsia" w:ascii="宋体" w:hAnsi="宋体" w:eastAsia="宋体" w:cs="宋体"/>
                <w:sz w:val="24"/>
                <w:szCs w:val="24"/>
              </w:rPr>
              <w:t>4.验收程序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both"/>
              <w:rPr>
                <w:sz w:val="19"/>
                <w:szCs w:val="19"/>
              </w:rPr>
            </w:pPr>
            <w:r>
              <w:rPr>
                <w:rFonts w:hint="eastAsia" w:ascii="宋体" w:hAnsi="宋体" w:eastAsia="宋体" w:cs="宋体"/>
                <w:sz w:val="24"/>
                <w:szCs w:val="24"/>
              </w:rPr>
              <w:t>分期验收，按季度定期或不定期考评。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5.物业服务质量考核办法（说明：提供承诺函承诺）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（1）在合同服务期限内，由采购人负责每季度对中标人服务质量进行考核（《住宅物业服务考核标准表》），并于次月5日前将考核结果告知中标人，根据考核结果结算季度服务费用。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2）中标人季度服务质量考核结果分值90分（含）及以上的，考核结果为合格，按照季度服务费用的100%进行结算并支付；中标人季度服务质量考核结果分值低于90分的，采购人有权要求中标人限期整改，整改完成并达到约定的服务标准的，按照季度服务费用的100%进行结算并支付；逾期未整改或整改不合格的，按照季度服务费用的80%进行结算并支付，扣除剩余20%。</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3）若中标人在一个服务年度内，出现下列情况的，采购人有权解除合同并有权委托第三方开展物业服务工作，由此产生的费用由中标人承担或在应付给中标人费用中扣除，中标人造成采购人经济损失的，应给予采购人相应的经济赔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1）连续两次或累计三次季度服务质量考核结果分值低于90分的且逾期未整改或整改不合格的；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2）连续两次或累计三次季度服务质量考核结果分值低于80分；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3）出现一次季度服务质量考核结果分值低于60分；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4）出现一次季度服务质量考核结果分值低于80分且逾期未整改或整改不合格的。</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336" w:right="0" w:firstLine="336"/>
              <w:jc w:val="both"/>
              <w:rPr>
                <w:sz w:val="19"/>
                <w:szCs w:val="19"/>
              </w:rPr>
            </w:pPr>
            <w:r>
              <w:rPr>
                <w:rFonts w:hint="eastAsia" w:ascii="宋体" w:hAnsi="宋体" w:eastAsia="宋体" w:cs="宋体"/>
                <w:sz w:val="24"/>
                <w:szCs w:val="24"/>
              </w:rPr>
              <w:t>6.物业服务质量考核标准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center"/>
              <w:rPr>
                <w:sz w:val="19"/>
                <w:szCs w:val="19"/>
              </w:rPr>
            </w:pPr>
            <w:r>
              <w:rPr>
                <w:rFonts w:hint="eastAsia" w:ascii="宋体" w:hAnsi="宋体" w:eastAsia="宋体" w:cs="宋体"/>
                <w:sz w:val="24"/>
                <w:szCs w:val="24"/>
              </w:rPr>
              <w:t>住宅及配套设施物业考核标准表</w:t>
            </w:r>
          </w:p>
          <w:tbl>
            <w:tblPr>
              <w:tblStyle w:val="5"/>
              <w:tblW w:w="7377"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89"/>
              <w:gridCol w:w="901"/>
              <w:gridCol w:w="2187"/>
              <w:gridCol w:w="1598"/>
              <w:gridCol w:w="889"/>
              <w:gridCol w:w="9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89" w:type="dxa"/>
                  <w:vMerge w:val="restart"/>
                  <w:tcBorders>
                    <w:top w:val="single" w:color="000000" w:sz="4" w:space="0"/>
                    <w:left w:val="single" w:color="000000" w:sz="4" w:space="0"/>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Style w:val="4"/>
                      <w:rFonts w:hint="eastAsia" w:ascii="宋体" w:hAnsi="宋体" w:eastAsia="宋体" w:cs="宋体"/>
                      <w:sz w:val="24"/>
                      <w:szCs w:val="24"/>
                    </w:rPr>
                    <w:t>考核内容</w:t>
                  </w:r>
                </w:p>
              </w:tc>
              <w:tc>
                <w:tcPr>
                  <w:tcW w:w="6488" w:type="dxa"/>
                  <w:gridSpan w:val="5"/>
                  <w:tcBorders>
                    <w:top w:val="single" w:color="000000" w:sz="4" w:space="0"/>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Style w:val="4"/>
                      <w:rFonts w:hint="eastAsia" w:ascii="宋体" w:hAnsi="宋体" w:eastAsia="宋体" w:cs="宋体"/>
                      <w:sz w:val="24"/>
                      <w:szCs w:val="24"/>
                    </w:rPr>
                    <w:t>物业管理三级服务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89" w:type="dxa"/>
                  <w:vMerge w:val="continue"/>
                  <w:tcBorders>
                    <w:top w:val="single" w:color="000000" w:sz="4" w:space="0"/>
                    <w:left w:val="single" w:color="000000" w:sz="4" w:space="0"/>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901"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Style w:val="4"/>
                      <w:rFonts w:hint="eastAsia" w:ascii="宋体" w:hAnsi="宋体" w:eastAsia="宋体" w:cs="宋体"/>
                      <w:sz w:val="24"/>
                      <w:szCs w:val="24"/>
                    </w:rPr>
                    <w:t>考核分数</w:t>
                  </w:r>
                </w:p>
              </w:tc>
              <w:tc>
                <w:tcPr>
                  <w:tcW w:w="2187" w:type="dxa"/>
                  <w:tcBorders>
                    <w:top w:val="single" w:color="000000" w:sz="4" w:space="0"/>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Style w:val="4"/>
                      <w:rFonts w:hint="eastAsia" w:ascii="宋体" w:hAnsi="宋体" w:eastAsia="宋体" w:cs="宋体"/>
                      <w:sz w:val="24"/>
                      <w:szCs w:val="24"/>
                    </w:rPr>
                    <w:t>具体考核内容</w:t>
                  </w:r>
                </w:p>
              </w:tc>
              <w:tc>
                <w:tcPr>
                  <w:tcW w:w="1598" w:type="dxa"/>
                  <w:tcBorders>
                    <w:top w:val="single" w:color="000000" w:sz="4" w:space="0"/>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Style w:val="4"/>
                      <w:rFonts w:hint="eastAsia" w:ascii="宋体" w:hAnsi="宋体" w:eastAsia="宋体" w:cs="宋体"/>
                      <w:sz w:val="24"/>
                      <w:szCs w:val="24"/>
                    </w:rPr>
                    <w:t>考核标准</w:t>
                  </w:r>
                </w:p>
              </w:tc>
              <w:tc>
                <w:tcPr>
                  <w:tcW w:w="889" w:type="dxa"/>
                  <w:tcBorders>
                    <w:top w:val="single" w:color="000000" w:sz="4" w:space="0"/>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Style w:val="4"/>
                      <w:rFonts w:hint="eastAsia" w:ascii="宋体" w:hAnsi="宋体" w:eastAsia="宋体" w:cs="宋体"/>
                      <w:sz w:val="24"/>
                      <w:szCs w:val="24"/>
                    </w:rPr>
                    <w:t>分值</w:t>
                  </w:r>
                </w:p>
              </w:tc>
              <w:tc>
                <w:tcPr>
                  <w:tcW w:w="913" w:type="dxa"/>
                  <w:tcBorders>
                    <w:top w:val="single" w:color="000000" w:sz="4" w:space="0"/>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Style w:val="4"/>
                      <w:rFonts w:hint="eastAsia" w:ascii="宋体" w:hAnsi="宋体" w:eastAsia="宋体" w:cs="宋体"/>
                      <w:sz w:val="24"/>
                      <w:szCs w:val="24"/>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89" w:type="dxa"/>
                  <w:vMerge w:val="restart"/>
                  <w:tcBorders>
                    <w:top w:val="nil"/>
                    <w:left w:val="single" w:color="000000" w:sz="4" w:space="0"/>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基础管理</w:t>
                  </w:r>
                </w:p>
              </w:tc>
              <w:tc>
                <w:tcPr>
                  <w:tcW w:w="901" w:type="dxa"/>
                  <w:vMerge w:val="restart"/>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10分</w:t>
                  </w:r>
                </w:p>
              </w:tc>
              <w:tc>
                <w:tcPr>
                  <w:tcW w:w="2187"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1、设有服务接待中心。全体员工统一着装，佩戴标志，服务意识高，行为语言规范，对业主的意见要耐心；建立24h值班制度，公示24h服务电话，及时处理物业管理服务合同范围内的公共性事务，受理住户的咨询和投诉，有回访制度和记录。对业主及房产档案、物业管理服务、收费情况、设备档案和日常办公进行管理，查阅方便。</w:t>
                  </w:r>
                </w:p>
              </w:tc>
              <w:tc>
                <w:tcPr>
                  <w:tcW w:w="1598"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未制定相关制度本项0分，不全扣0.5分</w:t>
                  </w:r>
                </w:p>
              </w:tc>
              <w:tc>
                <w:tcPr>
                  <w:tcW w:w="889"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1</w:t>
                  </w:r>
                </w:p>
              </w:tc>
              <w:tc>
                <w:tcPr>
                  <w:tcW w:w="913" w:type="dxa"/>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89" w:type="dxa"/>
                  <w:vMerge w:val="continue"/>
                  <w:tcBorders>
                    <w:top w:val="nil"/>
                    <w:left w:val="single" w:color="000000" w:sz="4" w:space="0"/>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901" w:type="dxa"/>
                  <w:vMerge w:val="continue"/>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2187"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2、小区电子防盗、监控、报警系统等设施设备运行正常，有记录。</w:t>
                  </w:r>
                </w:p>
              </w:tc>
              <w:tc>
                <w:tcPr>
                  <w:tcW w:w="1598"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未及时维护每次扣0.5分；无记录扣0.5分</w:t>
                  </w:r>
                </w:p>
              </w:tc>
              <w:tc>
                <w:tcPr>
                  <w:tcW w:w="889"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1</w:t>
                  </w:r>
                </w:p>
              </w:tc>
              <w:tc>
                <w:tcPr>
                  <w:tcW w:w="913" w:type="dxa"/>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89" w:type="dxa"/>
                  <w:vMerge w:val="continue"/>
                  <w:tcBorders>
                    <w:top w:val="nil"/>
                    <w:left w:val="single" w:color="000000" w:sz="4" w:space="0"/>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901" w:type="dxa"/>
                  <w:vMerge w:val="continue"/>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2187"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3、无因物业管理引发的投诉和纠纷事件。</w:t>
                  </w:r>
                </w:p>
              </w:tc>
              <w:tc>
                <w:tcPr>
                  <w:tcW w:w="1598"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每发生1起扣0.5分，扣完为止</w:t>
                  </w:r>
                </w:p>
              </w:tc>
              <w:tc>
                <w:tcPr>
                  <w:tcW w:w="889"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3</w:t>
                  </w:r>
                </w:p>
              </w:tc>
              <w:tc>
                <w:tcPr>
                  <w:tcW w:w="913" w:type="dxa"/>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89" w:type="dxa"/>
                  <w:vMerge w:val="continue"/>
                  <w:tcBorders>
                    <w:top w:val="nil"/>
                    <w:left w:val="single" w:color="000000" w:sz="4" w:space="0"/>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901" w:type="dxa"/>
                  <w:vMerge w:val="continue"/>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2187"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4、配合完成政府赋予的突发性（临时性）工作任务。每月向所在社区工作站和公司汇报物业管理服务实施情况。</w:t>
                  </w:r>
                </w:p>
              </w:tc>
              <w:tc>
                <w:tcPr>
                  <w:tcW w:w="1598"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临时性工作未完成一次扣0.5分扣完为止；未汇报扣0.5分</w:t>
                  </w:r>
                </w:p>
              </w:tc>
              <w:tc>
                <w:tcPr>
                  <w:tcW w:w="889"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3</w:t>
                  </w:r>
                </w:p>
              </w:tc>
              <w:tc>
                <w:tcPr>
                  <w:tcW w:w="913" w:type="dxa"/>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89" w:type="dxa"/>
                  <w:vMerge w:val="continue"/>
                  <w:tcBorders>
                    <w:top w:val="nil"/>
                    <w:left w:val="single" w:color="000000" w:sz="4" w:space="0"/>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901" w:type="dxa"/>
                  <w:vMerge w:val="continue"/>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2187"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5、适时对服务人员进行物业管理业务知识培训；服务期内组织防汛、消防培训及其演练各一次；建立消杀工作管理制度，根据小区实际情况开展消毒和灭虫除害工作。</w:t>
                  </w:r>
                </w:p>
              </w:tc>
              <w:tc>
                <w:tcPr>
                  <w:tcW w:w="1598"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未建立消防、防汛应急预案及消杀制度每项扣0.5分；未开展相关演练年底物业考评总分扣10分</w:t>
                  </w:r>
                </w:p>
              </w:tc>
              <w:tc>
                <w:tcPr>
                  <w:tcW w:w="889"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1</w:t>
                  </w:r>
                </w:p>
              </w:tc>
              <w:tc>
                <w:tcPr>
                  <w:tcW w:w="913" w:type="dxa"/>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89" w:type="dxa"/>
                  <w:vMerge w:val="continue"/>
                  <w:tcBorders>
                    <w:top w:val="nil"/>
                    <w:left w:val="single" w:color="000000" w:sz="4" w:space="0"/>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901" w:type="dxa"/>
                  <w:vMerge w:val="continue"/>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2187"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6、对共用设施设备进行日常管理和维修养护（依法应由专业部门负责的除外）并建立档案，对可能发生的突发设备故障制定应急预案。发生突发事故，按应急预案处置并有现场处理记录。</w:t>
                  </w:r>
                </w:p>
              </w:tc>
              <w:tc>
                <w:tcPr>
                  <w:tcW w:w="1598"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未制定相关制度和日常管理和维修档案本项0分，不全扣0.5分</w:t>
                  </w:r>
                </w:p>
              </w:tc>
              <w:tc>
                <w:tcPr>
                  <w:tcW w:w="889"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1</w:t>
                  </w:r>
                </w:p>
              </w:tc>
              <w:tc>
                <w:tcPr>
                  <w:tcW w:w="913" w:type="dxa"/>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89" w:type="dxa"/>
                  <w:vMerge w:val="restart"/>
                  <w:tcBorders>
                    <w:top w:val="nil"/>
                    <w:left w:val="single" w:color="000000" w:sz="4" w:space="0"/>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房屋管理与维修养护</w:t>
                  </w:r>
                </w:p>
              </w:tc>
              <w:tc>
                <w:tcPr>
                  <w:tcW w:w="901" w:type="dxa"/>
                  <w:vMerge w:val="restart"/>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15分</w:t>
                  </w:r>
                </w:p>
              </w:tc>
              <w:tc>
                <w:tcPr>
                  <w:tcW w:w="2187"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1、小区内各建筑物标志明显、设立引路方向平面图和路标、单位名录标识在区内位置明显；铭牌及各类标示牌统一有序。</w:t>
                  </w:r>
                </w:p>
              </w:tc>
              <w:tc>
                <w:tcPr>
                  <w:tcW w:w="1598"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标识不全扣1分，无标识本项0分</w:t>
                  </w:r>
                </w:p>
              </w:tc>
              <w:tc>
                <w:tcPr>
                  <w:tcW w:w="889"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2</w:t>
                  </w:r>
                </w:p>
              </w:tc>
              <w:tc>
                <w:tcPr>
                  <w:tcW w:w="913" w:type="dxa"/>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89" w:type="dxa"/>
                  <w:vMerge w:val="continue"/>
                  <w:tcBorders>
                    <w:top w:val="nil"/>
                    <w:left w:val="single" w:color="000000" w:sz="4" w:space="0"/>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901" w:type="dxa"/>
                  <w:vMerge w:val="continue"/>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2187"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2、对违反规划私搭乱建、私自拆改管线和擅自改变房屋用途的行为及时劝阻、制止，及时报告相关主管部门并主动妥处和积极协助处置。</w:t>
                  </w:r>
                </w:p>
              </w:tc>
              <w:tc>
                <w:tcPr>
                  <w:tcW w:w="1598"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未及时上报扣2分</w:t>
                  </w:r>
                </w:p>
              </w:tc>
              <w:tc>
                <w:tcPr>
                  <w:tcW w:w="889"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2</w:t>
                  </w:r>
                </w:p>
              </w:tc>
              <w:tc>
                <w:tcPr>
                  <w:tcW w:w="913" w:type="dxa"/>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89" w:type="dxa"/>
                  <w:vMerge w:val="continue"/>
                  <w:tcBorders>
                    <w:top w:val="nil"/>
                    <w:left w:val="single" w:color="000000" w:sz="4" w:space="0"/>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901" w:type="dxa"/>
                  <w:vMerge w:val="continue"/>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2187"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3、房屋外观（包括屋面、露台）完好、整洁；户外墙面、顶面、地面每周巡查一次，保持屋面无破损、无开裂现象，屋面排污沟无堵塞。公共楼梯间及墙面、地面无破损。</w:t>
                  </w:r>
                </w:p>
              </w:tc>
              <w:tc>
                <w:tcPr>
                  <w:tcW w:w="1598"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无巡查记录扣0.5分</w:t>
                  </w:r>
                </w:p>
              </w:tc>
              <w:tc>
                <w:tcPr>
                  <w:tcW w:w="889"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2</w:t>
                  </w:r>
                </w:p>
              </w:tc>
              <w:tc>
                <w:tcPr>
                  <w:tcW w:w="913" w:type="dxa"/>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89" w:type="dxa"/>
                  <w:vMerge w:val="continue"/>
                  <w:tcBorders>
                    <w:top w:val="nil"/>
                    <w:left w:val="single" w:color="000000" w:sz="4" w:space="0"/>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901" w:type="dxa"/>
                  <w:vMerge w:val="continue"/>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2187"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4、每3日巡查1次小区楼梯通道以及其他共用部位的门窗、玻璃等，做好巡查记录，并及时维修养护，检修记录和保养记录齐全。</w:t>
                  </w:r>
                </w:p>
              </w:tc>
              <w:tc>
                <w:tcPr>
                  <w:tcW w:w="1598"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未及时保养维修扣0.5分，无检修保养记录扣0.5分</w:t>
                  </w:r>
                </w:p>
              </w:tc>
              <w:tc>
                <w:tcPr>
                  <w:tcW w:w="889"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2</w:t>
                  </w:r>
                </w:p>
              </w:tc>
              <w:tc>
                <w:tcPr>
                  <w:tcW w:w="913" w:type="dxa"/>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89" w:type="dxa"/>
                  <w:vMerge w:val="continue"/>
                  <w:tcBorders>
                    <w:top w:val="nil"/>
                    <w:left w:val="single" w:color="000000" w:sz="4" w:space="0"/>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901" w:type="dxa"/>
                  <w:vMerge w:val="continue"/>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2187"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5、业主反映的管道堵塞、漏水、路灯损坏等需要维修的项目，在保修期内，维修人员应该在报修的当天进行现场查看，并制定维修方案，一般工程1天之内完成维修任务。如遇特殊工程，需报请上级部门认可，确定完成期限，及时告知业主。</w:t>
                  </w:r>
                </w:p>
              </w:tc>
              <w:tc>
                <w:tcPr>
                  <w:tcW w:w="1598"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业主反映维修项目在保修期内未及时维修1次扣0.5分。特殊工程未及时告知扣0.5分</w:t>
                  </w:r>
                </w:p>
              </w:tc>
              <w:tc>
                <w:tcPr>
                  <w:tcW w:w="889"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5</w:t>
                  </w:r>
                </w:p>
              </w:tc>
              <w:tc>
                <w:tcPr>
                  <w:tcW w:w="913" w:type="dxa"/>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89" w:type="dxa"/>
                  <w:vMerge w:val="continue"/>
                  <w:tcBorders>
                    <w:top w:val="nil"/>
                    <w:left w:val="single" w:color="000000" w:sz="4" w:space="0"/>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901" w:type="dxa"/>
                  <w:vMerge w:val="continue"/>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2187"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6、急修1h内、其他保修按双方约定时间到达现场，建立有完整的报修、维修和回访记录。</w:t>
                  </w:r>
                </w:p>
              </w:tc>
              <w:tc>
                <w:tcPr>
                  <w:tcW w:w="1598"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无完整报修、维修和回访记录的扣1分</w:t>
                  </w:r>
                </w:p>
              </w:tc>
              <w:tc>
                <w:tcPr>
                  <w:tcW w:w="889"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2</w:t>
                  </w:r>
                </w:p>
              </w:tc>
              <w:tc>
                <w:tcPr>
                  <w:tcW w:w="913" w:type="dxa"/>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89" w:type="dxa"/>
                  <w:vMerge w:val="restart"/>
                  <w:tcBorders>
                    <w:top w:val="nil"/>
                    <w:left w:val="single" w:color="000000" w:sz="4" w:space="0"/>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共用设施设备管理</w:t>
                  </w:r>
                </w:p>
              </w:tc>
              <w:tc>
                <w:tcPr>
                  <w:tcW w:w="901" w:type="dxa"/>
                  <w:vMerge w:val="restart"/>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20分</w:t>
                  </w:r>
                </w:p>
              </w:tc>
              <w:tc>
                <w:tcPr>
                  <w:tcW w:w="2187"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1、按物业服务合同和业主公约的约定对房屋及配套设施设备提供服务。</w:t>
                  </w:r>
                </w:p>
              </w:tc>
              <w:tc>
                <w:tcPr>
                  <w:tcW w:w="1598"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未按合同及公约提供服务本项0分</w:t>
                  </w:r>
                </w:p>
              </w:tc>
              <w:tc>
                <w:tcPr>
                  <w:tcW w:w="889"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2</w:t>
                  </w:r>
                </w:p>
              </w:tc>
              <w:tc>
                <w:tcPr>
                  <w:tcW w:w="913" w:type="dxa"/>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89" w:type="dxa"/>
                  <w:vMerge w:val="continue"/>
                  <w:tcBorders>
                    <w:top w:val="nil"/>
                    <w:left w:val="single" w:color="000000" w:sz="4" w:space="0"/>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901" w:type="dxa"/>
                  <w:vMerge w:val="continue"/>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2187"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2、明确水、电、气、监控等设施设备的维修养护责任人，运行保养人员技能熟练，严格遵守操作规程及保养规范。</w:t>
                  </w:r>
                </w:p>
              </w:tc>
              <w:tc>
                <w:tcPr>
                  <w:tcW w:w="1598"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未明确的视情况扣0.5到2分</w:t>
                  </w:r>
                </w:p>
              </w:tc>
              <w:tc>
                <w:tcPr>
                  <w:tcW w:w="889"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2</w:t>
                  </w:r>
                </w:p>
              </w:tc>
              <w:tc>
                <w:tcPr>
                  <w:tcW w:w="913" w:type="dxa"/>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89" w:type="dxa"/>
                  <w:vMerge w:val="continue"/>
                  <w:tcBorders>
                    <w:top w:val="nil"/>
                    <w:left w:val="single" w:color="000000" w:sz="4" w:space="0"/>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901" w:type="dxa"/>
                  <w:vMerge w:val="continue"/>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2187"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3、路灯、楼道灯等公共照明设备完好率94%以上。</w:t>
                  </w:r>
                </w:p>
              </w:tc>
              <w:tc>
                <w:tcPr>
                  <w:tcW w:w="1598"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未达到扣0.5分</w:t>
                  </w:r>
                </w:p>
              </w:tc>
              <w:tc>
                <w:tcPr>
                  <w:tcW w:w="889"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2</w:t>
                  </w:r>
                </w:p>
              </w:tc>
              <w:tc>
                <w:tcPr>
                  <w:tcW w:w="913" w:type="dxa"/>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89" w:type="dxa"/>
                  <w:vMerge w:val="continue"/>
                  <w:tcBorders>
                    <w:top w:val="nil"/>
                    <w:left w:val="single" w:color="000000" w:sz="4" w:space="0"/>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901" w:type="dxa"/>
                  <w:vMerge w:val="continue"/>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2187"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4、共用楼梯、天台、通道、卸货平台等无废弃物、杂物及违章占用等。</w:t>
                  </w:r>
                </w:p>
              </w:tc>
              <w:tc>
                <w:tcPr>
                  <w:tcW w:w="1598"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发现一处扣0.5分，直至扣完</w:t>
                  </w:r>
                </w:p>
              </w:tc>
              <w:tc>
                <w:tcPr>
                  <w:tcW w:w="889"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2</w:t>
                  </w:r>
                </w:p>
              </w:tc>
              <w:tc>
                <w:tcPr>
                  <w:tcW w:w="913" w:type="dxa"/>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89" w:type="dxa"/>
                  <w:vMerge w:val="continue"/>
                  <w:tcBorders>
                    <w:top w:val="nil"/>
                    <w:left w:val="single" w:color="000000" w:sz="4" w:space="0"/>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901" w:type="dxa"/>
                  <w:vMerge w:val="continue"/>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2187"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5、外墙及公共空间无乱张贴、乱涂、乱画、乱悬挂现象。</w:t>
                  </w:r>
                </w:p>
              </w:tc>
              <w:tc>
                <w:tcPr>
                  <w:tcW w:w="1598"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发现一处扣0.5分，直至扣完</w:t>
                  </w:r>
                </w:p>
              </w:tc>
              <w:tc>
                <w:tcPr>
                  <w:tcW w:w="889"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3</w:t>
                  </w:r>
                </w:p>
              </w:tc>
              <w:tc>
                <w:tcPr>
                  <w:tcW w:w="913" w:type="dxa"/>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89" w:type="dxa"/>
                  <w:vMerge w:val="continue"/>
                  <w:tcBorders>
                    <w:top w:val="nil"/>
                    <w:left w:val="single" w:color="000000" w:sz="4" w:space="0"/>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901" w:type="dxa"/>
                  <w:vMerge w:val="continue"/>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2187"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6、上下水管道、落水管等供排水设施每3日巡检一次，发现异常及时处理，保障通水排水畅通、无恶意损坏。</w:t>
                  </w:r>
                </w:p>
              </w:tc>
              <w:tc>
                <w:tcPr>
                  <w:tcW w:w="1598"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未及时处理的扣0.5分</w:t>
                  </w:r>
                </w:p>
              </w:tc>
              <w:tc>
                <w:tcPr>
                  <w:tcW w:w="889"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2</w:t>
                  </w:r>
                </w:p>
              </w:tc>
              <w:tc>
                <w:tcPr>
                  <w:tcW w:w="913" w:type="dxa"/>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89" w:type="dxa"/>
                  <w:vMerge w:val="continue"/>
                  <w:tcBorders>
                    <w:top w:val="nil"/>
                    <w:left w:val="single" w:color="000000" w:sz="4" w:space="0"/>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901" w:type="dxa"/>
                  <w:vMerge w:val="continue"/>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2187"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7、消防设施设备完好，可随时启用，消防通道通畅；建立消防责任制及火灾消防预案。</w:t>
                  </w:r>
                </w:p>
              </w:tc>
              <w:tc>
                <w:tcPr>
                  <w:tcW w:w="1598"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制度、预案不全，扣0.5分</w:t>
                  </w:r>
                </w:p>
              </w:tc>
              <w:tc>
                <w:tcPr>
                  <w:tcW w:w="889"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2</w:t>
                  </w:r>
                </w:p>
              </w:tc>
              <w:tc>
                <w:tcPr>
                  <w:tcW w:w="913" w:type="dxa"/>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89" w:type="dxa"/>
                  <w:vMerge w:val="continue"/>
                  <w:tcBorders>
                    <w:top w:val="nil"/>
                    <w:left w:val="single" w:color="000000" w:sz="4" w:space="0"/>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901" w:type="dxa"/>
                  <w:vMerge w:val="continue"/>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2187"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8、对火灾、治安、公共卫生等突发事件有应急预案，事发时及时报告有关部门并协助采取相应措施妥善处理。</w:t>
                  </w:r>
                </w:p>
              </w:tc>
              <w:tc>
                <w:tcPr>
                  <w:tcW w:w="1598"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制度、预案不全，扣0.5分，突发事件未采取相应措施处理的扣1-2分</w:t>
                  </w:r>
                </w:p>
              </w:tc>
              <w:tc>
                <w:tcPr>
                  <w:tcW w:w="889"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2</w:t>
                  </w:r>
                </w:p>
              </w:tc>
              <w:tc>
                <w:tcPr>
                  <w:tcW w:w="913" w:type="dxa"/>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89" w:type="dxa"/>
                  <w:vMerge w:val="continue"/>
                  <w:tcBorders>
                    <w:top w:val="nil"/>
                    <w:left w:val="single" w:color="000000" w:sz="4" w:space="0"/>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901" w:type="dxa"/>
                  <w:vMerge w:val="continue"/>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2187"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9、急修1h内、其他保修按双方约定时间到达现场，建立有完整的报修、维修和回访记录。</w:t>
                  </w:r>
                </w:p>
              </w:tc>
              <w:tc>
                <w:tcPr>
                  <w:tcW w:w="1598"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未及时到场，无完整记录的扣0.5分</w:t>
                  </w:r>
                </w:p>
              </w:tc>
              <w:tc>
                <w:tcPr>
                  <w:tcW w:w="889"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3</w:t>
                  </w:r>
                </w:p>
              </w:tc>
              <w:tc>
                <w:tcPr>
                  <w:tcW w:w="913" w:type="dxa"/>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89" w:type="dxa"/>
                  <w:vMerge w:val="restart"/>
                  <w:tcBorders>
                    <w:top w:val="nil"/>
                    <w:left w:val="single" w:color="000000" w:sz="4" w:space="0"/>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环境卫生管理</w:t>
                  </w:r>
                </w:p>
              </w:tc>
              <w:tc>
                <w:tcPr>
                  <w:tcW w:w="901" w:type="dxa"/>
                  <w:vMerge w:val="restart"/>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30分</w:t>
                  </w:r>
                </w:p>
              </w:tc>
              <w:tc>
                <w:tcPr>
                  <w:tcW w:w="2187"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1、小区道路、广场、停车场、绿地等公共区域设专人保洁，负责全天的清洁、保洁工作。</w:t>
                  </w:r>
                </w:p>
              </w:tc>
              <w:tc>
                <w:tcPr>
                  <w:tcW w:w="1598"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未设专人的本项0分</w:t>
                  </w:r>
                </w:p>
              </w:tc>
              <w:tc>
                <w:tcPr>
                  <w:tcW w:w="889"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3</w:t>
                  </w:r>
                </w:p>
              </w:tc>
              <w:tc>
                <w:tcPr>
                  <w:tcW w:w="913" w:type="dxa"/>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89" w:type="dxa"/>
                  <w:vMerge w:val="continue"/>
                  <w:tcBorders>
                    <w:top w:val="nil"/>
                    <w:left w:val="single" w:color="000000" w:sz="4" w:space="0"/>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901" w:type="dxa"/>
                  <w:vMerge w:val="continue"/>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2187"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2、根据小区实际情况合理布设果皮箱或垃圾桶，垃圾清运日产日清，保持垃圾设施清洁、无异味；化粪井、化粪池每季度检查1次，发现异常及时清掏，化粪池服务期内清掏1次。</w:t>
                  </w:r>
                </w:p>
              </w:tc>
              <w:tc>
                <w:tcPr>
                  <w:tcW w:w="1598"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未及时清理、清掏的扣1分，未及时检查的扣1分</w:t>
                  </w:r>
                </w:p>
              </w:tc>
              <w:tc>
                <w:tcPr>
                  <w:tcW w:w="889"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3</w:t>
                  </w:r>
                </w:p>
              </w:tc>
              <w:tc>
                <w:tcPr>
                  <w:tcW w:w="913" w:type="dxa"/>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89" w:type="dxa"/>
                  <w:vMerge w:val="continue"/>
                  <w:tcBorders>
                    <w:top w:val="nil"/>
                    <w:left w:val="single" w:color="000000" w:sz="4" w:space="0"/>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901" w:type="dxa"/>
                  <w:vMerge w:val="continue"/>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2187"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3、雨水井、污水井每季度检查1次以上，视检查情况及时清掏，保持通畅，共用雨、污水管道服务期内疏通1次以上，并保持日常通畅。</w:t>
                  </w:r>
                </w:p>
              </w:tc>
              <w:tc>
                <w:tcPr>
                  <w:tcW w:w="1598"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未及时检查的扣1分，未及时清掏的扣1分</w:t>
                  </w:r>
                </w:p>
              </w:tc>
              <w:tc>
                <w:tcPr>
                  <w:tcW w:w="889"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4</w:t>
                  </w:r>
                </w:p>
              </w:tc>
              <w:tc>
                <w:tcPr>
                  <w:tcW w:w="913" w:type="dxa"/>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89" w:type="dxa"/>
                  <w:vMerge w:val="continue"/>
                  <w:tcBorders>
                    <w:top w:val="nil"/>
                    <w:left w:val="single" w:color="000000" w:sz="4" w:space="0"/>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901" w:type="dxa"/>
                  <w:vMerge w:val="continue"/>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2187"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72" w:beforeAutospacing="0" w:after="0" w:afterAutospacing="0" w:line="30" w:lineRule="atLeast"/>
                    <w:ind w:left="84" w:right="0" w:firstLine="336"/>
                    <w:jc w:val="left"/>
                    <w:rPr>
                      <w:sz w:val="19"/>
                      <w:szCs w:val="19"/>
                    </w:rPr>
                  </w:pPr>
                  <w:r>
                    <w:rPr>
                      <w:rFonts w:hint="eastAsia" w:ascii="宋体" w:hAnsi="宋体" w:eastAsia="宋体" w:cs="宋体"/>
                      <w:sz w:val="24"/>
                      <w:szCs w:val="24"/>
                    </w:rPr>
                    <w:t>4、地面每天清扫1次，随时巡视保洁，做到地面无明显垃圾；生活垃圾每天清运1次，垃圾桶至少消毒1次，保证小区内环境卫生无死角；保持全天的整洁，每日清扫1次地面；每周保洁1次楼道、楼梯地面；每周擦拭1次楼梯扶手、栏杆、窗台、防火门、消火栓、指示牌等共用设施；服务期内除尘1次楼内灯具。每日巡视保洁1次楼道、楼梯。</w:t>
                  </w:r>
                </w:p>
              </w:tc>
              <w:tc>
                <w:tcPr>
                  <w:tcW w:w="1598"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未达到的扣1-2分</w:t>
                  </w:r>
                </w:p>
              </w:tc>
              <w:tc>
                <w:tcPr>
                  <w:tcW w:w="889"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4</w:t>
                  </w:r>
                </w:p>
              </w:tc>
              <w:tc>
                <w:tcPr>
                  <w:tcW w:w="913" w:type="dxa"/>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89" w:type="dxa"/>
                  <w:vMerge w:val="continue"/>
                  <w:tcBorders>
                    <w:top w:val="nil"/>
                    <w:left w:val="single" w:color="000000" w:sz="4" w:space="0"/>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901" w:type="dxa"/>
                  <w:vMerge w:val="continue"/>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2187"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5、每日擦拭1次电梯轿厢门、面板；每日保洁1次轿厢地面，不锈钢或其他材料装饰的电梯轿厢，每月护理1次；石材装饰的电梯轿厢，服务期内养护1次；每日巡视保洁2次电梯轿厢。电梯按键每日消毒1次。</w:t>
                  </w:r>
                </w:p>
              </w:tc>
              <w:tc>
                <w:tcPr>
                  <w:tcW w:w="1598"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未达到的扣1-2分</w:t>
                  </w:r>
                </w:p>
              </w:tc>
              <w:tc>
                <w:tcPr>
                  <w:tcW w:w="889"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4</w:t>
                  </w:r>
                </w:p>
              </w:tc>
              <w:tc>
                <w:tcPr>
                  <w:tcW w:w="913" w:type="dxa"/>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89" w:type="dxa"/>
                  <w:vMerge w:val="continue"/>
                  <w:tcBorders>
                    <w:top w:val="nil"/>
                    <w:left w:val="single" w:color="000000" w:sz="4" w:space="0"/>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901" w:type="dxa"/>
                  <w:vMerge w:val="continue"/>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2187"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6、乔木服务期内冬季修剪1次；灌木服务期内生长季节和冬季修剪1次；绿篱服务期内至少修剪4次；草坪夏季每月至少修剪2次，服务期内至少修剪12次。</w:t>
                  </w:r>
                </w:p>
              </w:tc>
              <w:tc>
                <w:tcPr>
                  <w:tcW w:w="1598"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未达到的扣1-2分</w:t>
                  </w:r>
                </w:p>
              </w:tc>
              <w:tc>
                <w:tcPr>
                  <w:tcW w:w="889"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4</w:t>
                  </w:r>
                </w:p>
              </w:tc>
              <w:tc>
                <w:tcPr>
                  <w:tcW w:w="913" w:type="dxa"/>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89" w:type="dxa"/>
                  <w:vMerge w:val="continue"/>
                  <w:tcBorders>
                    <w:top w:val="nil"/>
                    <w:left w:val="single" w:color="000000" w:sz="4" w:space="0"/>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901" w:type="dxa"/>
                  <w:vMerge w:val="continue"/>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2187"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7、根据植物生长情况施肥，一般乔木服务期内施肥1~2次；灌木服务期内施肥1~2次；地被和草坪植物服务期内施肥2~3次；花坛植物根据生长情况进行追肥；尽量减少对化肥的依赖。</w:t>
                  </w:r>
                </w:p>
              </w:tc>
              <w:tc>
                <w:tcPr>
                  <w:tcW w:w="1598"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未达到的扣1-2分</w:t>
                  </w:r>
                </w:p>
              </w:tc>
              <w:tc>
                <w:tcPr>
                  <w:tcW w:w="889"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4</w:t>
                  </w:r>
                </w:p>
              </w:tc>
              <w:tc>
                <w:tcPr>
                  <w:tcW w:w="913" w:type="dxa"/>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89" w:type="dxa"/>
                  <w:vMerge w:val="continue"/>
                  <w:tcBorders>
                    <w:top w:val="nil"/>
                    <w:left w:val="single" w:color="000000" w:sz="4" w:space="0"/>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901" w:type="dxa"/>
                  <w:vMerge w:val="continue"/>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2187"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8、绿化地设有提示人们爱护绿化的宣传牌。</w:t>
                  </w:r>
                </w:p>
              </w:tc>
              <w:tc>
                <w:tcPr>
                  <w:tcW w:w="1598"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发现一处未设置扣0.5分，直至扣完</w:t>
                  </w:r>
                </w:p>
              </w:tc>
              <w:tc>
                <w:tcPr>
                  <w:tcW w:w="889"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2</w:t>
                  </w:r>
                </w:p>
              </w:tc>
              <w:tc>
                <w:tcPr>
                  <w:tcW w:w="913" w:type="dxa"/>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89" w:type="dxa"/>
                  <w:vMerge w:val="continue"/>
                  <w:tcBorders>
                    <w:top w:val="nil"/>
                    <w:left w:val="single" w:color="000000" w:sz="4" w:space="0"/>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901" w:type="dxa"/>
                  <w:vMerge w:val="continue"/>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2187"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9、根据病虫害发生规律，植物生长季每月至少检查3次病虫害情况；并根据检查结果防治病虫害，不因病虫害出现提前落叶、死亡现象。服务期内全面除草3次，重点绿地增加除草次数。</w:t>
                  </w:r>
                </w:p>
              </w:tc>
              <w:tc>
                <w:tcPr>
                  <w:tcW w:w="1598"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未达到的扣2分</w:t>
                  </w:r>
                </w:p>
              </w:tc>
              <w:tc>
                <w:tcPr>
                  <w:tcW w:w="889"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2</w:t>
                  </w:r>
                </w:p>
              </w:tc>
              <w:tc>
                <w:tcPr>
                  <w:tcW w:w="913" w:type="dxa"/>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89" w:type="dxa"/>
                  <w:vMerge w:val="restart"/>
                  <w:tcBorders>
                    <w:top w:val="nil"/>
                    <w:left w:val="single" w:color="000000" w:sz="4" w:space="0"/>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保安及车辆管理</w:t>
                  </w:r>
                </w:p>
              </w:tc>
              <w:tc>
                <w:tcPr>
                  <w:tcW w:w="901" w:type="dxa"/>
                  <w:vMerge w:val="restart"/>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25分</w:t>
                  </w:r>
                </w:p>
              </w:tc>
              <w:tc>
                <w:tcPr>
                  <w:tcW w:w="2187"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1、主出入口24h有专人值守，人员进出有技术控制措施。对进出小区的车辆实施有效管理，引导机动车辆全部停到规定的停车场。</w:t>
                  </w:r>
                </w:p>
              </w:tc>
              <w:tc>
                <w:tcPr>
                  <w:tcW w:w="1598"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未达到扣0.5-1分</w:t>
                  </w:r>
                </w:p>
              </w:tc>
              <w:tc>
                <w:tcPr>
                  <w:tcW w:w="889"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3</w:t>
                  </w:r>
                </w:p>
              </w:tc>
              <w:tc>
                <w:tcPr>
                  <w:tcW w:w="913" w:type="dxa"/>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89" w:type="dxa"/>
                  <w:vMerge w:val="continue"/>
                  <w:tcBorders>
                    <w:top w:val="nil"/>
                    <w:left w:val="single" w:color="000000" w:sz="4" w:space="0"/>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901" w:type="dxa"/>
                  <w:vMerge w:val="continue"/>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2187"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2、门岗室整洁，公共秩序维护人员统一着装，佩戴有明显的标志。</w:t>
                  </w:r>
                </w:p>
              </w:tc>
              <w:tc>
                <w:tcPr>
                  <w:tcW w:w="1598"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未达到扣0.5分</w:t>
                  </w:r>
                </w:p>
              </w:tc>
              <w:tc>
                <w:tcPr>
                  <w:tcW w:w="889"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2</w:t>
                  </w:r>
                </w:p>
              </w:tc>
              <w:tc>
                <w:tcPr>
                  <w:tcW w:w="913" w:type="dxa"/>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89" w:type="dxa"/>
                  <w:vMerge w:val="continue"/>
                  <w:tcBorders>
                    <w:top w:val="nil"/>
                    <w:left w:val="single" w:color="000000" w:sz="4" w:space="0"/>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901" w:type="dxa"/>
                  <w:vMerge w:val="continue"/>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2187"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3、受理业主或物业使用人的装饰装修申报登记，与业主或物业使用人、装饰装修企业签订住宅室内装饰装修管理服务协议，告知业主或物业使用人在装饰装修过程中的禁止行为和注意事项，并进行安全教育和安全交底。</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在装饰装修期间每2日巡查1次现场。</w:t>
                  </w:r>
                </w:p>
              </w:tc>
              <w:tc>
                <w:tcPr>
                  <w:tcW w:w="1598"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没有进出登记的扣1分，没有流动人口台账的扣1分</w:t>
                  </w:r>
                </w:p>
              </w:tc>
              <w:tc>
                <w:tcPr>
                  <w:tcW w:w="889"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2</w:t>
                  </w:r>
                </w:p>
              </w:tc>
              <w:tc>
                <w:tcPr>
                  <w:tcW w:w="913" w:type="dxa"/>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89" w:type="dxa"/>
                  <w:vMerge w:val="continue"/>
                  <w:tcBorders>
                    <w:top w:val="nil"/>
                    <w:left w:val="single" w:color="000000" w:sz="4" w:space="0"/>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901" w:type="dxa"/>
                  <w:vMerge w:val="continue"/>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2187"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4、小区主要道路及停车场交通标志齐全、规范。</w:t>
                  </w:r>
                </w:p>
              </w:tc>
              <w:tc>
                <w:tcPr>
                  <w:tcW w:w="1598"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设置不全扣1分，未设置为0.5分</w:t>
                  </w:r>
                </w:p>
              </w:tc>
              <w:tc>
                <w:tcPr>
                  <w:tcW w:w="889"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2</w:t>
                  </w:r>
                </w:p>
              </w:tc>
              <w:tc>
                <w:tcPr>
                  <w:tcW w:w="913" w:type="dxa"/>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89" w:type="dxa"/>
                  <w:vMerge w:val="continue"/>
                  <w:tcBorders>
                    <w:top w:val="nil"/>
                    <w:left w:val="single" w:color="000000" w:sz="4" w:space="0"/>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901" w:type="dxa"/>
                  <w:vMerge w:val="continue"/>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2187"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84" w:beforeAutospacing="0" w:after="0" w:afterAutospacing="0" w:line="30" w:lineRule="atLeast"/>
                    <w:ind w:left="96" w:right="0" w:firstLine="336"/>
                    <w:jc w:val="left"/>
                    <w:rPr>
                      <w:sz w:val="19"/>
                      <w:szCs w:val="19"/>
                    </w:rPr>
                  </w:pPr>
                  <w:r>
                    <w:rPr>
                      <w:rFonts w:hint="eastAsia" w:ascii="宋体" w:hAnsi="宋体" w:eastAsia="宋体" w:cs="宋体"/>
                      <w:sz w:val="24"/>
                      <w:szCs w:val="24"/>
                    </w:rPr>
                    <w:t>5、安防控制室设专人24h值守，值班人员须持有资格证书。配有安全监控设施，实施24h监控，保存录像不低于30天。</w:t>
                  </w:r>
                </w:p>
              </w:tc>
              <w:tc>
                <w:tcPr>
                  <w:tcW w:w="1598"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未达到的扣1分</w:t>
                  </w:r>
                </w:p>
              </w:tc>
              <w:tc>
                <w:tcPr>
                  <w:tcW w:w="889"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2</w:t>
                  </w:r>
                </w:p>
              </w:tc>
              <w:tc>
                <w:tcPr>
                  <w:tcW w:w="913" w:type="dxa"/>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89" w:type="dxa"/>
                  <w:vMerge w:val="continue"/>
                  <w:tcBorders>
                    <w:top w:val="nil"/>
                    <w:left w:val="single" w:color="000000" w:sz="4" w:space="0"/>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901" w:type="dxa"/>
                  <w:vMerge w:val="continue"/>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2187"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6、制定详细的巡查方案，按照规定路线和时间进行巡逻，每3h巡查1次，重点区域应增加巡逻频率，并做好巡逻记录。有当班、交班记录并记录详细，当班不脱岗。</w:t>
                  </w:r>
                </w:p>
              </w:tc>
              <w:tc>
                <w:tcPr>
                  <w:tcW w:w="1598"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没有巡查记录的扣0.5分，没有当班、交班记录的扣0.5分，当班脱岗的扣1分</w:t>
                  </w:r>
                </w:p>
              </w:tc>
              <w:tc>
                <w:tcPr>
                  <w:tcW w:w="889"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3</w:t>
                  </w:r>
                </w:p>
              </w:tc>
              <w:tc>
                <w:tcPr>
                  <w:tcW w:w="913" w:type="dxa"/>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89" w:type="dxa"/>
                  <w:vMerge w:val="continue"/>
                  <w:tcBorders>
                    <w:top w:val="nil"/>
                    <w:left w:val="single" w:color="000000" w:sz="4" w:space="0"/>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901" w:type="dxa"/>
                  <w:vMerge w:val="continue"/>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2187"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7、对非机动车棚进行管理，非机动车棚必须符合安全要求，保持清洁，非机动车按规范停放。加强社会治安工作，避免盗窃汽车、摩托车、自行车事件发生。</w:t>
                  </w:r>
                </w:p>
              </w:tc>
              <w:tc>
                <w:tcPr>
                  <w:tcW w:w="1598"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未及时发现上报扣2分</w:t>
                  </w:r>
                </w:p>
              </w:tc>
              <w:tc>
                <w:tcPr>
                  <w:tcW w:w="889"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3</w:t>
                  </w:r>
                </w:p>
              </w:tc>
              <w:tc>
                <w:tcPr>
                  <w:tcW w:w="913" w:type="dxa"/>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89" w:type="dxa"/>
                  <w:vMerge w:val="continue"/>
                  <w:tcBorders>
                    <w:top w:val="nil"/>
                    <w:left w:val="single" w:color="000000" w:sz="4" w:space="0"/>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901" w:type="dxa"/>
                  <w:vMerge w:val="continue"/>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2187"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8、及时发现违规搭建、违法经营等，及时处理并报公司和当地政府。</w:t>
                  </w:r>
                </w:p>
              </w:tc>
              <w:tc>
                <w:tcPr>
                  <w:tcW w:w="1598"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发生一起偷盗事件扣0.5分</w:t>
                  </w:r>
                </w:p>
              </w:tc>
              <w:tc>
                <w:tcPr>
                  <w:tcW w:w="889"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4</w:t>
                  </w:r>
                </w:p>
              </w:tc>
              <w:tc>
                <w:tcPr>
                  <w:tcW w:w="913" w:type="dxa"/>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889" w:type="dxa"/>
                  <w:vMerge w:val="continue"/>
                  <w:tcBorders>
                    <w:top w:val="nil"/>
                    <w:left w:val="single" w:color="000000" w:sz="4" w:space="0"/>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901" w:type="dxa"/>
                  <w:vMerge w:val="continue"/>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c>
                <w:tcPr>
                  <w:tcW w:w="2187"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9、加强保安巡逻，避免入室盗窃事件发生。</w:t>
                  </w:r>
                </w:p>
              </w:tc>
              <w:tc>
                <w:tcPr>
                  <w:tcW w:w="1598"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发生一起入室盗窃扣0.5分</w:t>
                  </w:r>
                </w:p>
              </w:tc>
              <w:tc>
                <w:tcPr>
                  <w:tcW w:w="889" w:type="dxa"/>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4</w:t>
                  </w:r>
                </w:p>
              </w:tc>
              <w:tc>
                <w:tcPr>
                  <w:tcW w:w="913" w:type="dxa"/>
                  <w:tcBorders>
                    <w:top w:val="nil"/>
                    <w:left w:val="nil"/>
                    <w:bottom w:val="single" w:color="000000" w:sz="4" w:space="0"/>
                    <w:right w:val="single" w:color="000000" w:sz="4" w:space="0"/>
                  </w:tcBorders>
                  <w:tcMar>
                    <w:left w:w="84" w:type="dxa"/>
                    <w:right w:w="84" w:type="dxa"/>
                  </w:tcMar>
                  <w:vAlign w:val="top"/>
                </w:tcPr>
                <w:p>
                  <w:pPr>
                    <w:jc w:val="left"/>
                    <w:rPr>
                      <w:rFonts w:hint="default" w:ascii="Times New Roman" w:hAnsi="Times New Roman" w:cs="Times New Roman"/>
                      <w:sz w:val="15"/>
                      <w:szCs w:val="15"/>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1790" w:type="dxa"/>
                  <w:gridSpan w:val="2"/>
                  <w:tcBorders>
                    <w:top w:val="nil"/>
                    <w:left w:val="single" w:color="000000" w:sz="4" w:space="0"/>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本月得分</w:t>
                  </w:r>
                </w:p>
              </w:tc>
              <w:tc>
                <w:tcPr>
                  <w:tcW w:w="5587" w:type="dxa"/>
                  <w:gridSpan w:val="4"/>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年月日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1790" w:type="dxa"/>
                  <w:gridSpan w:val="2"/>
                  <w:tcBorders>
                    <w:top w:val="nil"/>
                    <w:left w:val="single" w:color="000000" w:sz="4" w:space="0"/>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考核人</w:t>
                  </w:r>
                </w:p>
              </w:tc>
              <w:tc>
                <w:tcPr>
                  <w:tcW w:w="5587" w:type="dxa"/>
                  <w:gridSpan w:val="4"/>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年月日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1790" w:type="dxa"/>
                  <w:gridSpan w:val="2"/>
                  <w:tcBorders>
                    <w:top w:val="nil"/>
                    <w:left w:val="single" w:color="000000" w:sz="4" w:space="0"/>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left"/>
                    <w:rPr>
                      <w:sz w:val="19"/>
                      <w:szCs w:val="19"/>
                    </w:rPr>
                  </w:pPr>
                  <w:r>
                    <w:rPr>
                      <w:rFonts w:hint="eastAsia" w:ascii="宋体" w:hAnsi="宋体" w:eastAsia="宋体" w:cs="宋体"/>
                      <w:sz w:val="24"/>
                      <w:szCs w:val="24"/>
                    </w:rPr>
                    <w:t>被考核人（签章）</w:t>
                  </w:r>
                </w:p>
              </w:tc>
              <w:tc>
                <w:tcPr>
                  <w:tcW w:w="5587" w:type="dxa"/>
                  <w:gridSpan w:val="4"/>
                  <w:tcBorders>
                    <w:top w:val="nil"/>
                    <w:left w:val="nil"/>
                    <w:bottom w:val="single" w:color="000000" w:sz="4" w:space="0"/>
                    <w:right w:val="single" w:color="000000" w:sz="4" w:space="0"/>
                  </w:tcBorders>
                  <w:tcMar>
                    <w:left w:w="84" w:type="dxa"/>
                    <w:right w:w="84"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年月日</w:t>
                  </w:r>
                </w:p>
              </w:tc>
            </w:tr>
          </w:tbl>
          <w:p>
            <w:pPr>
              <w:jc w:val="left"/>
              <w:rPr>
                <w:sz w:val="19"/>
                <w:szCs w:val="19"/>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384" w:hRule="atLeast"/>
        </w:trPr>
        <w:tc>
          <w:tcPr>
            <w:tcW w:w="840" w:type="dxa"/>
            <w:tcBorders>
              <w:top w:val="single" w:color="333333" w:sz="4" w:space="0"/>
              <w:left w:val="single" w:color="333333" w:sz="4" w:space="0"/>
              <w:bottom w:val="single" w:color="333333" w:sz="4" w:space="0"/>
              <w:right w:val="single" w:color="333333" w:sz="4" w:space="0"/>
            </w:tcBorders>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left"/>
              <w:rPr>
                <w:sz w:val="19"/>
                <w:szCs w:val="19"/>
              </w:rPr>
            </w:pPr>
            <w:r>
              <w:rPr>
                <w:rFonts w:ascii="宋体" w:hAnsi="宋体" w:eastAsia="宋体" w:cs="宋体"/>
                <w:kern w:val="0"/>
                <w:sz w:val="19"/>
                <w:szCs w:val="19"/>
                <w:lang w:val="en-US" w:eastAsia="zh-CN" w:bidi="ar"/>
              </w:rPr>
              <w:t>★</w:t>
            </w:r>
          </w:p>
        </w:tc>
        <w:tc>
          <w:tcPr>
            <w:tcW w:w="600" w:type="dxa"/>
            <w:tcBorders>
              <w:top w:val="single" w:color="333333" w:sz="4" w:space="0"/>
              <w:left w:val="single" w:color="333333" w:sz="4" w:space="0"/>
              <w:bottom w:val="single" w:color="333333" w:sz="4" w:space="0"/>
              <w:right w:val="single" w:color="333333" w:sz="4" w:space="0"/>
            </w:tcBorders>
            <w:tcMar>
              <w:top w:w="60" w:type="dxa"/>
              <w:left w:w="96" w:type="dxa"/>
              <w:bottom w:w="60" w:type="dxa"/>
              <w:right w:w="96" w:type="dxa"/>
            </w:tcMar>
            <w:vAlign w:val="center"/>
          </w:tcPr>
          <w:p>
            <w:pPr>
              <w:keepNext w:val="0"/>
              <w:keepLines w:val="0"/>
              <w:widowControl/>
              <w:suppressLineNumbers w:val="0"/>
              <w:wordWrap w:val="0"/>
              <w:spacing w:before="0" w:beforeAutospacing="0" w:after="0" w:afterAutospacing="0" w:line="288" w:lineRule="atLeast"/>
              <w:ind w:left="0" w:right="0"/>
              <w:jc w:val="left"/>
              <w:rPr>
                <w:sz w:val="19"/>
                <w:szCs w:val="19"/>
              </w:rPr>
            </w:pPr>
            <w:r>
              <w:rPr>
                <w:rFonts w:ascii="宋体" w:hAnsi="宋体" w:eastAsia="宋体" w:cs="宋体"/>
                <w:kern w:val="0"/>
                <w:sz w:val="19"/>
                <w:szCs w:val="19"/>
                <w:lang w:val="en-US" w:eastAsia="zh-CN" w:bidi="ar"/>
              </w:rPr>
              <w:t>2</w:t>
            </w:r>
          </w:p>
        </w:tc>
        <w:tc>
          <w:tcPr>
            <w:tcW w:w="8129" w:type="dxa"/>
            <w:tcBorders>
              <w:top w:val="single" w:color="333333" w:sz="4" w:space="0"/>
              <w:left w:val="single" w:color="333333" w:sz="4" w:space="0"/>
              <w:bottom w:val="single" w:color="333333" w:sz="4" w:space="0"/>
              <w:right w:val="single" w:color="333333" w:sz="4" w:space="0"/>
            </w:tcBorders>
            <w:tcMar>
              <w:top w:w="60" w:type="dxa"/>
              <w:left w:w="96" w:type="dxa"/>
              <w:bottom w:w="60" w:type="dxa"/>
              <w:right w:w="96"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default" w:ascii="Calibri" w:hAnsi="Calibri" w:cs="Calibri"/>
                <w:sz w:val="24"/>
                <w:szCs w:val="24"/>
              </w:rPr>
              <w:t>★</w:t>
            </w:r>
            <w:r>
              <w:rPr>
                <w:rStyle w:val="4"/>
                <w:rFonts w:hint="eastAsia" w:ascii="宋体" w:hAnsi="宋体" w:eastAsia="宋体" w:cs="宋体"/>
                <w:sz w:val="24"/>
                <w:szCs w:val="24"/>
              </w:rPr>
              <w:t>二、其他要求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Style w:val="4"/>
                <w:rFonts w:hint="eastAsia" w:ascii="宋体" w:hAnsi="宋体" w:eastAsia="宋体" w:cs="宋体"/>
                <w:sz w:val="24"/>
                <w:szCs w:val="24"/>
              </w:rPr>
              <w:t>（一）合同签订与解除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合同签订：供应商应在中标通知书发出之日起三十日内与采购人签订采购合同。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合同解除：为确保本项目物业管理服务的整体性，若中标人在服务期限内任一个服务合同发生解除的，则中标人就本项目的所有合同均同时解除。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2"/>
              <w:jc w:val="left"/>
              <w:rPr>
                <w:sz w:val="19"/>
                <w:szCs w:val="19"/>
              </w:rPr>
            </w:pPr>
            <w:r>
              <w:rPr>
                <w:rStyle w:val="4"/>
                <w:rFonts w:hint="eastAsia" w:ascii="宋体" w:hAnsi="宋体" w:eastAsia="宋体" w:cs="宋体"/>
                <w:sz w:val="24"/>
                <w:szCs w:val="24"/>
              </w:rPr>
              <w:t>（二）违约责任</w:t>
            </w:r>
            <w:r>
              <w:rPr>
                <w:rFonts w:hint="eastAsia" w:ascii="宋体" w:hAnsi="宋体" w:eastAsia="宋体" w:cs="宋体"/>
                <w:sz w:val="24"/>
                <w:szCs w:val="24"/>
              </w:rPr>
              <w:t>（说明：提供承诺函承诺）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（1）如因中标供应商工作人员在履行职务过程中的疏忽、失职、过错等故意或者过失原因给采购人造成损失或侵害的，中标供应商对此应承担全部的赔偿责任。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（2）中标供应商提供的服务不符合投标/响应文件、报价文件或本合同规定的，每项违约乙方须向甲方支付本合同总价10%的违约金。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（3）中标供应商未能按本合同规定时间提供服务，从逾期之日起每日按本合同总价</w:t>
            </w:r>
            <w:r>
              <w:rPr>
                <w:sz w:val="19"/>
                <w:szCs w:val="19"/>
              </w:rPr>
              <w:t> 15</w:t>
            </w:r>
            <w:r>
              <w:rPr>
                <w:rFonts w:hint="eastAsia" w:ascii="宋体" w:hAnsi="宋体" w:eastAsia="宋体" w:cs="宋体"/>
                <w:sz w:val="24"/>
                <w:szCs w:val="24"/>
              </w:rPr>
              <w:t>‰的数额向采购人支付违约金；逾期半个月以上的，采购人有权解除合同，由此造成的采购人经济损失由中标供应商承担。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4）供应商未能履行物业服务合同的约定或在履行物业服务的工作中或因物业服务质量问题，给采购人或任何第三人造成损害的（包括人身、财产等损害），应当依法承担相应的法律责任。如因此使采购人承担赔偿或遭受损失，采购人有权在承担赔偿或损失后向成交供应商追偿。</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（5）中标供应商如违反合同约定，擅自提高其他费用标准的，对超出标准的部分，采购人有权拒绝支付；已经支付的，采购人有权要求成交供应商返还。</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（6）采购人无正当理由拒绝接受中标供应商服务的，采购人应对供应商受到的损失据实给予赔偿或者补偿。采购人逾期付款的，则应按应付金额每日15</w:t>
            </w:r>
            <w:r>
              <w:rPr>
                <w:sz w:val="19"/>
                <w:szCs w:val="19"/>
              </w:rPr>
              <w:t> </w:t>
            </w:r>
            <w:r>
              <w:rPr>
                <w:rFonts w:hint="eastAsia" w:ascii="宋体" w:hAnsi="宋体" w:eastAsia="宋体" w:cs="宋体"/>
                <w:sz w:val="24"/>
                <w:szCs w:val="24"/>
              </w:rPr>
              <w:t>‰标准向中标人赔付违约金。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both"/>
              <w:rPr>
                <w:sz w:val="19"/>
                <w:szCs w:val="19"/>
              </w:rPr>
            </w:pPr>
            <w:r>
              <w:rPr>
                <w:rFonts w:hint="default" w:ascii="Calibri" w:hAnsi="Calibri" w:cs="Calibri"/>
                <w:sz w:val="21"/>
                <w:szCs w:val="21"/>
              </w:rPr>
              <w:t>          </w:t>
            </w:r>
            <w:r>
              <w:rPr>
                <w:rFonts w:hint="eastAsia" w:ascii="宋体" w:hAnsi="宋体" w:eastAsia="宋体" w:cs="宋体"/>
                <w:sz w:val="24"/>
                <w:szCs w:val="24"/>
              </w:rPr>
              <w:t>（7）其余按照合同约定执行。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2"/>
              <w:jc w:val="left"/>
              <w:rPr>
                <w:sz w:val="19"/>
                <w:szCs w:val="19"/>
              </w:rPr>
            </w:pPr>
            <w:r>
              <w:rPr>
                <w:rStyle w:val="4"/>
                <w:rFonts w:hint="eastAsia" w:ascii="宋体" w:hAnsi="宋体" w:eastAsia="宋体" w:cs="宋体"/>
                <w:sz w:val="24"/>
                <w:szCs w:val="24"/>
              </w:rPr>
              <w:t>（三）报价要求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2"/>
              <w:jc w:val="left"/>
              <w:rPr>
                <w:sz w:val="19"/>
                <w:szCs w:val="19"/>
              </w:rPr>
            </w:pPr>
            <w:r>
              <w:rPr>
                <w:rStyle w:val="4"/>
                <w:rFonts w:hint="eastAsia" w:ascii="宋体" w:hAnsi="宋体" w:eastAsia="宋体" w:cs="宋体"/>
                <w:sz w:val="24"/>
                <w:szCs w:val="24"/>
              </w:rPr>
              <w:t>1、本项目最高限价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566"/>
              <w:jc w:val="both"/>
              <w:rPr>
                <w:sz w:val="19"/>
                <w:szCs w:val="19"/>
              </w:rPr>
            </w:pPr>
            <w:r>
              <w:rPr>
                <w:rFonts w:hint="eastAsia" w:ascii="宋体" w:hAnsi="宋体" w:eastAsia="宋体" w:cs="宋体"/>
                <w:sz w:val="24"/>
                <w:szCs w:val="24"/>
              </w:rPr>
              <w:t>本项目预算人民币169万元1年，综合单价最高限价为：人民币0.73元/平方米/月，本项目报综合单价，供应商投标报价高于综合单价最高限价的，投标无效。</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88" w:lineRule="atLeast"/>
              <w:ind w:left="0" w:right="0" w:hanging="360"/>
              <w:jc w:val="both"/>
            </w:pPr>
            <w:r>
              <w:rPr>
                <w:rFonts w:hint="eastAsia" w:ascii="宋体" w:hAnsi="宋体" w:eastAsia="宋体" w:cs="宋体"/>
                <w:sz w:val="24"/>
                <w:szCs w:val="24"/>
              </w:rPr>
              <w:t>在评标过程中，评标委员会认为供应商投标报价明显低于其他通过符合性审查供应商的投标报价，有可能影响产品质量或者不能诚信履约的，评标委员会应当要求其在合理的时间内提供书面说明，必要时提交相关证明材料【供应商的岗位人员基本工资及供应商缴纳社保报价低于成都市最低工资标准加供应商应当支付人员社保部分金额，属于有可能影响服务质量或者不能诚信履约的情形之一】。供应商提交的书面说明、相关证明材料（如涉及），应当加盖供应商（法定名称）电子签章，在评标委员会要求的时间内通过政府采购一体化平台进行提交，否则无效。如因断电、断网、系统故障或其他不可抗力等因素，导致系统无法使用的，由供应商按评标委员会的要求进行澄清或者说明。供应商不能证明其投标报价合理性的，评标委员会应当将其投标文件作为无效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2"/>
              <w:jc w:val="left"/>
              <w:rPr>
                <w:sz w:val="19"/>
                <w:szCs w:val="19"/>
              </w:rPr>
            </w:pPr>
            <w:r>
              <w:rPr>
                <w:rStyle w:val="4"/>
                <w:rFonts w:hint="eastAsia" w:ascii="宋体" w:hAnsi="宋体" w:eastAsia="宋体" w:cs="宋体"/>
                <w:sz w:val="24"/>
                <w:szCs w:val="24"/>
              </w:rPr>
              <w:t>3、分项报价明细要求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报价应符合政府采购及国家相关政策规定。人员工资标准、社保等不得低于国家和地方政府的相关法律、法规和部门规章规定的最低标准。供应商的报价应按招标文件要求提供分项报价明细表（格式自拟）逐项计入投标总报价，根据投标总报价计算并报出住宅区域的单价报价，如未按要求逐一列明各费用项目与报价、或报价等不满足招标文件要求的，则视为未实质性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供应商的投标报价包含完成所有服务内容所需的所有费用。本项目物业服务费用含所有人员基本工资、法定节假日加班费、社保、员工节日福利费、员工服装费、设备工器具配置费、耗品耗材（行政办公、秩序维护、绿化保洁、维修等）、设施设备维护保养费、专项费用、公众责任险、公区能耗费、企业管理费、利润、税金等一切费用等完成本项目物业服务所需要的一切开支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供应商应充分保障物业服务人员的工资及福利待遇，提供承诺函承诺员工基本工资、法定节假日加班费、社保、员工节日福利费、员工服装费等不低于国家法定及采购文件约定的标准。具体如下：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both"/>
              <w:rPr>
                <w:sz w:val="19"/>
                <w:szCs w:val="19"/>
              </w:rPr>
            </w:pPr>
            <w:r>
              <w:rPr>
                <w:rFonts w:hint="eastAsia" w:ascii="宋体" w:hAnsi="宋体" w:eastAsia="宋体" w:cs="宋体"/>
                <w:sz w:val="24"/>
                <w:szCs w:val="24"/>
              </w:rPr>
              <w:t>（1）员工基本工资：不低于2023年成都市新津区最低工资标准；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2）法定节假日加班费：法定节假日按规定元旦、春节、清明节、劳动节、端午节、中秋节、国庆节，共11天计算。根据【中华人民共和国劳动法(2018修正)】第四十四条（三）法定休假日安排劳动者工作的，支付不低于工资的百分之三百的工资报酬。其余加班按补休轮休处理，供应商也可在报价中自行考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both"/>
              <w:rPr>
                <w:sz w:val="19"/>
                <w:szCs w:val="19"/>
              </w:rPr>
            </w:pPr>
            <w:r>
              <w:rPr>
                <w:rFonts w:hint="eastAsia" w:ascii="宋体" w:hAnsi="宋体" w:eastAsia="宋体" w:cs="宋体"/>
                <w:sz w:val="24"/>
                <w:szCs w:val="24"/>
              </w:rPr>
              <w:t>（3）社保：供应商为投标文件所载明的拟派人员购买全员社保，应包含养老保险、医疗保险（含大病）、失业保险、工伤保险、生育保险，且按全员缴纳计算，人员社保不低于项目所在地2023年成都市企业员工最低社保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both"/>
              <w:rPr>
                <w:sz w:val="19"/>
                <w:szCs w:val="19"/>
              </w:rPr>
            </w:pPr>
            <w:r>
              <w:rPr>
                <w:rFonts w:hint="eastAsia" w:ascii="宋体" w:hAnsi="宋体" w:eastAsia="宋体" w:cs="宋体"/>
                <w:sz w:val="24"/>
                <w:szCs w:val="24"/>
              </w:rPr>
              <w:t>（4）员工节日福利费：供应商根据自身情况结合项目实际进行报价。</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both"/>
              <w:rPr>
                <w:sz w:val="19"/>
                <w:szCs w:val="19"/>
              </w:rPr>
            </w:pPr>
            <w:r>
              <w:rPr>
                <w:rFonts w:hint="eastAsia" w:ascii="宋体" w:hAnsi="宋体" w:eastAsia="宋体" w:cs="宋体"/>
                <w:sz w:val="24"/>
                <w:szCs w:val="24"/>
              </w:rPr>
              <w:t>（5）员工服装费：供应商根据自身情况结合项目实际进行报价（夏季1套，冬季1套，春秋季1套）。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（6）设备工器具配置费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供应商按招标文件要求及“设施设备配置要求”各项内容逐一分项报价，并计入总价中，分项报价不得缺项或漏项，否则，未实质性响应作废标处理。在“设施设备配置要求”的基础上，如有补充项目，可在每个部门单独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（7）耗品耗材（行政办公、秩序维护、绿化保洁、维修等）</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供应商根据自身情况结合项目实际对日常行政办公、秩序维护、绿化保洁、维修的耗品耗材等应进行报价，计入总价中。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（8）设施设备维护保养费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供应商根据招标文件要求及“专业维保管理”内容，对该部分逐一分项报价，并计入总价中。分项报价不得缺项或漏项，否则，未实质性响应作废标处理。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（9）专项费用</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供应商针对服务要求中涉及的专项费用进行分项报价，并计入总价中。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（10）公众责任险</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供应商按招标文件要求购买共用部位、共用设施设备及公众责任保险，产生的保险费用计入总价中。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（11）企业管理费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供应商根据自身管理能力综合考虑，并计入总价中。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336" w:right="0" w:firstLine="336"/>
              <w:jc w:val="left"/>
              <w:rPr>
                <w:sz w:val="19"/>
                <w:szCs w:val="19"/>
              </w:rPr>
            </w:pPr>
            <w:r>
              <w:rPr>
                <w:rFonts w:hint="eastAsia" w:ascii="宋体" w:hAnsi="宋体" w:eastAsia="宋体" w:cs="宋体"/>
                <w:sz w:val="24"/>
                <w:szCs w:val="24"/>
              </w:rPr>
              <w:t>（12）利润</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供应商根据自身管理能力综合考虑，并计入总价中。</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（13）税金</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增值税：投标人应明确增值税纳税人身份，即明确是增值税一般纳税人还是小规模纳税人，并提供税务部门相关证明材料，且在投标报价中应明确增值税率比例。供应商若未提供证明材料的不予认可，按一般纳税人增值税率进行修正税金及总价，修正后的价格经投标人确认后产生约束力，投标人不确认的，其投标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192" w:right="0" w:firstLine="240"/>
              <w:jc w:val="left"/>
              <w:rPr>
                <w:sz w:val="19"/>
                <w:szCs w:val="19"/>
              </w:rPr>
            </w:pPr>
            <w:r>
              <w:rPr>
                <w:rFonts w:hint="eastAsia" w:ascii="宋体" w:hAnsi="宋体" w:eastAsia="宋体" w:cs="宋体"/>
                <w:sz w:val="24"/>
                <w:szCs w:val="24"/>
              </w:rPr>
              <w:t>投标报价中税率享受疫情政策补贴或免税的单位，应提供相关政策文件或税务部门免税的证明材料，且应提供税务部门补贴政策享受期能覆盖完项目服务期限的证明材料，若未按要求提供，按各投标人增值税纳税人身份（投标人未提供增值税纳税人身份税务部门相关证明材料的按前款进行修正）全额（投标人提供的疫情政策补贴或免税享受期不能覆盖完项目服务期限的，按已覆盖项目服务期与未覆盖项目服务期进行分段计算增值税并平均到服务期内）进行计算修正，修正后的价格经投标人确认后产生约束力，投标人不确认的，其投标无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(14)为保障项目的顺利实施，确保服务品质，供应商不得以拟派遣的服务人员享受的优惠或减免（包含但不限于工资、社保、税收）等相关政策，抵减本项目实际运行开支而减少报价项目或报价金额，项目报价明细表中也不得免费或无偿、赠送提供服务，否则视为未实质性响应。</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（15）供应商上述分项报价明细可由多张表格组成。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456" w:right="0" w:firstLine="336"/>
              <w:jc w:val="left"/>
              <w:rPr>
                <w:sz w:val="19"/>
                <w:szCs w:val="19"/>
              </w:rPr>
            </w:pPr>
            <w:r>
              <w:rPr>
                <w:rStyle w:val="4"/>
                <w:rFonts w:hint="eastAsia" w:ascii="宋体" w:hAnsi="宋体" w:eastAsia="宋体" w:cs="宋体"/>
                <w:sz w:val="24"/>
                <w:szCs w:val="24"/>
              </w:rPr>
              <w:t>4、单价最高限价</w:t>
            </w:r>
          </w:p>
          <w:tbl>
            <w:tblPr>
              <w:tblStyle w:val="5"/>
              <w:tblW w:w="7029" w:type="dxa"/>
              <w:tblInd w:w="-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73"/>
              <w:gridCol w:w="2259"/>
              <w:gridCol w:w="1562"/>
              <w:gridCol w:w="1370"/>
              <w:gridCol w:w="8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973" w:type="dxa"/>
                  <w:tcBorders>
                    <w:top w:val="single" w:color="000000" w:sz="4" w:space="0"/>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名称</w:t>
                  </w:r>
                </w:p>
              </w:tc>
              <w:tc>
                <w:tcPr>
                  <w:tcW w:w="2259" w:type="dxa"/>
                  <w:tcBorders>
                    <w:top w:val="single" w:color="000000" w:sz="4" w:space="0"/>
                    <w:left w:val="nil"/>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面积（平方米）</w:t>
                  </w:r>
                </w:p>
              </w:tc>
              <w:tc>
                <w:tcPr>
                  <w:tcW w:w="1562" w:type="dxa"/>
                  <w:tcBorders>
                    <w:top w:val="single" w:color="000000" w:sz="4" w:space="0"/>
                    <w:left w:val="nil"/>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预算（1年）</w:t>
                  </w:r>
                </w:p>
              </w:tc>
              <w:tc>
                <w:tcPr>
                  <w:tcW w:w="1370" w:type="dxa"/>
                  <w:tcBorders>
                    <w:top w:val="single" w:color="000000" w:sz="4" w:space="0"/>
                    <w:left w:val="nil"/>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综合单价最高限价</w:t>
                  </w:r>
                  <w:r>
                    <w:rPr>
                      <w:rFonts w:hint="default" w:ascii="Times New Roman" w:hAnsi="Times New Roman" w:cs="Times New Roman"/>
                      <w:sz w:val="19"/>
                      <w:szCs w:val="19"/>
                    </w:rPr>
                    <w:t>  </w:t>
                  </w:r>
                  <w:r>
                    <w:rPr>
                      <w:rFonts w:hint="eastAsia" w:ascii="宋体" w:hAnsi="宋体" w:eastAsia="宋体" w:cs="宋体"/>
                      <w:sz w:val="24"/>
                      <w:szCs w:val="24"/>
                    </w:rPr>
                    <w:t>（元/平方米/月）</w:t>
                  </w:r>
                </w:p>
              </w:tc>
              <w:tc>
                <w:tcPr>
                  <w:tcW w:w="865" w:type="dxa"/>
                  <w:tcBorders>
                    <w:top w:val="single" w:color="000000" w:sz="4" w:space="0"/>
                    <w:left w:val="nil"/>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84" w:hRule="atLeast"/>
              </w:trPr>
              <w:tc>
                <w:tcPr>
                  <w:tcW w:w="973" w:type="dxa"/>
                  <w:tcBorders>
                    <w:top w:val="nil"/>
                    <w:left w:val="single" w:color="000000" w:sz="4" w:space="0"/>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新津区花源街道安置小区七期物业管理服务采购项目</w:t>
                  </w:r>
                </w:p>
              </w:tc>
              <w:tc>
                <w:tcPr>
                  <w:tcW w:w="2259" w:type="dxa"/>
                  <w:tcBorders>
                    <w:top w:val="nil"/>
                    <w:left w:val="nil"/>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192323.44</w:t>
                  </w:r>
                </w:p>
              </w:tc>
              <w:tc>
                <w:tcPr>
                  <w:tcW w:w="1562" w:type="dxa"/>
                  <w:tcBorders>
                    <w:top w:val="nil"/>
                    <w:left w:val="nil"/>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169万元</w:t>
                  </w:r>
                </w:p>
              </w:tc>
              <w:tc>
                <w:tcPr>
                  <w:tcW w:w="1370" w:type="dxa"/>
                  <w:tcBorders>
                    <w:top w:val="nil"/>
                    <w:left w:val="nil"/>
                    <w:bottom w:val="single" w:color="000000" w:sz="4" w:space="0"/>
                    <w:right w:val="single" w:color="000000" w:sz="4" w:space="0"/>
                  </w:tcBorders>
                  <w:tcMar>
                    <w:left w:w="84" w:type="dxa"/>
                    <w:right w:w="84"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336"/>
                    <w:jc w:val="center"/>
                    <w:rPr>
                      <w:sz w:val="19"/>
                      <w:szCs w:val="19"/>
                    </w:rPr>
                  </w:pPr>
                  <w:r>
                    <w:rPr>
                      <w:rFonts w:hint="eastAsia" w:ascii="宋体" w:hAnsi="宋体" w:eastAsia="宋体" w:cs="宋体"/>
                      <w:sz w:val="24"/>
                      <w:szCs w:val="24"/>
                    </w:rPr>
                    <w:t>0.73</w:t>
                  </w:r>
                </w:p>
              </w:tc>
              <w:tc>
                <w:tcPr>
                  <w:tcW w:w="865" w:type="dxa"/>
                  <w:tcBorders>
                    <w:top w:val="nil"/>
                    <w:left w:val="nil"/>
                    <w:bottom w:val="single" w:color="000000" w:sz="4" w:space="0"/>
                    <w:right w:val="single" w:color="000000" w:sz="4" w:space="0"/>
                  </w:tcBorders>
                  <w:tcMar>
                    <w:left w:w="84" w:type="dxa"/>
                    <w:right w:w="84" w:type="dxa"/>
                  </w:tcMar>
                  <w:vAlign w:val="center"/>
                </w:tcPr>
                <w:p>
                  <w:pPr>
                    <w:jc w:val="left"/>
                    <w:rPr>
                      <w:rFonts w:hint="default" w:ascii="Times New Roman" w:hAnsi="Times New Roman" w:cs="Times New Roman"/>
                      <w:sz w:val="15"/>
                      <w:szCs w:val="15"/>
                    </w:rP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96" w:afterAutospacing="0" w:line="30" w:lineRule="atLeast"/>
              <w:ind w:left="0" w:right="0" w:firstLine="643"/>
              <w:jc w:val="both"/>
              <w:rPr>
                <w:sz w:val="19"/>
                <w:szCs w:val="19"/>
              </w:rPr>
            </w:pPr>
            <w:r>
              <w:rPr>
                <w:rStyle w:val="4"/>
                <w:rFonts w:hint="eastAsia" w:ascii="宋体" w:hAnsi="宋体" w:eastAsia="宋体" w:cs="宋体"/>
                <w:sz w:val="24"/>
                <w:szCs w:val="24"/>
              </w:rPr>
              <w:t>（四）针对本项目制定的项目服务方案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投标人应根据本项目的内容，提供项目实施方案，方案应至少包含以下几项：</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1、公共秩序维护方案：包含公共秩序维护、交通秩序车辆停放管理、消防管理、安全管理；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2、设施设备维护方案：房屋建筑本体和共用部位的维护管理、设施设备运行维护管理；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3、环境维护方案：清洁工作标准、卫生消杀管理、雨污水井、粪池定期检查清淘和疏通、绿化养护；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4、客服服务方案：客户工作规范、客户关系维护、业主满意度调查、档案管理；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5、应急处理方案：治安事件、消防应急、突发公共卫生事件、自然灾害应急处理、设施设备故障应急处理、维稳方案；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6、社区创新服务建设方案：社区文化建设目标、社区文化建设保障体系。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Style w:val="4"/>
                <w:rFonts w:hint="eastAsia" w:ascii="宋体" w:hAnsi="宋体" w:eastAsia="宋体" w:cs="宋体"/>
                <w:sz w:val="24"/>
                <w:szCs w:val="24"/>
              </w:rPr>
              <w:t>（五）履约能力要求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0"/>
              <w:jc w:val="left"/>
              <w:rPr>
                <w:sz w:val="19"/>
                <w:szCs w:val="19"/>
              </w:rPr>
            </w:pPr>
            <w:r>
              <w:rPr>
                <w:rFonts w:hint="eastAsia" w:ascii="宋体" w:hAnsi="宋体" w:eastAsia="宋体" w:cs="宋体"/>
                <w:sz w:val="24"/>
                <w:szCs w:val="24"/>
              </w:rPr>
              <w:t>投标人应提供2019年1月1日（含1月1日）至今具有2个及以上物业服务业绩。服务内容至少包含秩序安保服务（或相同语义内容）、保洁服务（或相同语义内容）、绿化服务（或相同语义内容）、工程维修服务（或相同语义内容）。【说明：1、提供合同复印件及合同期内资金收款的银行票据复印件及相对应金额的有效发票复印件（如为分期付款的，至少提供一次银行票据及发票）并加盖公章；2、同一项目的多个时段的合同，按一个业绩计算；3、单个合同中应全部体现上述服务内容；4、时间以合同签订时间为准（无签订时间的以合同开始时间）；5、提供加盖业主单位或服务单位公章的书面证明复印件并加盖公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 w:lineRule="atLeast"/>
              <w:ind w:left="0" w:right="0" w:firstLine="482"/>
              <w:jc w:val="both"/>
              <w:rPr>
                <w:sz w:val="19"/>
                <w:szCs w:val="19"/>
              </w:rPr>
            </w:pPr>
            <w:r>
              <w:rPr>
                <w:rStyle w:val="4"/>
                <w:rFonts w:hint="eastAsia" w:ascii="宋体" w:hAnsi="宋体" w:eastAsia="宋体" w:cs="宋体"/>
                <w:sz w:val="24"/>
                <w:szCs w:val="24"/>
              </w:rPr>
              <w:t>注：打★号的为本项目的实质性要求，不允许有负偏离，否则视为无效投标。</w:t>
            </w:r>
          </w:p>
        </w:tc>
      </w:tr>
    </w:tbl>
    <w:p>
      <w:pPr>
        <w:pStyle w:val="6"/>
        <w:outlineLvl w:val="3"/>
        <w:rPr>
          <w:b/>
          <w:sz w:val="24"/>
        </w:rPr>
      </w:pPr>
    </w:p>
    <w:p>
      <w:pPr>
        <w:pStyle w:val="6"/>
        <w:outlineLvl w:val="3"/>
      </w:pPr>
      <w:r>
        <w:rPr>
          <w:b/>
          <w:sz w:val="24"/>
          <w:lang w:val="en-US"/>
        </w:rPr>
        <w:t>1</w:t>
      </w:r>
      <w:r>
        <w:rPr>
          <w:b/>
          <w:sz w:val="24"/>
        </w:rPr>
        <w:t>.2.3人员配置要求</w:t>
      </w:r>
    </w:p>
    <w:p>
      <w:pPr>
        <w:pStyle w:val="6"/>
      </w:pPr>
      <w:r>
        <w:t>采购包1：</w:t>
      </w:r>
    </w:p>
    <w:p>
      <w:pPr>
        <w:pStyle w:val="6"/>
      </w:pPr>
      <w:r>
        <w:t>详见</w:t>
      </w:r>
      <w:r>
        <w:rPr>
          <w:lang w:val="en-US"/>
        </w:rPr>
        <w:t>1</w:t>
      </w:r>
      <w:r>
        <w:t>.2.2服务要求</w:t>
      </w:r>
    </w:p>
    <w:p>
      <w:pPr>
        <w:pStyle w:val="6"/>
        <w:outlineLvl w:val="3"/>
      </w:pPr>
      <w:r>
        <w:rPr>
          <w:b/>
          <w:sz w:val="24"/>
          <w:lang w:val="en-US"/>
        </w:rPr>
        <w:t>1</w:t>
      </w:r>
      <w:r>
        <w:rPr>
          <w:b/>
          <w:sz w:val="24"/>
        </w:rPr>
        <w:t>.2.4设施设备配置要求</w:t>
      </w:r>
    </w:p>
    <w:p>
      <w:pPr>
        <w:pStyle w:val="6"/>
      </w:pPr>
      <w:r>
        <w:t>采购包1：</w:t>
      </w:r>
    </w:p>
    <w:p>
      <w:pPr>
        <w:pStyle w:val="6"/>
      </w:pPr>
      <w:r>
        <w:t>详见</w:t>
      </w:r>
      <w:r>
        <w:rPr>
          <w:lang w:val="en-US"/>
        </w:rPr>
        <w:t>1</w:t>
      </w:r>
      <w:r>
        <w:t>.2.2服务要求</w:t>
      </w:r>
    </w:p>
    <w:p>
      <w:pPr>
        <w:pStyle w:val="6"/>
        <w:outlineLvl w:val="3"/>
      </w:pPr>
      <w:r>
        <w:rPr>
          <w:b/>
          <w:sz w:val="24"/>
          <w:lang w:val="en-US"/>
        </w:rPr>
        <w:t>1</w:t>
      </w:r>
      <w:r>
        <w:rPr>
          <w:b/>
          <w:sz w:val="24"/>
        </w:rPr>
        <w:t>.2.5其他要求</w:t>
      </w:r>
    </w:p>
    <w:p>
      <w:pPr>
        <w:pStyle w:val="6"/>
      </w:pPr>
      <w:r>
        <w:t>采购包1：</w:t>
      </w:r>
    </w:p>
    <w:p>
      <w:pPr>
        <w:pStyle w:val="6"/>
      </w:pPr>
      <w:r>
        <w:t>详见3.2.2服务要求</w:t>
      </w:r>
    </w:p>
    <w:p>
      <w:pPr>
        <w:pStyle w:val="6"/>
        <w:outlineLvl w:val="2"/>
      </w:pPr>
      <w:r>
        <w:rPr>
          <w:b/>
          <w:sz w:val="28"/>
          <w:lang w:val="en-US"/>
        </w:rPr>
        <w:t>1</w:t>
      </w:r>
      <w:r>
        <w:rPr>
          <w:b/>
          <w:sz w:val="28"/>
        </w:rPr>
        <w:t>.3商务要求</w:t>
      </w:r>
    </w:p>
    <w:p>
      <w:pPr>
        <w:pStyle w:val="6"/>
        <w:outlineLvl w:val="3"/>
      </w:pPr>
      <w:r>
        <w:rPr>
          <w:b/>
          <w:sz w:val="24"/>
          <w:lang w:val="en-US"/>
        </w:rPr>
        <w:t>1</w:t>
      </w:r>
      <w:r>
        <w:rPr>
          <w:b/>
          <w:sz w:val="24"/>
        </w:rPr>
        <w:t>.3.1服务期限</w:t>
      </w:r>
    </w:p>
    <w:p>
      <w:pPr>
        <w:pStyle w:val="6"/>
      </w:pPr>
      <w:r>
        <w:t>采购包1：</w:t>
      </w:r>
    </w:p>
    <w:p>
      <w:pPr>
        <w:pStyle w:val="6"/>
      </w:pPr>
      <w:r>
        <w:t xml:space="preserve"> 自合同签订之日起365日</w:t>
      </w:r>
    </w:p>
    <w:p>
      <w:pPr>
        <w:pStyle w:val="6"/>
        <w:outlineLvl w:val="3"/>
      </w:pPr>
      <w:r>
        <w:rPr>
          <w:b/>
          <w:sz w:val="24"/>
          <w:lang w:val="en-US"/>
        </w:rPr>
        <w:t>1</w:t>
      </w:r>
      <w:r>
        <w:rPr>
          <w:b/>
          <w:sz w:val="24"/>
        </w:rPr>
        <w:t>.3.2服务地点</w:t>
      </w:r>
    </w:p>
    <w:p>
      <w:pPr>
        <w:pStyle w:val="6"/>
      </w:pPr>
      <w:r>
        <w:t>采购包1：</w:t>
      </w:r>
    </w:p>
    <w:p>
      <w:pPr>
        <w:pStyle w:val="6"/>
      </w:pPr>
      <w:r>
        <w:t>成都市新津区花源街道办事处</w:t>
      </w:r>
    </w:p>
    <w:p>
      <w:pPr>
        <w:pStyle w:val="6"/>
        <w:outlineLvl w:val="3"/>
      </w:pPr>
      <w:r>
        <w:rPr>
          <w:b/>
          <w:sz w:val="24"/>
          <w:lang w:val="en-US"/>
        </w:rPr>
        <w:t>1.</w:t>
      </w:r>
      <w:r>
        <w:rPr>
          <w:b/>
          <w:sz w:val="24"/>
        </w:rPr>
        <w:t>3.3考核（验收）标准和方法</w:t>
      </w:r>
    </w:p>
    <w:p>
      <w:pPr>
        <w:pStyle w:val="6"/>
      </w:pPr>
      <w:r>
        <w:t>采购包1：</w:t>
      </w:r>
    </w:p>
    <w:p>
      <w:pPr>
        <w:pStyle w:val="6"/>
      </w:pPr>
      <w:r>
        <w:t>1.验收办法 严格按照政府采购相关法律法规以及《财政部关于进一步加强政府采购需求和履约验收管理的指导意见》(财库〔2016〕205号)、《政府采购需求管理办法》（财库（2021）22号）以及本项目招标文件中服务要求的考核标准和办法进行验收。 2.验收方式 单位内部验收。 3.验收程序 分期验收，按季度定期或不定期考评。 4.物业服务质量考核办法（说明：提供承诺函承诺） （1）在合同服务期限内，由采购人负责每季度对中标人服务质量进行考核（《住宅物业服务考核标准表》），并于次月5日前将考核结果告知中标人，根据考核结果结算季度服务费用。 （2）中标人季度服务质量考核结果分值90分（含）及以上的，考核结果为合格，按照季度服务费用的100%进行结算并支付；中标人季度服务质量考核结果分值低于90分的，采购人有权要求中标人限期整改，整改完成并达到约定的服务标准的，按照季度服务费用的100%进行结算并支付；逾期未整改或整改不合格的，按照季度服务费用的80%进行结算并支付，扣除剩余20%。 （3）若中标人在一个服务年度内，出现下列情况的，采购人有权解除合同并有权委托第三方开展物业服务工作，由此产生的费用由中标人承担或在应付给中标人费用中扣除，中标人造成采购人经济损失的，应给予采购人相应的经济赔偿。 1）连续两次或累计三次季度服务质量考核结果分值低于90分的且逾期未整改或整改不合格的； 2）连续两次或累计三次季度服务质量考核结果分值低于80分； 3）出现一次季度服务质量考核结果分值低于60分； 4）出现一次季度服务质量考核结果分值低于80分且逾期未整改或整改不合格的。</w:t>
      </w:r>
    </w:p>
    <w:p>
      <w:pPr>
        <w:pStyle w:val="6"/>
        <w:outlineLvl w:val="3"/>
      </w:pPr>
      <w:r>
        <w:rPr>
          <w:b/>
          <w:sz w:val="24"/>
          <w:lang w:val="en-US"/>
        </w:rPr>
        <w:t>1</w:t>
      </w:r>
      <w:r>
        <w:rPr>
          <w:b/>
          <w:sz w:val="24"/>
        </w:rPr>
        <w:t>.3.4支付方式</w:t>
      </w:r>
    </w:p>
    <w:p>
      <w:pPr>
        <w:pStyle w:val="6"/>
      </w:pPr>
      <w:r>
        <w:t>采购包1：</w:t>
      </w:r>
    </w:p>
    <w:p>
      <w:pPr>
        <w:pStyle w:val="6"/>
        <w:rPr>
          <w:rFonts w:hint="eastAsia" w:eastAsiaTheme="minorEastAsia"/>
          <w:lang w:val="en-US" w:eastAsia="zh-CN"/>
        </w:rPr>
      </w:pPr>
      <w:r>
        <w:t>分期付款</w:t>
      </w:r>
      <w:r>
        <w:rPr>
          <w:rFonts w:hint="eastAsia"/>
          <w:lang w:eastAsia="zh-CN"/>
        </w:rPr>
        <w:t>。</w:t>
      </w:r>
    </w:p>
    <w:p>
      <w:pPr>
        <w:pStyle w:val="6"/>
        <w:outlineLvl w:val="3"/>
      </w:pPr>
      <w:r>
        <w:rPr>
          <w:b/>
          <w:sz w:val="24"/>
          <w:lang w:val="en-US"/>
        </w:rPr>
        <w:t>1</w:t>
      </w:r>
      <w:r>
        <w:rPr>
          <w:b/>
          <w:sz w:val="24"/>
        </w:rPr>
        <w:t>.3.5.支付约定</w:t>
      </w:r>
    </w:p>
    <w:p>
      <w:pPr>
        <w:pStyle w:val="6"/>
        <w:rPr>
          <w:rFonts w:hint="eastAsia"/>
          <w:lang w:val="en-US" w:eastAsia="zh-CN"/>
        </w:rPr>
      </w:pPr>
      <w:r>
        <w:rPr>
          <w:rFonts w:hint="eastAsia"/>
          <w:lang w:val="en-US" w:eastAsia="zh-CN"/>
        </w:rPr>
        <w:t>1、 付款条件说明： 中标供应商满足合同约定支付条件的，采购人自收到供应商出具有效的税务发票后10个工作日内支付上一季度服务费用。 ，达到付款条件起 10 日内，支付合同总金额的 25.00%。</w:t>
      </w:r>
    </w:p>
    <w:p>
      <w:pPr>
        <w:pStyle w:val="6"/>
        <w:rPr>
          <w:rFonts w:hint="eastAsia"/>
          <w:lang w:val="en-US" w:eastAsia="zh-CN"/>
        </w:rPr>
      </w:pPr>
      <w:r>
        <w:rPr>
          <w:rFonts w:hint="eastAsia"/>
          <w:lang w:val="en-US" w:eastAsia="zh-CN"/>
        </w:rPr>
        <w:t>2、 付款条件说明： 中标供应商满足合同约定支付条件的，采购人自收到供应商出具有效的税务发票后10个工作日内支付上一季度服务费用。 ，达到付款条件起 10 日内，支付合同总金额的 25.00%。</w:t>
      </w:r>
    </w:p>
    <w:p>
      <w:pPr>
        <w:pStyle w:val="6"/>
        <w:rPr>
          <w:rFonts w:hint="eastAsia"/>
          <w:lang w:val="en-US" w:eastAsia="zh-CN"/>
        </w:rPr>
      </w:pPr>
      <w:r>
        <w:rPr>
          <w:rFonts w:hint="eastAsia"/>
          <w:lang w:val="en-US" w:eastAsia="zh-CN"/>
        </w:rPr>
        <w:t>3、 付款条件说明： 中标供应商满足合同约定支付条件的，采购人自收到供应商出具有效的税务发票后10个工作日内支付上一季度服务费用。 ，达到付款条件起 10 日内，支付合同总金额的 25.00%。</w:t>
      </w:r>
    </w:p>
    <w:p>
      <w:pPr>
        <w:pStyle w:val="6"/>
      </w:pPr>
      <w:r>
        <w:rPr>
          <w:rFonts w:hint="eastAsia"/>
          <w:lang w:val="en-US" w:eastAsia="zh-CN"/>
        </w:rPr>
        <w:t>4、 付款条件说明： 中标供应商满足合同约定支付条件的，采购人自收到供应商出具有效的税务发票后10个工作日内支付上一季度服务费用。 ，达到付款条件起 10 日内，支付合同总金额的 25.00%。</w:t>
      </w:r>
      <w:bookmarkStart w:id="0" w:name="_GoBack"/>
      <w:bookmarkEnd w:id="0"/>
    </w:p>
    <w:p>
      <w:pPr>
        <w:pStyle w:val="6"/>
        <w:outlineLvl w:val="3"/>
      </w:pPr>
      <w:r>
        <w:rPr>
          <w:b/>
          <w:sz w:val="24"/>
          <w:lang w:val="en-US"/>
        </w:rPr>
        <w:t>1</w:t>
      </w:r>
      <w:r>
        <w:rPr>
          <w:b/>
          <w:sz w:val="24"/>
        </w:rPr>
        <w:t>.3.6违约责任与解决争议的方法</w:t>
      </w:r>
    </w:p>
    <w:p>
      <w:pPr>
        <w:pStyle w:val="6"/>
      </w:pPr>
      <w:r>
        <w:t>采购包1：</w:t>
      </w:r>
    </w:p>
    <w:p>
      <w:pPr>
        <w:pStyle w:val="6"/>
      </w:pPr>
      <w:r>
        <w:t>（一）合同签订与解除 合同签订：供应商应在中标通知书发出之日起三十日内与采购人签订采购合同。 合同解除：为确保本项目物业管理服务的整体性，若中标人在服务期限内任一个服务合同发生解除的，则中标人就本项目的所有合同均同时解除。 （二）违约责任 （1）如因中标供应商工作人员在履行职务过程中的疏忽、失职、过错等故意或者过失原因给采购人造成损失或侵害的，中标供应商对此应承担全部的赔偿责任。 （2）中标供应商提供的服务不符合投标/响应文件、报价文件或本合同规定的，每项违约乙方须向甲方支付本合同总价10%的违约金。 （3）中标供应商未能按本合同规定时间提供服务，从逾期之日起每日按本合同总价 15‰的数额向采购人支付违约金；逾期半个月以上的，采购人有权解除合同，由此造成的采购人经济损失由中标供应商承担。 （4）供应商未能履行物业服务合同的约定或在履行物业服务的工作中或因物业服务质量问题，给采购人或任何第三人造成损害的（包括人身、财产等损害），应当依法承担相应的法律责任。如因此使采购人承担赔偿或遭受损失，采购人有权在承担赔偿或损失后向成交供应商追偿。 （5）中标供应商如违反合同约定，擅自提高其他费用标准的，对超出标准的部分，采购人有权拒绝支付；已经支付的，采购人有权要求成交供应商返还。 （6）采购人无正当理由拒绝接受中标供应商服务的，采购人应对供应商受到的损失据实给予赔偿或者补偿。采购人逾期付款的，则应按应付金额每日15 ‰标准向中标人赔付违约金。  （7）其余按照合同约定执行。</w:t>
      </w:r>
    </w:p>
    <w:p>
      <w:pPr>
        <w:pStyle w:val="6"/>
        <w:jc w:val="left"/>
        <w:outlineLvl w:val="2"/>
      </w:pPr>
      <w:r>
        <w:rPr>
          <w:b/>
          <w:sz w:val="28"/>
          <w:lang w:val="en-US"/>
        </w:rPr>
        <w:t>1</w:t>
      </w:r>
      <w:r>
        <w:rPr>
          <w:b/>
          <w:sz w:val="28"/>
        </w:rPr>
        <w:t>.4其他要求</w:t>
      </w:r>
    </w:p>
    <w:p>
      <w:pPr>
        <w:pStyle w:val="6"/>
      </w:pPr>
      <w:r>
        <w:t>详见</w:t>
      </w:r>
      <w:r>
        <w:rPr>
          <w:lang w:val="en-US"/>
        </w:rPr>
        <w:t>1</w:t>
      </w:r>
      <w:r>
        <w:t>.2.2服务要求</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1"/>
      <w:numFmt w:val="decimal"/>
      <w:lvlText w:val="%1."/>
      <w:lvlJc w:val="left"/>
      <w:pPr>
        <w:ind w:left="0"/>
      </w:pPr>
    </w:lvl>
    <w:lvl w:ilvl="1" w:tentative="0">
      <w:start w:val="1"/>
      <w:numFmt w:val="none"/>
      <w:lvlText w:val="%2."/>
      <w:lvlJc w:val="left"/>
      <w:pPr>
        <w:tabs>
          <w:tab w:val="left" w:pos="1440"/>
        </w:tabs>
        <w:ind w:left="1440" w:hanging="360"/>
      </w:pPr>
      <w:rPr>
        <w:sz w:val="24"/>
        <w:szCs w:val="24"/>
      </w:rPr>
    </w:lvl>
    <w:lvl w:ilvl="2" w:tentative="0">
      <w:start w:val="1"/>
      <w:numFmt w:val="none"/>
      <w:lvlText w:val="%3."/>
      <w:lvlJc w:val="left"/>
      <w:pPr>
        <w:tabs>
          <w:tab w:val="left" w:pos="2160"/>
        </w:tabs>
        <w:ind w:left="2160" w:hanging="360"/>
      </w:pPr>
      <w:rPr>
        <w:sz w:val="24"/>
        <w:szCs w:val="24"/>
      </w:rPr>
    </w:lvl>
    <w:lvl w:ilvl="3" w:tentative="0">
      <w:start w:val="1"/>
      <w:numFmt w:val="none"/>
      <w:lvlText w:val="%4."/>
      <w:lvlJc w:val="left"/>
      <w:pPr>
        <w:tabs>
          <w:tab w:val="left" w:pos="2517"/>
        </w:tabs>
        <w:ind w:left="2880" w:hanging="360"/>
      </w:pPr>
      <w:rPr>
        <w:sz w:val="24"/>
        <w:szCs w:val="24"/>
      </w:rPr>
    </w:lvl>
    <w:lvl w:ilvl="4" w:tentative="0">
      <w:start w:val="1"/>
      <w:numFmt w:val="none"/>
      <w:lvlText w:val="%5."/>
      <w:lvlJc w:val="left"/>
      <w:pPr>
        <w:tabs>
          <w:tab w:val="left" w:pos="3238"/>
        </w:tabs>
        <w:ind w:left="3600" w:hanging="360"/>
      </w:pPr>
      <w:rPr>
        <w:sz w:val="24"/>
        <w:szCs w:val="24"/>
      </w:rPr>
    </w:lvl>
    <w:lvl w:ilvl="5" w:tentative="0">
      <w:start w:val="1"/>
      <w:numFmt w:val="none"/>
      <w:lvlText w:val="%6."/>
      <w:lvlJc w:val="left"/>
      <w:pPr>
        <w:tabs>
          <w:tab w:val="left" w:pos="3958"/>
        </w:tabs>
        <w:ind w:left="4320" w:hanging="360"/>
      </w:pPr>
      <w:rPr>
        <w:sz w:val="24"/>
        <w:szCs w:val="24"/>
      </w:rPr>
    </w:lvl>
    <w:lvl w:ilvl="6" w:tentative="0">
      <w:start w:val="1"/>
      <w:numFmt w:val="none"/>
      <w:lvlText w:val="%7."/>
      <w:lvlJc w:val="left"/>
      <w:pPr>
        <w:tabs>
          <w:tab w:val="left" w:pos="4678"/>
        </w:tabs>
        <w:ind w:left="5040" w:hanging="360"/>
      </w:pPr>
      <w:rPr>
        <w:sz w:val="24"/>
        <w:szCs w:val="24"/>
      </w:rPr>
    </w:lvl>
    <w:lvl w:ilvl="7" w:tentative="0">
      <w:start w:val="1"/>
      <w:numFmt w:val="none"/>
      <w:lvlText w:val="%8."/>
      <w:lvlJc w:val="left"/>
      <w:pPr>
        <w:tabs>
          <w:tab w:val="left" w:pos="5398"/>
        </w:tabs>
        <w:ind w:left="5760" w:hanging="360"/>
      </w:pPr>
      <w:rPr>
        <w:sz w:val="24"/>
        <w:szCs w:val="24"/>
      </w:rPr>
    </w:lvl>
    <w:lvl w:ilvl="8" w:tentative="0">
      <w:start w:val="1"/>
      <w:numFmt w:val="none"/>
      <w:lvlText w:val="%9."/>
      <w:lvlJc w:val="left"/>
      <w:pPr>
        <w:tabs>
          <w:tab w:val="left" w:pos="6118"/>
        </w:tabs>
        <w:ind w:left="6480" w:hanging="360"/>
      </w:pPr>
      <w:rPr>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DF170F"/>
    <w:rsid w:val="38491AF9"/>
    <w:rsid w:val="3EDF170F"/>
    <w:rsid w:val="449C25CB"/>
    <w:rsid w:val="49710B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4">
    <w:name w:val="Strong"/>
    <w:basedOn w:val="3"/>
    <w:qFormat/>
    <w:uiPriority w:val="0"/>
    <w:rPr>
      <w:b/>
    </w:rPr>
  </w:style>
  <w:style w:type="paragraph" w:customStyle="1" w:styleId="6">
    <w:name w:val="null3"/>
    <w:hidden/>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2023-11-24T02:29:00Z</dcterms:created>
  <dc:creator>肖婷</dc:creator>
  <cp:lastModifiedBy>肖婷</cp:lastModifiedBy>
  <dcterms:modified xsi:type="dcterms:W3CDTF">2023-11-24T03:39:24Z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