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p>
    <w:p>
      <w:pPr>
        <w:pStyle w:val="null3"/>
      </w:pPr>
      <w:r>
        <w:br/>
      </w:r>
      <w:r>
        <w:br/>
      </w:r>
      <w:r>
        <w:br/>
      </w:r>
      <w:r>
        <w:br/>
      </w:r>
      <w:r>
        <w:br/>
      </w:r>
    </w:p>
    <w:p>
      <w:pPr>
        <w:pStyle w:val="null3"/>
        <w:jc w:val="center"/>
        <w:outlineLvl w:val="0"/>
      </w:pPr>
      <w:r>
        <w:rPr>
          <w:b/>
          <w:sz w:val="48"/>
        </w:rPr>
        <w:t>竞 争 性 谈 判 文 件</w:t>
      </w:r>
      <w:r>
        <w:br/>
      </w:r>
      <w:r>
        <w:br/>
      </w:r>
      <w:r>
        <w:br/>
      </w:r>
    </w:p>
    <w:p>
      <w:pPr>
        <w:pStyle w:val="null3"/>
        <w:jc w:val="center"/>
        <w:outlineLvl w:val="1"/>
      </w:pPr>
      <w:r>
        <w:rPr>
          <w:b/>
          <w:sz w:val="36"/>
        </w:rPr>
        <w:t>（货物类）</w:t>
      </w:r>
      <w:r>
        <w:br/>
      </w:r>
      <w:r>
        <w:br/>
      </w:r>
      <w:r>
        <w:br/>
      </w:r>
      <w:r>
        <w:br/>
      </w:r>
      <w:r>
        <w:br/>
      </w:r>
      <w:r>
        <w:br/>
      </w:r>
      <w:r>
        <w:br/>
      </w:r>
      <w:r>
        <w:br/>
      </w:r>
      <w:r>
        <w:br/>
      </w:r>
      <w:r>
        <w:br/>
      </w:r>
      <w:r>
        <w:br/>
      </w:r>
    </w:p>
    <w:p>
      <w:pPr>
        <w:pStyle w:val="null3"/>
        <w:jc w:val="center"/>
        <w:outlineLvl w:val="2"/>
      </w:pPr>
      <w:r>
        <w:rPr>
          <w:b/>
          <w:sz w:val="28"/>
        </w:rPr>
        <w:t>采购项目名称：</w:t>
      </w:r>
      <w:r>
        <w:rPr>
          <w:b/>
          <w:sz w:val="28"/>
        </w:rPr>
        <w:t>崇州市民生工程，成都运动角健身设施安装及维修维护采购项目</w:t>
      </w:r>
    </w:p>
    <w:p>
      <w:pPr>
        <w:pStyle w:val="null3"/>
        <w:jc w:val="center"/>
        <w:outlineLvl w:val="2"/>
      </w:pPr>
      <w:r>
        <w:rPr>
          <w:b/>
          <w:sz w:val="28"/>
        </w:rPr>
        <w:t>采购项目编号：</w:t>
      </w:r>
      <w:r>
        <w:rPr>
          <w:b/>
          <w:sz w:val="28"/>
        </w:rPr>
        <w:t>N5101842023000128</w:t>
      </w:r>
      <w:r>
        <w:br/>
      </w:r>
      <w:r>
        <w:br/>
      </w:r>
      <w:r>
        <w:br/>
      </w:r>
    </w:p>
    <w:p>
      <w:pPr>
        <w:pStyle w:val="null3"/>
        <w:jc w:val="center"/>
        <w:outlineLvl w:val="2"/>
      </w:pPr>
      <w:r>
        <w:rPr>
          <w:b/>
          <w:sz w:val="28"/>
        </w:rPr>
        <w:t>崇州市文化体育和旅游局</w:t>
      </w:r>
    </w:p>
    <w:p>
      <w:pPr>
        <w:pStyle w:val="null3"/>
        <w:jc w:val="center"/>
        <w:outlineLvl w:val="2"/>
      </w:pPr>
      <w:r>
        <w:rPr>
          <w:b/>
          <w:sz w:val="28"/>
        </w:rPr>
        <w:t>成都西正招标代理有限公司</w:t>
      </w:r>
      <w:r>
        <w:rPr>
          <w:b/>
          <w:sz w:val="28"/>
        </w:rPr>
        <w:t>共同编制</w:t>
      </w:r>
    </w:p>
    <w:p>
      <w:pPr>
        <w:pStyle w:val="null3"/>
        <w:jc w:val="center"/>
        <w:outlineLvl w:val="2"/>
      </w:pPr>
      <w:r>
        <w:rPr>
          <w:b/>
          <w:sz w:val="28"/>
        </w:rPr>
        <w:t>2023年07月19日</w:t>
      </w:r>
    </w:p>
    <w:p>
      <w:pPr>
        <w:pStyle w:val="null3"/>
        <w:jc w:val="center"/>
        <w:outlineLvl w:val="1"/>
      </w:pPr>
      <w:r>
        <w:rPr>
          <w:b/>
          <w:sz w:val="36"/>
        </w:rPr>
        <w:t>第一章 竞争性谈判邀请</w:t>
      </w:r>
    </w:p>
    <w:p>
      <w:pPr>
        <w:pStyle w:val="null3"/>
        <w:ind w:firstLine="480"/>
      </w:pPr>
      <w:r>
        <w:rPr/>
        <w:t>成都西正招标代理有限公司</w:t>
      </w:r>
      <w:r>
        <w:rPr/>
        <w:t>（以下简称“代理机构”）受</w:t>
      </w:r>
      <w:r>
        <w:rPr/>
        <w:t>崇州市文化体育和旅游局</w:t>
      </w:r>
      <w:r>
        <w:rPr/>
        <w:t>委托，拟对</w:t>
      </w:r>
      <w:r>
        <w:rPr/>
        <w:t>崇州市民生工程，成都运动角健身设施安装及维修维护采购项目</w:t>
      </w:r>
      <w:r>
        <w:rPr/>
        <w:t>采用竞争性谈判采购方式进行采购，兹邀请供应商参加本项目的竞争性谈判。</w:t>
      </w:r>
    </w:p>
    <w:p>
      <w:pPr>
        <w:pStyle w:val="null3"/>
        <w:outlineLvl w:val="2"/>
      </w:pPr>
      <w:r>
        <w:rPr>
          <w:b/>
          <w:sz w:val="28"/>
        </w:rPr>
        <w:t>一、项目编号：</w:t>
      </w:r>
      <w:r>
        <w:rPr>
          <w:b/>
          <w:sz w:val="28"/>
        </w:rPr>
        <w:t>N5101842023000128</w:t>
      </w:r>
    </w:p>
    <w:p>
      <w:pPr>
        <w:pStyle w:val="null3"/>
        <w:outlineLvl w:val="2"/>
      </w:pPr>
      <w:r>
        <w:rPr>
          <w:b/>
          <w:sz w:val="28"/>
        </w:rPr>
        <w:t>二、项目名称：</w:t>
      </w:r>
      <w:r>
        <w:rPr>
          <w:b/>
          <w:sz w:val="28"/>
        </w:rPr>
        <w:t>崇州市民生工程，成都运动角健身设施安装及维修维护采购项目</w:t>
      </w:r>
    </w:p>
    <w:p>
      <w:pPr>
        <w:pStyle w:val="null3"/>
        <w:outlineLvl w:val="2"/>
      </w:pPr>
      <w:r>
        <w:rPr>
          <w:b/>
          <w:sz w:val="28"/>
        </w:rPr>
        <w:t>三、谈判项目简介：</w:t>
      </w:r>
    </w:p>
    <w:p>
      <w:pPr>
        <w:pStyle w:val="null3"/>
        <w:ind w:firstLine="480"/>
      </w:pPr>
      <w:r>
        <w:rPr/>
        <w:t>崇州市文化体育和旅游局因工作需要采购崇州市民生工程，成都运动角健身设施一批，现通过竞争性谈判的方式确定一位符合本项目要求的投标供应商做为本项目执行单位。</w:t>
      </w:r>
    </w:p>
    <w:p>
      <w:pPr>
        <w:pStyle w:val="null3"/>
        <w:outlineLvl w:val="2"/>
      </w:pPr>
      <w:r>
        <w:rPr>
          <w:b/>
          <w:sz w:val="28"/>
        </w:rPr>
        <w:t>四、邀请供应商：</w:t>
      </w:r>
    </w:p>
    <w:p>
      <w:pPr>
        <w:pStyle w:val="null3"/>
      </w:pPr>
    </w:p>
    <w:p>
      <w:pPr>
        <w:pStyle w:val="null3"/>
      </w:pPr>
    </w:p>
    <w:p>
      <w:pPr>
        <w:pStyle w:val="null3"/>
      </w:pPr>
      <w:r>
        <w:rPr/>
        <w:t>本次采购采取公告征集邀请谈判的供应商。</w:t>
      </w:r>
    </w:p>
    <w:p>
      <w:pPr>
        <w:pStyle w:val="null3"/>
      </w:pPr>
      <w:r>
        <w:rPr/>
        <w:t>公告征集：本次竞争性谈判邀请在四川政府采购网（www.ccgp-sichuan.gov.cn）上以公告形式发布，公告期限自公告发布之日起3个工作日。</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p>
    <w:p>
      <w:pPr>
        <w:pStyle w:val="null3"/>
      </w:pPr>
    </w:p>
    <w:p>
      <w:pPr>
        <w:pStyle w:val="null3"/>
      </w:pPr>
      <w:r>
        <w:rPr/>
        <w:t>采购包1（合同包一）：属于专门面向中小企业采购。</w:t>
      </w:r>
    </w:p>
    <w:p>
      <w:pPr>
        <w:pStyle w:val="null3"/>
        <w:ind w:firstLine="480"/>
      </w:pPr>
      <w:r>
        <w:rPr/>
        <w:t>注：监狱企业和残疾人福利性单位视同小微企业，符合中小企业划分标准的个体工商户视同中小企业。</w:t>
      </w:r>
    </w:p>
    <w:p>
      <w:pPr>
        <w:pStyle w:val="null3"/>
        <w:ind w:firstLine="480"/>
      </w:pPr>
      <w:r>
        <w:rPr/>
        <w:t>（三）本项目的特定资格要求：</w:t>
      </w:r>
    </w:p>
    <w:p>
      <w:pPr>
        <w:pStyle w:val="null3"/>
      </w:pPr>
    </w:p>
    <w:p>
      <w:pPr>
        <w:pStyle w:val="null3"/>
      </w:pPr>
    </w:p>
    <w:p>
      <w:pPr>
        <w:pStyle w:val="null3"/>
      </w:pPr>
    </w:p>
    <w:p>
      <w:pPr>
        <w:pStyle w:val="null3"/>
      </w:pPr>
      <w:r>
        <w:rPr/>
        <w:t>采购包1：</w:t>
      </w:r>
    </w:p>
    <w:p>
      <w:pPr>
        <w:pStyle w:val="null3"/>
      </w:pPr>
      <w:r>
        <w:rPr/>
        <w:t>1、特殊资格条件（描述：1、特殊资格条件（描述：1、行贿犯罪记录：在行贿犯罪信息查询期限内，投标人及其现任法定代表人、主要负责人没有行贿犯罪记录的书面声明材料。【说明：①按声明函的内容及要求提供书面声明材料；投标文件中不需提供中国裁判文书网（https://wenshu.court.gov.cn）查询结果的证明材料；②在行贿犯罪信息查询期限内，供应商及其现任法定代表人、主要负责人没有行贿犯罪记录。】 2、未被列入失信被执行人、重大税收违法案件当事人名单、政府采购严重违法失信行为记录名单：（1）投标人未列入失信被执行人、重大税收违法案件当事人名单、政府采购严重违法失信行为记录名单的书面声明材料。【说明：①按声明函的内容及要求提供书面声明材料；②投标人未列入失信被执行人、重大税收违法案件当事人名单、政府采购严重违法失信行为记录名单。】（2）资格审查小组根据“信用中国”和“中国政府采购网”网站的查询结果，在资格审查期间对投标人是否被列入失信被执行人、重大税收违法案件当事人名单、政府采购严重违法失信行为记录名单进行审查。【说明：投标人未列入失信被执行人、重大税收违法案件当事人名单、政府采购严重违法失信行为记录名单。】 3、未处于被行政部门禁止参与政府采购活动的期限内：投标人未处于被行政部门禁止参与政府采购活动的期限内。【说明：①按声明函的内容及要求提供书面声明材料；②供应商未处于被行政部门禁止参与政府采购活动的期限内。】 4、联合体投标：非联合体投标。 5、不属于国家相关法律法规规定的其他禁止参加投标的情形：（1）根据招标文件的要求不属于禁止参加投标或投标无效的供应商；（2）资格审查小组未发现或者未知晓投标人存在属于国家相关法律法规规定的禁止参加投标或投标无效的供应商。））</w:t>
      </w:r>
    </w:p>
    <w:p>
      <w:pPr>
        <w:pStyle w:val="null3"/>
        <w:outlineLvl w:val="2"/>
      </w:pPr>
      <w:r>
        <w:rPr>
          <w:b/>
          <w:sz w:val="28"/>
        </w:rPr>
        <w:t>六、电子化采购相关事项</w:t>
      </w:r>
    </w:p>
    <w:p>
      <w:pPr>
        <w:pStyle w:val="null3"/>
        <w:ind w:firstLine="480"/>
      </w:pPr>
      <w:r>
        <w:rPr/>
        <w:t>本项目实行电子化采购，使用的电子化交易系统为：四川省政府采购一体化平台（以下简称“采购一体化平台”）的项目电子化交易系统（以下简称项目电子化交易系统），登录方式及地址：通过四川政府采购网（www.ccgp-sichuan.gov.cn）首页供应商用户登录采购一体化平台，进入项目电子化交易系统。供应商应当按照以下要求，参与本次电子化采购活动。</w:t>
      </w:r>
    </w:p>
    <w:p>
      <w:pPr>
        <w:pStyle w:val="null3"/>
        <w:ind w:firstLine="480"/>
      </w:pPr>
      <w:r>
        <w:rPr/>
        <w:t>（一）供应商应当自行在四川政府采购网-办事指南查看相应的系统操作指南，并严格按照操作指南要求进行系统操作。在登录、使用采购一体化平台前，应当按照要求完成供应商注册和信息完善，加入采购一体化平台供应商库。</w:t>
      </w:r>
    </w:p>
    <w:p>
      <w:pPr>
        <w:pStyle w:val="null3"/>
        <w:ind w:firstLine="480"/>
      </w:pPr>
      <w:r>
        <w:rPr/>
        <w:t>（二）供应商应当使用纳入全国公共资源交易平台（四川省）数字证书互认范围的数字证书及签章（以下简称“互认的证书及签章”）进行系统操作。供应商使用互认的证书及签章登录采购一体化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四川政府采购网-办事指南。</w:t>
      </w:r>
    </w:p>
    <w:p>
      <w:pPr>
        <w:pStyle w:val="null3"/>
        <w:ind w:firstLine="480"/>
      </w:pPr>
      <w:r>
        <w:rPr/>
        <w:t>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（三）供应商应当自行准备电子化采购所需的计算机终端、软硬件及网络环境，承担因准备不足产生的不利后果。</w:t>
      </w:r>
    </w:p>
    <w:p>
      <w:pPr>
        <w:pStyle w:val="null3"/>
        <w:ind w:firstLine="480"/>
      </w:pPr>
      <w:r>
        <w:rPr/>
        <w:t>（四）采购一体化平台技术支持：</w:t>
      </w:r>
    </w:p>
    <w:p>
      <w:pPr>
        <w:pStyle w:val="null3"/>
        <w:ind w:firstLine="480"/>
      </w:pPr>
      <w:r>
        <w:rPr/>
        <w:t>在线客服：通过四川政府采购网-在线客服进行咨询</w:t>
      </w:r>
    </w:p>
    <w:p>
      <w:pPr>
        <w:pStyle w:val="null3"/>
        <w:ind w:firstLine="480"/>
      </w:pPr>
      <w:r>
        <w:rPr/>
        <w:t>400服务电话：4001600900</w:t>
      </w:r>
    </w:p>
    <w:p>
      <w:pPr>
        <w:pStyle w:val="null3"/>
        <w:ind w:firstLine="480"/>
      </w:pPr>
      <w:r>
        <w:rPr/>
        <w:t>CA及签章服务：通过四川政府采购网-办事指南进行查询</w:t>
      </w:r>
    </w:p>
    <w:p>
      <w:pPr>
        <w:pStyle w:val="null3"/>
        <w:outlineLvl w:val="2"/>
      </w:pPr>
      <w:r>
        <w:rPr>
          <w:b/>
          <w:sz w:val="28"/>
        </w:rPr>
        <w:t>七、竞争性谈判文件获取时间、方式及地址</w:t>
      </w:r>
    </w:p>
    <w:p>
      <w:pPr>
        <w:pStyle w:val="null3"/>
        <w:ind w:firstLine="480"/>
      </w:pPr>
      <w:r>
        <w:rPr/>
        <w:t>（一）谈判文件获取时间：详见采购公告或邀请书</w:t>
      </w:r>
    </w:p>
    <w:p>
      <w:pPr>
        <w:pStyle w:val="null3"/>
        <w:ind w:firstLine="480"/>
      </w:pPr>
      <w:r>
        <w:rPr/>
        <w:t>（二）在谈判文件获取开始时间前，采购人或代理机构将本项目谈判文件上传至项目电子化交易系统，免费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t>成功获取谈判文件后，采购人或代理机构进行澄清或者修改的，澄清或者修改的内容可能影响响应文件编制的，采购人或代理机构将通过项目电子化交易系统发布澄清或者修改后的谈判文件，供应商应当重新获取谈判文件。供应商未重新获取谈判文件或者未按照澄清或者修改后的谈判文件编制响应文件进行响应的，自行承担不利后果。</w:t>
      </w:r>
    </w:p>
    <w:p>
      <w:pPr>
        <w:pStyle w:val="null3"/>
        <w:jc w:val="left"/>
      </w:pPr>
      <w:r>
        <w:rPr/>
        <w:t>注：获取的谈判文件主体格式包括pdf、word两种格式版本，其中以pdf格式为准。</w:t>
      </w:r>
    </w:p>
    <w:p>
      <w:pPr>
        <w:pStyle w:val="null3"/>
        <w:outlineLvl w:val="2"/>
      </w:pPr>
      <w:r>
        <w:rPr>
          <w:b/>
          <w:sz w:val="28"/>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九、谈判方式</w:t>
      </w:r>
    </w:p>
    <w:p>
      <w:pPr>
        <w:pStyle w:val="null3"/>
        <w:ind w:firstLine="480"/>
      </w:pPr>
      <w:r>
        <w:rPr/>
        <w:t>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b/>
          <w:sz w:val="28"/>
        </w:rPr>
        <w:t>十、供应商信用融资</w:t>
      </w:r>
    </w:p>
    <w:p>
      <w:pPr>
        <w:pStyle w:val="null3"/>
        <w:ind w:firstLine="480"/>
      </w:pPr>
      <w:r>
        <w:rPr/>
        <w:t>根据《四川省财政厅关于推进四川省政府釆购供应商信用融资工作的通知》（川财采﹝2018﹞123号）文件，为助力解决政府采购成交供应商资金不足、融资难、融资贵的困难，促进供应商依法诚信参加政府采购活动，有融资需求的供应商可登录四川政府釆购网—金融服务平台，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采购人：</w:t>
      </w:r>
      <w:r>
        <w:rPr>
          <w:b/>
          <w:sz w:val="24"/>
        </w:rPr>
        <w:t>崇州市文化体育和旅游局</w:t>
      </w:r>
    </w:p>
    <w:p>
      <w:pPr>
        <w:pStyle w:val="null3"/>
      </w:pPr>
    </w:p>
    <w:p>
      <w:pPr>
        <w:pStyle w:val="null3"/>
      </w:pPr>
    </w:p>
    <w:p>
      <w:pPr>
        <w:pStyle w:val="null3"/>
      </w:pPr>
      <w:r>
        <w:rPr/>
        <w:t>地址：</w:t>
      </w:r>
      <w:r>
        <w:rPr/>
        <w:t>崇州市兴体街66号</w:t>
      </w:r>
    </w:p>
    <w:p>
      <w:pPr>
        <w:pStyle w:val="null3"/>
      </w:pPr>
      <w:r>
        <w:rPr/>
        <w:t>邮编：</w:t>
      </w:r>
      <w:r>
        <w:rPr/>
        <w:t>611230</w:t>
      </w:r>
    </w:p>
    <w:p>
      <w:pPr>
        <w:pStyle w:val="null3"/>
      </w:pPr>
      <w:r>
        <w:rPr/>
        <w:t>联系人：</w:t>
      </w:r>
      <w:r>
        <w:rPr/>
        <w:t>罗老师</w:t>
      </w:r>
    </w:p>
    <w:p>
      <w:pPr>
        <w:pStyle w:val="null3"/>
      </w:pPr>
      <w:r>
        <w:rPr/>
        <w:t>联系电话：</w:t>
      </w:r>
      <w:r>
        <w:rPr/>
        <w:t>028-82213702</w:t>
      </w:r>
    </w:p>
    <w:p>
      <w:pPr>
        <w:pStyle w:val="null3"/>
        <w:outlineLvl w:val="3"/>
      </w:pPr>
      <w:r>
        <w:rPr>
          <w:b/>
          <w:sz w:val="24"/>
        </w:rPr>
        <w:t>代理机构：</w:t>
      </w:r>
      <w:r>
        <w:rPr>
          <w:b/>
          <w:sz w:val="24"/>
        </w:rPr>
        <w:t>成都西正招标代理有限公司</w:t>
      </w:r>
    </w:p>
    <w:p>
      <w:pPr>
        <w:pStyle w:val="null3"/>
      </w:pPr>
    </w:p>
    <w:p>
      <w:pPr>
        <w:pStyle w:val="null3"/>
      </w:pPr>
    </w:p>
    <w:p>
      <w:pPr>
        <w:pStyle w:val="null3"/>
      </w:pPr>
      <w:r>
        <w:rPr/>
        <w:t>地址：</w:t>
      </w:r>
      <w:r>
        <w:rPr/>
        <w:t>崇州市世纪大道1396号1栋2楼1-4号</w:t>
      </w:r>
    </w:p>
    <w:p>
      <w:pPr>
        <w:pStyle w:val="null3"/>
      </w:pPr>
      <w:r>
        <w:rPr/>
        <w:t>邮编：</w:t>
      </w:r>
      <w:r>
        <w:rPr/>
        <w:t>611230</w:t>
      </w:r>
    </w:p>
    <w:p>
      <w:pPr>
        <w:pStyle w:val="null3"/>
      </w:pPr>
      <w:r>
        <w:rPr/>
        <w:t>联系人：</w:t>
      </w:r>
      <w:r>
        <w:rPr/>
        <w:t>高女士</w:t>
      </w:r>
    </w:p>
    <w:p>
      <w:pPr>
        <w:pStyle w:val="null3"/>
      </w:pPr>
      <w:r>
        <w:rPr/>
        <w:t>联系电话：</w:t>
      </w:r>
      <w:r>
        <w:rPr/>
        <w:t>028-67548233</w:t>
      </w:r>
    </w:p>
    <w:p>
      <w:pPr>
        <w:pStyle w:val="null3"/>
        <w:outlineLvl w:val="3"/>
      </w:pPr>
      <w:r>
        <w:rPr>
          <w:b/>
          <w:sz w:val="24"/>
        </w:rPr>
        <w:t>采购监督机构：</w:t>
      </w:r>
      <w:r>
        <w:rPr>
          <w:b/>
          <w:sz w:val="24"/>
        </w:rPr>
        <w:t>崇州市财政局</w:t>
      </w:r>
    </w:p>
    <w:p>
      <w:pPr>
        <w:pStyle w:val="null3"/>
        <w:ind w:firstLine="480"/>
      </w:pPr>
      <w:r>
        <w:rPr/>
        <w:t>联系人：</w:t>
      </w:r>
      <w:r>
        <w:rPr/>
        <w:t>粟老师</w:t>
      </w:r>
    </w:p>
    <w:p>
      <w:pPr>
        <w:pStyle w:val="null3"/>
        <w:ind w:firstLine="480"/>
      </w:pPr>
      <w:r>
        <w:rPr/>
        <w:t>联系电话：</w:t>
      </w:r>
      <w:r>
        <w:rPr/>
        <w:t>028-82313883</w:t>
      </w:r>
    </w:p>
    <w:p>
      <w:pPr>
        <w:pStyle w:val="null3"/>
      </w:pPr>
    </w:p>
    <w:p>
      <w:pPr>
        <w:pStyle w:val="null3"/>
      </w:pPr>
      <w:r>
        <w:rPr/>
        <w:t xml:space="preserve"> </w:t>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p>
          <w:p>
            <w:pPr>
              <w:pStyle w:val="null3"/>
            </w:pPr>
            <w:r>
              <w:rPr/>
              <w:t>采购包1：400,000.00元</w:t>
            </w:r>
            <w:r>
              <w:rPr/>
              <w:t>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最低评标价法(详见第五章)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p>
          <w:p>
            <w:pPr>
              <w:pStyle w:val="null3"/>
            </w:pPr>
            <w:r>
              <w:rPr/>
              <w:t>采购包1：不接受</w:t>
            </w:r>
          </w:p>
        </w:tc>
      </w:tr>
      <w:tr>
        <w:tc>
          <w:tcPr>
            <w:tcW w:type="dxa" w:w="1051"/>
          </w:tcPr>
          <w:p>
            <w:pPr>
              <w:pStyle w:val="null3"/>
            </w:pPr>
            <w:r>
              <w:rPr/>
              <w:t>5</w:t>
            </w:r>
          </w:p>
        </w:tc>
        <w:tc>
          <w:tcPr>
            <w:tcW w:type="dxa" w:w="2252"/>
          </w:tcPr>
          <w:p>
            <w:pPr>
              <w:pStyle w:val="null3"/>
            </w:pPr>
            <w:r>
              <w:rPr/>
              <w:t>落实节能、环保、无线局域网</w:t>
            </w:r>
          </w:p>
        </w:tc>
        <w:tc>
          <w:tcPr>
            <w:tcW w:type="dxa" w:w="5004"/>
          </w:tcPr>
          <w:p>
            <w:pPr>
              <w:pStyle w:val="null3"/>
            </w:pPr>
            <w:r>
              <w:rPr/>
              <w:t>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3.本项目采购</w:t>
            </w:r>
            <w:r>
              <w:rPr/>
              <w:t>无</w:t>
            </w:r>
            <w:r>
              <w:rPr/>
              <w:t>产品属于节能产品政府采购品目清单中应优先采购的产品范围，本项目采购</w:t>
            </w:r>
            <w:r>
              <w:rPr/>
              <w:t>无</w:t>
            </w:r>
            <w:r>
              <w:rPr/>
              <w:t>产品属于环境标志产品政府采购品目清单中应优先采购的产品范围，响应报价相同的，按供应商提供的优先采购产品认证证书数量由多到少顺序排列。</w:t>
            </w:r>
          </w:p>
          <w:p>
            <w:pPr>
              <w:pStyle w:val="null3"/>
            </w:pPr>
            <w:r>
              <w:rPr/>
              <w:t>4.响应产品属于中国政府采购网公布的《无线局域网认证产品政府采购清单》且在有效期内的，按《财政部国家发展改革委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应当加盖供应商公章，在谈判小组要求的时间内通过项目电子化交易系统进行提交，否则视为不能证明其响应报价合理性。供应商不能证明其响应报价合理性的，谈判小组应当将其响应文件作为无效处理。（注：供应商报价低于最高限价50%或者低于其他有效供应商报价算术平均价40%的，谈判小组可以认为该供应商“报价明显低于其他实质性响应的供应商报价”。）</w:t>
            </w:r>
          </w:p>
        </w:tc>
      </w:tr>
      <w:tr>
        <w:tc>
          <w:tcPr>
            <w:tcW w:type="dxa" w:w="1051"/>
          </w:tcPr>
          <w:p>
            <w:pPr>
              <w:pStyle w:val="null3"/>
            </w:pPr>
            <w:r>
              <w:rPr/>
              <w:t>9</w:t>
            </w:r>
          </w:p>
        </w:tc>
        <w:tc>
          <w:tcPr>
            <w:tcW w:type="dxa" w:w="2252"/>
          </w:tcPr>
          <w:p>
            <w:pPr>
              <w:pStyle w:val="null3"/>
            </w:pPr>
            <w:r>
              <w:rPr/>
              <w:t>谈判保证金</w:t>
            </w:r>
          </w:p>
        </w:tc>
        <w:tc>
          <w:tcPr>
            <w:tcW w:type="dxa" w:w="5004"/>
          </w:tcPr>
          <w:p>
            <w:pPr>
              <w:pStyle w:val="null3"/>
            </w:pPr>
            <w:r>
              <w:rPr/>
              <w:t>本项目不收取谈判保证金。</w:t>
            </w:r>
          </w:p>
        </w:tc>
      </w:tr>
      <w:tr>
        <w:tc>
          <w:tcPr>
            <w:tcW w:type="dxa" w:w="1051"/>
          </w:tcPr>
          <w:p>
            <w:pPr>
              <w:pStyle w:val="null3"/>
            </w:pPr>
            <w:r>
              <w:rPr/>
              <w:t>10</w:t>
            </w:r>
          </w:p>
        </w:tc>
        <w:tc>
          <w:tcPr>
            <w:tcW w:type="dxa" w:w="2252"/>
          </w:tcPr>
          <w:p>
            <w:pPr>
              <w:pStyle w:val="null3"/>
            </w:pPr>
            <w:r>
              <w:rPr/>
              <w:t>履约保证金（实质性要求）</w:t>
            </w:r>
          </w:p>
        </w:tc>
        <w:tc>
          <w:tcPr>
            <w:tcW w:type="dxa" w:w="5004"/>
          </w:tcPr>
          <w:p>
            <w:pPr>
              <w:pStyle w:val="null3"/>
            </w:pPr>
          </w:p>
          <w:p>
            <w:pPr>
              <w:pStyle w:val="null3"/>
            </w:pPr>
          </w:p>
          <w:p>
            <w:pPr>
              <w:pStyle w:val="null3"/>
            </w:pPr>
            <w:r>
              <w:rPr/>
              <w:t>采购包1：不缴纳</w:t>
            </w:r>
          </w:p>
        </w:tc>
      </w:tr>
      <w:tr>
        <w:tc>
          <w:tcPr>
            <w:tcW w:type="dxa" w:w="1051"/>
          </w:tcPr>
          <w:p>
            <w:pPr>
              <w:pStyle w:val="null3"/>
            </w:pPr>
            <w:r>
              <w:rPr/>
              <w:t>11</w:t>
            </w:r>
          </w:p>
        </w:tc>
        <w:tc>
          <w:tcPr>
            <w:tcW w:type="dxa" w:w="2252"/>
          </w:tcPr>
          <w:p>
            <w:pPr>
              <w:pStyle w:val="null3"/>
            </w:pPr>
            <w:r>
              <w:rPr/>
              <w:t>响应有效期（实质性要求）</w:t>
            </w:r>
          </w:p>
        </w:tc>
        <w:tc>
          <w:tcPr>
            <w:tcW w:type="dxa" w:w="5004"/>
          </w:tcPr>
          <w:p>
            <w:pPr>
              <w:pStyle w:val="null3"/>
            </w:pPr>
            <w:r>
              <w:rPr/>
              <w:t>提交响应文件的截止之日起不少于</w:t>
            </w:r>
            <w:r>
              <w:rPr/>
              <w:t>100</w:t>
            </w:r>
            <w:r>
              <w:rPr/>
              <w:t>天。</w:t>
            </w:r>
          </w:p>
        </w:tc>
      </w:tr>
      <w:tr>
        <w:tc>
          <w:tcPr>
            <w:tcW w:type="dxa" w:w="1051"/>
          </w:tcPr>
          <w:p>
            <w:pPr>
              <w:pStyle w:val="null3"/>
            </w:pPr>
            <w:r>
              <w:rPr/>
              <w:t>12</w:t>
            </w:r>
          </w:p>
        </w:tc>
        <w:tc>
          <w:tcPr>
            <w:tcW w:type="dxa" w:w="2252"/>
          </w:tcPr>
          <w:p>
            <w:pPr>
              <w:pStyle w:val="null3"/>
            </w:pPr>
            <w:r>
              <w:rPr/>
              <w:t>代理服务费（实质性要求）</w:t>
            </w:r>
          </w:p>
        </w:tc>
        <w:tc>
          <w:tcPr>
            <w:tcW w:type="dxa" w:w="5004"/>
          </w:tcPr>
          <w:p>
            <w:pPr>
              <w:pStyle w:val="null3"/>
            </w:pPr>
          </w:p>
          <w:p>
            <w:pPr>
              <w:pStyle w:val="null3"/>
            </w:pPr>
            <w:r>
              <w:rPr/>
              <w:t>本项目收取代理服务费</w:t>
            </w:r>
          </w:p>
          <w:p>
            <w:pPr>
              <w:pStyle w:val="null3"/>
            </w:pPr>
            <w:r>
              <w:rPr/>
              <w:t>代理服务费用收取对象：中标/成交供应商</w:t>
            </w:r>
          </w:p>
          <w:p>
            <w:pPr>
              <w:pStyle w:val="null3"/>
            </w:pPr>
            <w:r>
              <w:rPr/>
              <w:t>代理服务费收费标准：收费标准参照《招标代理服务费收费管理暂行办法》（计价格[2002]1980号）及《国家发展改革委办公厅关于招标代理服务收费有关问题的通知（发改办价格【2003】857号）的标准规定计取。</w:t>
            </w:r>
          </w:p>
        </w:tc>
      </w:tr>
      <w:tr>
        <w:tc>
          <w:tcPr>
            <w:tcW w:type="dxa" w:w="1051"/>
          </w:tcPr>
          <w:p>
            <w:pPr>
              <w:pStyle w:val="null3"/>
            </w:pPr>
            <w:r>
              <w:rPr/>
              <w:t>13</w:t>
            </w:r>
          </w:p>
        </w:tc>
        <w:tc>
          <w:tcPr>
            <w:tcW w:type="dxa" w:w="2252"/>
          </w:tcPr>
          <w:p>
            <w:pPr>
              <w:pStyle w:val="null3"/>
            </w:pPr>
            <w:r>
              <w:rPr/>
              <w:t>采购结果公告</w:t>
            </w:r>
          </w:p>
        </w:tc>
        <w:tc>
          <w:tcPr>
            <w:tcW w:type="dxa" w:w="5004"/>
          </w:tcPr>
          <w:p>
            <w:pPr>
              <w:pStyle w:val="null3"/>
            </w:pPr>
            <w:r>
              <w:rPr/>
              <w:t>采购结果将在四川政府采购网予以公告。</w:t>
            </w:r>
          </w:p>
        </w:tc>
      </w:tr>
      <w:tr>
        <w:tc>
          <w:tcPr>
            <w:tcW w:type="dxa" w:w="1051"/>
          </w:tcPr>
          <w:p>
            <w:pPr>
              <w:pStyle w:val="null3"/>
            </w:pPr>
            <w:r>
              <w:rPr/>
              <w:t>14</w:t>
            </w:r>
          </w:p>
        </w:tc>
        <w:tc>
          <w:tcPr>
            <w:tcW w:type="dxa" w:w="2252"/>
          </w:tcPr>
          <w:p>
            <w:pPr>
              <w:pStyle w:val="null3"/>
            </w:pPr>
            <w:r>
              <w:rPr/>
              <w:t>成交通知书领取</w:t>
            </w:r>
          </w:p>
        </w:tc>
        <w:tc>
          <w:tcPr>
            <w:tcW w:type="dxa" w:w="5004"/>
          </w:tcPr>
          <w:p>
            <w:pPr>
              <w:pStyle w:val="null3"/>
            </w:pPr>
            <w:r>
              <w:rPr/>
              <w:t>采购结果公告后，采购人或代理机构通过项目电子化交易系统向成交供应商发出成交通知书；成交供应商通过项目电子化交易系统获取成交通知书。</w:t>
            </w:r>
          </w:p>
        </w:tc>
      </w:tr>
      <w:tr>
        <w:tc>
          <w:tcPr>
            <w:tcW w:type="dxa" w:w="1051"/>
          </w:tcPr>
          <w:p>
            <w:pPr>
              <w:pStyle w:val="null3"/>
            </w:pPr>
            <w:r>
              <w:rPr/>
              <w:t>15</w:t>
            </w:r>
          </w:p>
        </w:tc>
        <w:tc>
          <w:tcPr>
            <w:tcW w:type="dxa" w:w="2252"/>
          </w:tcPr>
          <w:p>
            <w:pPr>
              <w:pStyle w:val="null3"/>
            </w:pPr>
            <w:r>
              <w:rPr/>
              <w:t>政府采购合同公告、备案</w:t>
            </w:r>
          </w:p>
        </w:tc>
        <w:tc>
          <w:tcPr>
            <w:tcW w:type="dxa" w:w="5004"/>
          </w:tcPr>
          <w:p>
            <w:pPr>
              <w:pStyle w:val="null3"/>
            </w:pPr>
            <w:r>
              <w:rPr/>
              <w:t>政府采购合同签订之日起2个工作日内，采购人将政府采购合同在四川政府采购网予以公告；政府采购合同签订之日起7个工作日内，采购人将政府采购合同报本级财政部门备案。</w:t>
            </w:r>
          </w:p>
        </w:tc>
      </w:tr>
      <w:tr>
        <w:tc>
          <w:tcPr>
            <w:tcW w:type="dxa" w:w="1051"/>
          </w:tcPr>
          <w:p>
            <w:pPr>
              <w:pStyle w:val="null3"/>
            </w:pPr>
            <w:r>
              <w:rPr/>
              <w:t>16</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17</w:t>
            </w:r>
          </w:p>
        </w:tc>
        <w:tc>
          <w:tcPr>
            <w:tcW w:type="dxa" w:w="2252"/>
          </w:tcPr>
          <w:p>
            <w:pPr>
              <w:pStyle w:val="null3"/>
            </w:pPr>
            <w:r>
              <w:rPr/>
              <w:t>是否组织潜在供应商现场考察</w:t>
            </w:r>
          </w:p>
        </w:tc>
        <w:tc>
          <w:tcPr>
            <w:tcW w:type="dxa" w:w="5004"/>
          </w:tcPr>
          <w:p>
            <w:pPr>
              <w:pStyle w:val="null3"/>
            </w:pPr>
          </w:p>
          <w:p>
            <w:pPr>
              <w:pStyle w:val="null3"/>
            </w:pPr>
          </w:p>
          <w:p>
            <w:pPr>
              <w:pStyle w:val="null3"/>
            </w:pPr>
            <w:r>
              <w:rPr/>
              <w:t>采购包1：组织现场踏勘：否</w:t>
            </w:r>
          </w:p>
        </w:tc>
      </w:tr>
      <w:tr>
        <w:tc>
          <w:tcPr>
            <w:tcW w:type="dxa" w:w="1051"/>
          </w:tcPr>
          <w:p>
            <w:pPr>
              <w:pStyle w:val="null3"/>
            </w:pPr>
            <w:r>
              <w:rPr/>
              <w:t>18</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r>
        <w:tc>
          <w:tcPr>
            <w:tcW w:type="dxa" w:w="1051"/>
          </w:tcPr>
          <w:p>
            <w:pPr>
              <w:pStyle w:val="null3"/>
            </w:pPr>
            <w:r>
              <w:rPr/>
              <w:t>19</w:t>
            </w:r>
          </w:p>
        </w:tc>
        <w:tc>
          <w:tcPr>
            <w:tcW w:type="dxa" w:w="2252"/>
          </w:tcPr>
          <w:p>
            <w:pPr>
              <w:pStyle w:val="null3"/>
            </w:pPr>
            <w:r>
              <w:rPr/>
              <w:t>报价/分值精确度</w:t>
            </w:r>
          </w:p>
        </w:tc>
        <w:tc>
          <w:tcPr>
            <w:tcW w:type="dxa" w:w="5004"/>
          </w:tcPr>
          <w:p>
            <w:pPr>
              <w:pStyle w:val="null3"/>
            </w:pPr>
            <w:r>
              <w:rPr/>
              <w:t>报价/分值精确度仅保留“所有数据项默认最多可输入/展示至小数点后2位，超出小数点位的数值采用四舍五入的方式进行精确”。</w:t>
            </w:r>
          </w:p>
        </w:tc>
      </w:tr>
    </w:tbl>
    <w:p>
      <w:pPr>
        <w:pStyle w:val="null3"/>
        <w:outlineLvl w:val="2"/>
      </w:pPr>
      <w:r>
        <w:rPr>
          <w:b/>
          <w:sz w:val="28"/>
        </w:rPr>
        <w:t>2.2、总则</w:t>
      </w:r>
    </w:p>
    <w:p>
      <w:pPr>
        <w:pStyle w:val="null3"/>
        <w:ind w:firstLine="480"/>
      </w:pPr>
      <w:r>
        <w:rPr/>
        <w:t>（一）适用范围</w:t>
      </w:r>
    </w:p>
    <w:p>
      <w:pPr>
        <w:pStyle w:val="null3"/>
        <w:ind w:firstLine="480"/>
      </w:pPr>
      <w:r>
        <w:rPr/>
        <w:t>1.本竞争性谈判文件仅适用于本次竞争性谈判采购项目。</w:t>
      </w:r>
    </w:p>
    <w:p>
      <w:pPr>
        <w:pStyle w:val="null3"/>
        <w:ind w:firstLine="480"/>
      </w:pPr>
      <w:r>
        <w:rPr/>
        <w:t>2.本竞争性谈判文件的最终解释权由</w:t>
      </w:r>
      <w:r>
        <w:rPr/>
        <w:t>崇州市文化体育和旅游局</w:t>
      </w:r>
      <w:r>
        <w:rPr/>
        <w:t>和</w:t>
      </w:r>
      <w:r>
        <w:rPr/>
        <w:t>成都西正招标代理有限公司</w:t>
      </w:r>
      <w:r>
        <w:rPr/>
        <w:t>享有。竞争性谈判文件中供应商参加本次政府采购活动应当具备的条件、技术清单、参数、商务及其他要求由</w:t>
      </w:r>
      <w:r>
        <w:rPr/>
        <w:t>崇州市文化体育和旅游局</w:t>
      </w:r>
      <w:r>
        <w:rPr/>
        <w:t>负责解释。除上述竞争性谈判文件内容，其他内容由</w:t>
      </w:r>
      <w:r>
        <w:rPr/>
        <w:t>成都西正招标代理有限公司</w:t>
      </w:r>
      <w:r>
        <w:rPr/>
        <w:t>负责解释。</w:t>
      </w:r>
    </w:p>
    <w:p>
      <w:pPr>
        <w:pStyle w:val="null3"/>
        <w:ind w:firstLine="480"/>
      </w:pPr>
      <w:r>
        <w:rPr/>
        <w:t>（二）有关定义</w:t>
      </w:r>
    </w:p>
    <w:p>
      <w:pPr>
        <w:pStyle w:val="null3"/>
        <w:ind w:firstLine="480"/>
      </w:pPr>
      <w:r>
        <w:rPr/>
        <w:t>1.“采购人”是指依法进行政府采购的各级国家机关、事业单位、团体组织。本次谈判的采购人是</w:t>
      </w:r>
      <w:r>
        <w:rPr/>
        <w:t>崇州市文化体育和旅游局</w:t>
      </w:r>
      <w:r>
        <w:rPr/>
        <w:t>。</w:t>
      </w:r>
    </w:p>
    <w:p>
      <w:pPr>
        <w:pStyle w:val="null3"/>
        <w:ind w:firstLine="480"/>
      </w:pPr>
      <w:r>
        <w:rPr/>
        <w:t>2.“供应商”是指在按照采购公告规定获取谈判文件，拟参加响应和向采购人提供货物的法人、其他组织或自然人。</w:t>
      </w:r>
    </w:p>
    <w:p>
      <w:pPr>
        <w:pStyle w:val="null3"/>
        <w:ind w:firstLine="480"/>
      </w:pPr>
      <w:r>
        <w:rPr/>
        <w:t>3.“代理机构”是指集中采购机构和集中采购机构以外的代理机构。本项目的代理机构是</w:t>
      </w:r>
      <w:r>
        <w:rPr/>
        <w:t>成都西正招标代理有限公司</w:t>
      </w:r>
    </w:p>
    <w:p>
      <w:pPr>
        <w:pStyle w:val="null3"/>
        <w:ind w:firstLine="480"/>
      </w:pPr>
      <w:r>
        <w:rPr/>
        <w:t>4.“网上开启”是指供应商通过项目电子化交易系统在线完成签到、响应文件解密后，采购人或者采购代理机构通过项目电子化交易系统在线完成已解密响应文件的开启工作。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5.“电子评审”是指通过项目电子化交易系统在线完成谈判小组组建，开展资格和符合性审查、出具谈判报告、推荐成交候选供应商等活动。</w:t>
      </w:r>
    </w:p>
    <w:p>
      <w:pPr>
        <w:pStyle w:val="null3"/>
        <w:outlineLvl w:val="2"/>
      </w:pPr>
      <w:r>
        <w:rPr>
          <w:b/>
          <w:sz w:val="28"/>
        </w:rPr>
        <w:t>2.3、竞争性谈判文件</w:t>
      </w:r>
    </w:p>
    <w:p>
      <w:pPr>
        <w:pStyle w:val="null3"/>
        <w:outlineLvl w:val="3"/>
      </w:pPr>
      <w:r>
        <w:rPr>
          <w:b/>
          <w:sz w:val="24"/>
        </w:rPr>
        <w:t>2.3.1竞争性谈判文件的构成</w:t>
      </w:r>
    </w:p>
    <w:p>
      <w:pPr>
        <w:pStyle w:val="null3"/>
        <w:ind w:firstLine="480"/>
      </w:pPr>
      <w:r>
        <w:rPr/>
        <w:t>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t>（一）竞争性谈判邀请；</w:t>
      </w:r>
    </w:p>
    <w:p>
      <w:pPr>
        <w:pStyle w:val="null3"/>
        <w:ind w:firstLine="480"/>
      </w:pPr>
      <w:r>
        <w:rPr/>
        <w:t>（二）供应商须知；</w:t>
      </w:r>
    </w:p>
    <w:p>
      <w:pPr>
        <w:pStyle w:val="null3"/>
        <w:ind w:firstLine="480"/>
      </w:pPr>
      <w:r>
        <w:rPr/>
        <w:t>（三）谈判项目技术、服务、商务及其他要求；</w:t>
      </w:r>
    </w:p>
    <w:p>
      <w:pPr>
        <w:pStyle w:val="null3"/>
        <w:ind w:firstLine="480"/>
      </w:pPr>
      <w:r>
        <w:rPr/>
        <w:t>（四）谈判过程中可实质性变动的内容；</w:t>
      </w:r>
    </w:p>
    <w:p>
      <w:pPr>
        <w:pStyle w:val="null3"/>
        <w:ind w:firstLine="480"/>
      </w:pPr>
      <w:r>
        <w:rPr/>
        <w:t>（五）谈判办法；</w:t>
      </w:r>
    </w:p>
    <w:p>
      <w:pPr>
        <w:pStyle w:val="null3"/>
        <w:ind w:firstLine="480"/>
      </w:pPr>
      <w:r>
        <w:rPr/>
        <w:t>（六）响应文件格式；</w:t>
      </w:r>
    </w:p>
    <w:p>
      <w:pPr>
        <w:pStyle w:val="null3"/>
        <w:ind w:firstLine="480"/>
      </w:pPr>
      <w:r>
        <w:rPr/>
        <w:t>（七）拟签订采购合同文本。</w:t>
      </w:r>
    </w:p>
    <w:p>
      <w:pPr>
        <w:pStyle w:val="null3"/>
        <w:ind w:firstLine="480"/>
      </w:pPr>
      <w:r>
        <w:rPr/>
        <w:t>二、供应商应认真阅读和充分理解谈判文件中所有的事项、格式条款和规范要求。供应商没有对谈判文件全面作出实质性响应所产生的风险由供应商承担。</w:t>
      </w:r>
    </w:p>
    <w:p>
      <w:pPr>
        <w:pStyle w:val="null3"/>
        <w:outlineLvl w:val="3"/>
      </w:pPr>
      <w:r>
        <w:rPr>
          <w:b/>
          <w:sz w:val="24"/>
        </w:rPr>
        <w:t>2.3.2竞争性谈判文件的澄清和修改</w:t>
      </w:r>
    </w:p>
    <w:p>
      <w:pPr>
        <w:pStyle w:val="null3"/>
        <w:ind w:firstLine="480"/>
      </w:pPr>
      <w:r>
        <w:rPr/>
        <w:t>一、在提交首次响应文件截止时间前，采购人或者代理机构可以对已发出的谈判文件进行必要的澄清或者修改。</w:t>
      </w:r>
    </w:p>
    <w:p>
      <w:pPr>
        <w:pStyle w:val="null3"/>
        <w:ind w:firstLine="480"/>
        <w:jc w:val="left"/>
      </w:pPr>
      <w:r>
        <w:rPr/>
        <w:t>二、澄清或者修改的内容为谈判文件的组成部分，采购人或者代理机构将在四川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2.4.1响应文件的语言（实质性要求）</w:t>
      </w:r>
    </w:p>
    <w:p>
      <w:pPr>
        <w:pStyle w:val="null3"/>
        <w:ind w:firstLine="480"/>
      </w:pPr>
      <w:r>
        <w:rPr/>
        <w:t>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t>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2.4.2计量单位（实质性要求）</w:t>
      </w:r>
    </w:p>
    <w:p>
      <w:pPr>
        <w:pStyle w:val="null3"/>
        <w:ind w:firstLine="480"/>
      </w:pPr>
      <w:r>
        <w:rPr/>
        <w:t>除谈判文件中另有规定外，本项目均采用国家法定的计量单位。</w:t>
      </w:r>
    </w:p>
    <w:p>
      <w:pPr>
        <w:pStyle w:val="null3"/>
        <w:outlineLvl w:val="3"/>
      </w:pPr>
      <w:r>
        <w:rPr>
          <w:b/>
          <w:sz w:val="24"/>
        </w:rPr>
        <w:t>2.4.3响应货币（实质性要求）</w:t>
      </w:r>
    </w:p>
    <w:p>
      <w:pPr>
        <w:pStyle w:val="null3"/>
        <w:ind w:firstLine="480"/>
      </w:pPr>
      <w:r>
        <w:rPr/>
        <w:t>本次项目均以人民币报价。</w:t>
      </w:r>
    </w:p>
    <w:p>
      <w:pPr>
        <w:pStyle w:val="null3"/>
        <w:outlineLvl w:val="3"/>
      </w:pPr>
      <w:r>
        <w:rPr>
          <w:b/>
          <w:sz w:val="24"/>
        </w:rPr>
        <w:t>2.4.4知识产权（实质性要求）</w:t>
      </w:r>
    </w:p>
    <w:p>
      <w:pPr>
        <w:pStyle w:val="null3"/>
        <w:ind w:firstLine="480"/>
      </w:pPr>
      <w:r>
        <w:rPr/>
        <w:t>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outlineLvl w:val="3"/>
      </w:pPr>
      <w:r>
        <w:rPr>
          <w:b/>
          <w:sz w:val="24"/>
        </w:rPr>
        <w:t>2.4.5响应文件的组成（实质性要求）</w:t>
      </w:r>
    </w:p>
    <w:p>
      <w:pPr>
        <w:pStyle w:val="null3"/>
        <w:ind w:firstLine="480"/>
      </w:pPr>
      <w:r>
        <w:rPr/>
        <w:t>供应商应按照谈判文件的规定和要求编制响应文件。</w:t>
      </w:r>
    </w:p>
    <w:p>
      <w:pPr>
        <w:pStyle w:val="null3"/>
        <w:ind w:firstLine="480"/>
        <w:jc w:val="left"/>
      </w:pPr>
      <w:r>
        <w:rPr/>
        <w:t>响应文件具体内容详见第六章。</w:t>
      </w:r>
    </w:p>
    <w:p>
      <w:pPr>
        <w:pStyle w:val="null3"/>
        <w:outlineLvl w:val="3"/>
      </w:pPr>
      <w:r>
        <w:rPr>
          <w:b/>
          <w:sz w:val="24"/>
        </w:rPr>
        <w:t>2.4.6响应文件格式</w:t>
      </w:r>
    </w:p>
    <w:p>
      <w:pPr>
        <w:pStyle w:val="null3"/>
        <w:ind w:firstLine="480"/>
      </w:pPr>
      <w:r>
        <w:rPr/>
        <w:t>1.供应商应按照谈判文件第六章中提供的“响应文件格式”填写相关内容。</w:t>
      </w:r>
    </w:p>
    <w:p>
      <w:pPr>
        <w:pStyle w:val="null3"/>
        <w:ind w:firstLine="480"/>
      </w:pPr>
      <w:r>
        <w:rPr/>
        <w:t>2.对于没有格式要求的响应文件由供应商自行编写。</w:t>
      </w:r>
    </w:p>
    <w:p>
      <w:pPr>
        <w:pStyle w:val="null3"/>
        <w:outlineLvl w:val="3"/>
      </w:pPr>
      <w:r>
        <w:rPr>
          <w:b/>
          <w:sz w:val="24"/>
        </w:rPr>
        <w:t>2.4.7响应报价（实质性要求）</w:t>
      </w:r>
    </w:p>
    <w:p>
      <w:pPr>
        <w:pStyle w:val="null3"/>
        <w:ind w:firstLine="480"/>
      </w:pPr>
      <w:r>
        <w:rPr/>
        <w:t>一、供应商的报价是供应商响应谈判项目要求的全部工作内容的价格体现，包括供应商完成本项目所需的一切费用。</w:t>
      </w:r>
    </w:p>
    <w:p>
      <w:pPr>
        <w:pStyle w:val="null3"/>
        <w:ind w:firstLine="480"/>
      </w:pPr>
      <w:r>
        <w:rPr/>
        <w:t>二、响应文件报价出现前后不一致的，按照谈判文件第五章谈判办法规定予以修正，修正后的报价经供应商以书面形式通过项目电子化交易系统进行确认，并加盖供应商（法定名称）电子印章，供应商逾时确认的，其响应无效。</w:t>
      </w:r>
    </w:p>
    <w:p>
      <w:pPr>
        <w:pStyle w:val="null3"/>
        <w:outlineLvl w:val="3"/>
      </w:pPr>
      <w:r>
        <w:rPr>
          <w:b/>
          <w:sz w:val="24"/>
        </w:rPr>
        <w:t>2.4.8响应文件有效期</w:t>
      </w:r>
    </w:p>
    <w:p>
      <w:pPr>
        <w:pStyle w:val="null3"/>
        <w:ind w:firstLine="480"/>
      </w:pPr>
      <w:r>
        <w:rPr/>
        <w:t>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2.4.9响应文件的制作、签章和加密（实质性要求）</w:t>
      </w:r>
    </w:p>
    <w:p>
      <w:pPr>
        <w:pStyle w:val="null3"/>
        <w:ind w:firstLine="480"/>
      </w:pPr>
      <w:r>
        <w:rPr/>
        <w:t>一、响应文件应当根据谈判通知书进行编制。供应商应通过四川政府采购网-办事指南下载响应客户端，使用客户端编制响应文件。</w:t>
      </w:r>
    </w:p>
    <w:p>
      <w:pPr>
        <w:pStyle w:val="null3"/>
        <w:ind w:firstLine="480"/>
      </w:pPr>
      <w:r>
        <w:rPr/>
        <w:t>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t>三、供应商完成响应文件编制后，应按照响应文件第1章明确的签章要求，使用互认的证书及签章对响应文件进行电子签章和加密。</w:t>
      </w:r>
    </w:p>
    <w:p>
      <w:pPr>
        <w:pStyle w:val="null3"/>
        <w:ind w:firstLine="480"/>
      </w:pPr>
      <w:r>
        <w:rPr/>
        <w:t>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2.4.11响应文件的补充、修改和撤回（实质性要求）</w:t>
      </w:r>
    </w:p>
    <w:p>
      <w:pPr>
        <w:pStyle w:val="null3"/>
        <w:ind w:firstLine="480"/>
      </w:pPr>
      <w:r>
        <w:rPr/>
        <w:t>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2.5、开启、资格审查、谈判和确定成交供应商</w:t>
      </w:r>
    </w:p>
    <w:p>
      <w:pPr>
        <w:pStyle w:val="null3"/>
        <w:outlineLvl w:val="3"/>
      </w:pPr>
      <w:r>
        <w:rPr>
          <w:b/>
          <w:sz w:val="24"/>
        </w:rPr>
        <w:t>2.5.1谈判开启程序</w:t>
      </w:r>
    </w:p>
    <w:p>
      <w:pPr>
        <w:pStyle w:val="null3"/>
        <w:ind w:firstLine="480"/>
      </w:pPr>
      <w:r>
        <w:rPr/>
        <w:t>一、本项目为竞争性谈判项目。网上开启的开始时间为响应文件提交截止时间。成功提交或成功提交和解密电子响应文件的供应商不足3家的，不予开启，采购人或代理机构将终止采购活动。</w:t>
      </w:r>
    </w:p>
    <w:p>
      <w:pPr>
        <w:pStyle w:val="null3"/>
        <w:ind w:firstLine="480"/>
      </w:pPr>
      <w:r>
        <w:rPr/>
        <w:t>二、谈判开启准备工作</w:t>
      </w:r>
    </w:p>
    <w:p>
      <w:pPr>
        <w:pStyle w:val="null3"/>
        <w:ind w:firstLine="480"/>
      </w:pPr>
      <w:r>
        <w:rPr/>
        <w:t>响应文件开启时间前，供应商登录项目电子化交易系统-“开标/开启大厅”，等待代理机构开启谈判。</w:t>
      </w:r>
    </w:p>
    <w:p>
      <w:pPr>
        <w:pStyle w:val="null3"/>
        <w:ind w:firstLine="480"/>
      </w:pPr>
      <w:r>
        <w:rPr/>
        <w:t>三、解密响应文件（实质性要求）</w:t>
      </w:r>
    </w:p>
    <w:p>
      <w:pPr>
        <w:pStyle w:val="null3"/>
        <w:ind w:firstLine="480"/>
      </w:pPr>
      <w:r>
        <w:rPr/>
        <w:t>响应文件提交截止时间后，成功提交响应文件的供应商符合响应文件规定数量的，代理机构将启动响应文件解密程序，解密时间为</w:t>
      </w:r>
      <w:r>
        <w:rPr/>
        <w:t>60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详见谈判文件第五章。</w:t>
      </w:r>
    </w:p>
    <w:p>
      <w:pPr>
        <w:pStyle w:val="null3"/>
        <w:outlineLvl w:val="3"/>
      </w:pPr>
      <w:r>
        <w:rPr>
          <w:b/>
          <w:sz w:val="24"/>
        </w:rPr>
        <w:t>2.5.4谈判</w:t>
      </w:r>
    </w:p>
    <w:p>
      <w:pPr>
        <w:pStyle w:val="null3"/>
        <w:ind w:firstLine="480"/>
      </w:pPr>
      <w:r>
        <w:rPr/>
        <w:t>详见谈判文件第五章。</w:t>
      </w:r>
    </w:p>
    <w:p>
      <w:pPr>
        <w:pStyle w:val="null3"/>
        <w:outlineLvl w:val="3"/>
      </w:pPr>
      <w:r>
        <w:rPr>
          <w:b/>
          <w:sz w:val="24"/>
        </w:rPr>
        <w:t>2.5.5、成交通知书</w:t>
      </w:r>
    </w:p>
    <w:p>
      <w:pPr>
        <w:pStyle w:val="null3"/>
        <w:ind w:firstLine="480"/>
      </w:pPr>
      <w:r>
        <w:rPr/>
        <w:t>一、采购人或者谈判小组确认成交供应商后，代理机构在四川政府采购网发布成交结果公告、通过项目电子化交易系统发出成交通知书，成交供应商通过项目电子化交易系统获取成交通知书。</w:t>
      </w:r>
    </w:p>
    <w:p>
      <w:pPr>
        <w:pStyle w:val="null3"/>
        <w:ind w:firstLine="480"/>
      </w:pPr>
      <w:r>
        <w:rPr/>
        <w:t>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二、采购人和成交供应商签订的采购合同不得对谈判文件确定的事项以及成交供应商的响应文件作实质性修改。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三、采购合同实行分包履行的，成交供应商就采购项目和分包项目向采购人负责，分包供应商就分包项目承担责任。</w:t>
      </w:r>
    </w:p>
    <w:p>
      <w:pPr>
        <w:pStyle w:val="null3"/>
        <w:ind w:firstLine="480"/>
      </w:pPr>
      <w:r>
        <w:rPr/>
        <w:t>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p>
    <w:p>
      <w:pPr>
        <w:pStyle w:val="null3"/>
      </w:pPr>
    </w:p>
    <w:p>
      <w:pPr>
        <w:pStyle w:val="null3"/>
      </w:pPr>
    </w:p>
    <w:p>
      <w:pPr>
        <w:pStyle w:val="null3"/>
      </w:pPr>
      <w:r>
        <w:rPr/>
        <w:t>采购包1：不允许合同分包；</w:t>
      </w:r>
    </w:p>
    <w:p>
      <w:pPr>
        <w:pStyle w:val="null3"/>
        <w:outlineLvl w:val="3"/>
      </w:pPr>
      <w:r>
        <w:rPr>
          <w:b/>
          <w:sz w:val="24"/>
        </w:rPr>
        <w:t>2.6.2.2合同转包</w:t>
      </w:r>
    </w:p>
    <w:p>
      <w:pPr>
        <w:pStyle w:val="null3"/>
        <w:ind w:firstLine="480"/>
      </w:pPr>
      <w:r>
        <w:rPr/>
        <w:t>一、严禁成交供应商将本项目转包。本项目所称转包，是指将本项目转给他人或者将本项目全部肢解以后以分包的名义分别转给他人的行为。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b/>
          <w:sz w:val="24"/>
        </w:rPr>
        <w:t>2.6.3采购人增加合同标的的权利</w:t>
      </w:r>
    </w:p>
    <w:p>
      <w:pPr>
        <w:pStyle w:val="null3"/>
        <w:ind w:firstLine="480"/>
      </w:pPr>
      <w:r>
        <w:rPr/>
        <w:t>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2"/>
      </w:pPr>
      <w:r>
        <w:rPr>
          <w:b/>
          <w:sz w:val="28"/>
        </w:rPr>
        <w:t>2.6.4履行合同</w:t>
      </w:r>
    </w:p>
    <w:p>
      <w:pPr>
        <w:pStyle w:val="null3"/>
        <w:ind w:firstLine="480"/>
      </w:pPr>
      <w:r>
        <w:rPr/>
        <w:t>一、合同一经签订，双方应严格履行合同规定的义务。</w:t>
      </w:r>
    </w:p>
    <w:p>
      <w:pPr>
        <w:pStyle w:val="null3"/>
        <w:ind w:firstLine="480"/>
      </w:pPr>
      <w:r>
        <w:rPr/>
        <w:t>二、在合同履行过程中，如发生合同纠纷，合同双方应按照《中华人民共和国民法典》规定及合同条款约定进行处理。</w:t>
      </w:r>
    </w:p>
    <w:p>
      <w:pPr>
        <w:pStyle w:val="null3"/>
        <w:outlineLvl w:val="2"/>
      </w:pPr>
      <w:r>
        <w:rPr>
          <w:b/>
          <w:sz w:val="28"/>
        </w:rPr>
        <w:t>2.6.5履约验收方案</w:t>
      </w:r>
    </w:p>
    <w:p>
      <w:pPr>
        <w:pStyle w:val="null3"/>
      </w:pPr>
    </w:p>
    <w:p>
      <w:pPr>
        <w:pStyle w:val="null3"/>
      </w:pPr>
    </w:p>
    <w:p>
      <w:pPr>
        <w:pStyle w:val="null3"/>
      </w:pPr>
    </w:p>
    <w:p>
      <w:pPr>
        <w:pStyle w:val="null3"/>
      </w:pPr>
      <w:r>
        <w:rPr/>
        <w:t>采购包1：</w:t>
      </w:r>
    </w:p>
    <w:p>
      <w:pPr>
        <w:pStyle w:val="null3"/>
        <w:ind w:firstLine="840"/>
      </w:pPr>
      <w:r>
        <w:rPr/>
        <w:t>1）验收组织方式：</w:t>
      </w:r>
      <w:r>
        <w:rPr/>
        <w:t>自行验收</w:t>
      </w:r>
    </w:p>
    <w:p>
      <w:pPr>
        <w:pStyle w:val="null3"/>
        <w:ind w:firstLine="840"/>
      </w:pPr>
      <w:r>
        <w:rPr/>
        <w:t>2）是否邀请本项目的其他供应商：</w:t>
      </w:r>
      <w:r>
        <w:rPr/>
        <w:t>否</w:t>
      </w:r>
    </w:p>
    <w:p>
      <w:pPr>
        <w:pStyle w:val="null3"/>
        <w:ind w:firstLine="840"/>
      </w:pPr>
      <w:r>
        <w:rPr/>
        <w:t>3）是否邀请专家：</w:t>
      </w:r>
      <w:r>
        <w:rPr/>
        <w:t>否</w:t>
      </w:r>
    </w:p>
    <w:p>
      <w:pPr>
        <w:pStyle w:val="null3"/>
        <w:ind w:firstLine="840"/>
      </w:pPr>
      <w:r>
        <w:rPr/>
        <w:t>4）是否邀请服务对象：</w:t>
      </w:r>
      <w:r>
        <w:rPr/>
        <w:t>是</w:t>
      </w:r>
    </w:p>
    <w:p>
      <w:pPr>
        <w:pStyle w:val="null3"/>
        <w:ind w:firstLine="840"/>
      </w:pPr>
      <w:r>
        <w:rPr/>
        <w:t>5）是否邀请第三方检测机构：</w:t>
      </w:r>
      <w:r>
        <w:rPr/>
        <w:t>否</w:t>
      </w:r>
    </w:p>
    <w:p>
      <w:pPr>
        <w:pStyle w:val="null3"/>
        <w:ind w:firstLine="840"/>
      </w:pPr>
      <w:r>
        <w:rPr/>
        <w:t>6）履约验收程序：</w:t>
      </w:r>
      <w:r>
        <w:rPr/>
        <w:t>一次性验收</w:t>
      </w:r>
    </w:p>
    <w:p>
      <w:pPr>
        <w:pStyle w:val="null3"/>
        <w:ind w:firstLine="840"/>
      </w:pPr>
      <w:r>
        <w:rPr/>
        <w:t>7）履约验收时间：</w:t>
      </w:r>
    </w:p>
    <w:p>
      <w:pPr>
        <w:pStyle w:val="null3"/>
      </w:pPr>
    </w:p>
    <w:p>
      <w:pPr>
        <w:pStyle w:val="null3"/>
        <w:ind w:firstLine="1200"/>
      </w:pPr>
      <w:r>
        <w:rPr/>
        <w:t>供应商提出验收申请之日起</w:t>
      </w:r>
      <w:r>
        <w:rPr/>
        <w:t>15</w:t>
      </w:r>
      <w:r>
        <w:rPr/>
        <w:t>日内组织验收</w:t>
      </w:r>
    </w:p>
    <w:p>
      <w:pPr>
        <w:pStyle w:val="null3"/>
        <w:ind w:firstLine="840"/>
      </w:pPr>
      <w:r>
        <w:rPr/>
        <w:t>8）验收组织的其他事项：</w:t>
      </w:r>
      <w:r>
        <w:rPr/>
        <w:t>无</w:t>
      </w:r>
    </w:p>
    <w:p>
      <w:pPr>
        <w:pStyle w:val="null3"/>
        <w:ind w:firstLine="840"/>
      </w:pPr>
      <w:r>
        <w:rPr/>
        <w:t>9）技术履约验收内容：</w:t>
      </w:r>
      <w:r>
        <w:rPr/>
        <w:t>达到国家相关标准、行业标准、地方标准或者其他标准、规范要求</w:t>
      </w:r>
    </w:p>
    <w:p>
      <w:pPr>
        <w:pStyle w:val="null3"/>
        <w:ind w:firstLine="840"/>
      </w:pPr>
      <w:r>
        <w:rPr/>
        <w:t>10）商务履约验收内容：</w:t>
      </w:r>
      <w:r>
        <w:rPr/>
        <w:t>按照《财政部关于进一步加强政府采购需求和履约验收管理的指导意见》（财库〔2016〕205号）进行验收</w:t>
      </w:r>
    </w:p>
    <w:p>
      <w:pPr>
        <w:pStyle w:val="null3"/>
        <w:ind w:firstLine="840"/>
      </w:pPr>
      <w:r>
        <w:rPr/>
        <w:t>11）履约验收标准：</w:t>
      </w:r>
    </w:p>
    <w:p>
      <w:pPr>
        <w:pStyle w:val="null3"/>
      </w:pPr>
    </w:p>
    <w:p>
      <w:pPr>
        <w:pStyle w:val="null3"/>
        <w:ind w:firstLine="1200"/>
      </w:pPr>
      <w:r>
        <w:rPr/>
        <w:t>按照《财政部关于进一步加强政府采购需求和履约验收管理的指导意见》（财库〔2016〕205号）</w:t>
      </w:r>
    </w:p>
    <w:p>
      <w:pPr>
        <w:pStyle w:val="null3"/>
        <w:ind w:firstLine="840"/>
      </w:pPr>
      <w:r>
        <w:rPr/>
        <w:t>12）履约验收其他事项：</w:t>
      </w:r>
      <w:r>
        <w:rPr/>
        <w:t>无</w:t>
      </w:r>
    </w:p>
    <w:p>
      <w:pPr>
        <w:pStyle w:val="null3"/>
        <w:outlineLvl w:val="2"/>
      </w:pPr>
      <w:r>
        <w:rPr>
          <w:b/>
          <w:sz w:val="28"/>
        </w:rPr>
        <w:t>2.6.6资金支付</w:t>
      </w:r>
    </w:p>
    <w:p>
      <w:pPr>
        <w:pStyle w:val="null3"/>
        <w:ind w:firstLine="480"/>
      </w:pPr>
      <w:r>
        <w:rPr/>
        <w:t>采购人按财政部门的相关规定及采购合同的约定进行支付。</w:t>
      </w:r>
    </w:p>
    <w:p>
      <w:pPr>
        <w:pStyle w:val="null3"/>
        <w:outlineLvl w:val="2"/>
      </w:pPr>
      <w:r>
        <w:rPr>
          <w:b/>
          <w:sz w:val="28"/>
        </w:rPr>
        <w:t>2.7、竞争性谈判工作纪律及要求</w:t>
      </w:r>
    </w:p>
    <w:p>
      <w:pPr>
        <w:pStyle w:val="null3"/>
        <w:outlineLvl w:val="3"/>
      </w:pPr>
      <w:r>
        <w:rPr>
          <w:b/>
          <w:sz w:val="24"/>
        </w:rPr>
        <w:t>2.7.1谈判活动纪律要求</w:t>
      </w:r>
    </w:p>
    <w:p>
      <w:pPr>
        <w:pStyle w:val="null3"/>
        <w:ind w:firstLine="480"/>
      </w:pPr>
      <w:r>
        <w:rPr/>
        <w:t>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t>对各供应商的商业秘密，谈判小组成员应予以保密，不得泄露给其他供应商。</w:t>
      </w:r>
    </w:p>
    <w:p>
      <w:pPr>
        <w:pStyle w:val="null3"/>
        <w:outlineLvl w:val="3"/>
      </w:pPr>
      <w:r>
        <w:rPr>
          <w:b/>
          <w:sz w:val="24"/>
        </w:rPr>
        <w:t>2.7.2供应商不得具有的情形（实质性要求）</w:t>
      </w:r>
    </w:p>
    <w:p>
      <w:pPr>
        <w:pStyle w:val="null3"/>
        <w:ind w:firstLine="480"/>
      </w:pPr>
      <w:r>
        <w:rPr/>
        <w:t>供应商参加谈判不得有下列情形：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（二）不同供应商委托同一单位或者个人办理谈判事宜；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五、向采购人或代理机构、谈判小组成员行贿或者提供其他不正当利益；</w:t>
      </w:r>
    </w:p>
    <w:p>
      <w:pPr>
        <w:pStyle w:val="null3"/>
        <w:ind w:firstLine="480"/>
      </w:pPr>
      <w:r>
        <w:rPr/>
        <w:t>六、在谈判过程中与采购人或代理机构进行协商谈判；</w:t>
      </w:r>
    </w:p>
    <w:p>
      <w:pPr>
        <w:pStyle w:val="null3"/>
        <w:ind w:firstLine="480"/>
      </w:pPr>
      <w:r>
        <w:rPr/>
        <w:t>七、成交后无正当理由拒不与采购人签订政府采购合同；</w:t>
      </w:r>
    </w:p>
    <w:p>
      <w:pPr>
        <w:pStyle w:val="null3"/>
        <w:ind w:firstLine="480"/>
      </w:pPr>
      <w:r>
        <w:rPr/>
        <w:t>八、未按照谈判文件确定的事项签订政府采购合同；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供应商有上述情形的，按照规定追究法律责任，具有前述一至十三条情形之一的，其响应文件无效，或取消被确认为成交供应商的资格或认定成交无效。</w:t>
      </w:r>
    </w:p>
    <w:p>
      <w:pPr>
        <w:pStyle w:val="null3"/>
        <w:outlineLvl w:val="3"/>
      </w:pPr>
      <w:r>
        <w:rPr>
          <w:b/>
          <w:sz w:val="24"/>
        </w:rPr>
        <w:t>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根据委托代理协议约定，供应商对采购文件中采购需求的询问、质疑由</w:t>
      </w:r>
      <w:r>
        <w:rPr/>
        <w:t>成都西正招标代理有限公司</w:t>
      </w:r>
      <w:r>
        <w:rPr/>
        <w:t>负责答复；供应商对除采购需求外的采购文件的询问、质疑由</w:t>
      </w:r>
      <w:r>
        <w:rPr/>
        <w:t>成都西正招标代理有限公司</w:t>
      </w:r>
      <w:r>
        <w:rPr/>
        <w:t>负责答复；供应商对采购过程、采购结果的询问、质疑由</w:t>
      </w:r>
      <w:r>
        <w:rPr/>
        <w:t>成都西正招标代理有限公司</w:t>
      </w:r>
      <w:r>
        <w:rPr/>
        <w:t>负责答复。</w:t>
      </w:r>
    </w:p>
    <w:p>
      <w:pPr>
        <w:pStyle w:val="null3"/>
        <w:ind w:firstLine="480"/>
      </w:pPr>
      <w:r>
        <w:rPr/>
        <w:t>三、供应商提出的询问，应当明确询问事项，如以书面形式提出的，应由供应商签字并加盖公章。</w:t>
      </w:r>
    </w:p>
    <w:p>
      <w:pPr>
        <w:pStyle w:val="null3"/>
        <w:ind w:firstLine="480"/>
      </w:pPr>
      <w:r>
        <w:rPr/>
        <w:t>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（五）针对质疑事项必要的证明材料（针对谈判文件提出的质疑，需提交从项目电子化交易系统获取的谈判文件回执单）。</w:t>
      </w:r>
    </w:p>
    <w:p>
      <w:pPr>
        <w:pStyle w:val="null3"/>
      </w:pPr>
    </w:p>
    <w:p>
      <w:pPr>
        <w:pStyle w:val="null3"/>
      </w:pPr>
    </w:p>
    <w:p>
      <w:pPr>
        <w:pStyle w:val="null3"/>
      </w:pPr>
      <w:r>
        <w:rPr/>
        <w:t>答复主体：代理机构</w:t>
      </w:r>
    </w:p>
    <w:p>
      <w:pPr>
        <w:pStyle w:val="null3"/>
      </w:pPr>
      <w:r>
        <w:rPr/>
        <w:t>联系人：高女士</w:t>
      </w:r>
    </w:p>
    <w:p>
      <w:pPr>
        <w:pStyle w:val="null3"/>
      </w:pPr>
      <w:r>
        <w:rPr/>
        <w:t>联系电话：028-67548233</w:t>
      </w:r>
    </w:p>
    <w:p>
      <w:pPr>
        <w:pStyle w:val="null3"/>
      </w:pPr>
      <w:r>
        <w:rPr/>
        <w:t>地址：崇州市世纪大道1396号1栋2楼1-4号</w:t>
      </w:r>
    </w:p>
    <w:p>
      <w:pPr>
        <w:pStyle w:val="null3"/>
      </w:pPr>
      <w:r>
        <w:rPr/>
        <w:t>邮编：611230</w:t>
      </w:r>
    </w:p>
    <w:p>
      <w:pPr>
        <w:pStyle w:val="null3"/>
        <w:ind w:firstLine="480"/>
      </w:pPr>
      <w:r>
        <w:rPr/>
        <w:t>注：根据《中华人民共和国政府采购法》的规定，供应商质疑不得超出谈判文件、采购过程、采购结果的范围。</w:t>
      </w:r>
    </w:p>
    <w:p>
      <w:pPr>
        <w:pStyle w:val="null3"/>
        <w:ind w:firstLine="480"/>
      </w:pPr>
      <w:r>
        <w:rPr/>
        <w:t>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p>
    <w:p>
      <w:pPr>
        <w:pStyle w:val="null3"/>
      </w:pPr>
      <w:r>
        <w:rPr/>
        <w:t xml:space="preserve"> </w:t>
      </w:r>
    </w:p>
    <w:p>
      <w:pPr>
        <w:pStyle w:val="null3"/>
        <w:jc w:val="center"/>
        <w:outlineLvl w:val="1"/>
      </w:pPr>
      <w:r>
        <w:rPr>
          <w:b/>
          <w:sz w:val="36"/>
        </w:rPr>
        <w:t>第三章 谈判项目技术、服务、商务及其他要求</w:t>
      </w:r>
    </w:p>
    <w:p>
      <w:pPr>
        <w:pStyle w:val="null3"/>
        <w:ind w:firstLine="480"/>
      </w:pPr>
      <w:r>
        <w:rPr/>
        <w:t>（带“★”的参数需求为实质性要求，供应商必须响应并满足的参数需求，采购人、采购代理机构应当根据项目实际需求合理设定，并明确具体要求。）</w:t>
      </w:r>
    </w:p>
    <w:p>
      <w:pPr>
        <w:pStyle w:val="null3"/>
        <w:outlineLvl w:val="2"/>
      </w:pPr>
      <w:r>
        <w:rPr>
          <w:b/>
          <w:sz w:val="28"/>
        </w:rPr>
        <w:t>3.1、采购项目概况</w:t>
      </w:r>
    </w:p>
    <w:p>
      <w:pPr>
        <w:pStyle w:val="null3"/>
      </w:pPr>
    </w:p>
    <w:p>
      <w:pPr>
        <w:pStyle w:val="null3"/>
      </w:pPr>
      <w:r>
        <w:rPr/>
        <w:t>崇州市文化体育和旅游局因工作需要采购崇州市民生工程，成都运动角健身设施一批，现通过竞争性谈判的方式确定一位符合本项目要求的投标供应商做为本项目执行单位。</w:t>
      </w:r>
    </w:p>
    <w:p>
      <w:pPr>
        <w:pStyle w:val="null3"/>
        <w:ind w:firstLine="480"/>
        <w:outlineLvl w:val="2"/>
      </w:pPr>
      <w:r>
        <w:rPr>
          <w:b/>
          <w:sz w:val="28"/>
        </w:rPr>
        <w:t>3.2、采购内容</w:t>
      </w:r>
    </w:p>
    <w:p>
      <w:pPr>
        <w:pStyle w:val="null3"/>
      </w:pPr>
    </w:p>
    <w:p>
      <w:pPr>
        <w:pStyle w:val="null3"/>
      </w:pPr>
    </w:p>
    <w:p>
      <w:pPr>
        <w:pStyle w:val="null3"/>
      </w:pPr>
    </w:p>
    <w:p>
      <w:pPr>
        <w:pStyle w:val="null3"/>
      </w:pPr>
      <w:r>
        <w:rPr/>
        <w:t>采购包1：</w:t>
      </w:r>
    </w:p>
    <w:p>
      <w:pPr>
        <w:pStyle w:val="null3"/>
      </w:pPr>
      <w:r>
        <w:rPr/>
        <w:t>采购包预算金额（元）: 400,000.00</w:t>
      </w:r>
    </w:p>
    <w:p>
      <w:pPr>
        <w:pStyle w:val="null3"/>
      </w:pPr>
      <w:r>
        <w:rPr/>
        <w:t>采购包最高限价（元）: 400,000.00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健身器材</w:t>
            </w:r>
          </w:p>
        </w:tc>
        <w:tc>
          <w:tcPr>
            <w:tcW w:type="dxa" w:w="831"/>
          </w:tcPr>
          <w:p>
            <w:pPr>
              <w:pStyle w:val="null3"/>
              <w:jc w:val="right"/>
            </w:pPr>
            <w:r>
              <w:rPr/>
              <w:t>1.00</w:t>
            </w:r>
          </w:p>
        </w:tc>
        <w:tc>
          <w:tcPr>
            <w:tcW w:type="dxa" w:w="831"/>
          </w:tcPr>
          <w:p>
            <w:pPr>
              <w:pStyle w:val="null3"/>
              <w:jc w:val="right"/>
            </w:pPr>
            <w:r>
              <w:rPr/>
              <w:t>400,000.00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ind w:firstLine="480"/>
        <w:outlineLvl w:val="2"/>
      </w:pPr>
      <w:r>
        <w:rPr>
          <w:b/>
          <w:sz w:val="28"/>
        </w:rPr>
        <w:t>3.3、技术参数及要求</w:t>
      </w:r>
    </w:p>
    <w:p>
      <w:pPr>
        <w:pStyle w:val="null3"/>
      </w:pPr>
    </w:p>
    <w:p>
      <w:pPr>
        <w:pStyle w:val="null3"/>
      </w:pPr>
    </w:p>
    <w:p>
      <w:pPr>
        <w:pStyle w:val="null3"/>
      </w:pPr>
    </w:p>
    <w:p>
      <w:pPr>
        <w:pStyle w:val="null3"/>
      </w:pPr>
      <w:r>
        <w:rPr/>
        <w:t>采购包1：</w:t>
      </w:r>
    </w:p>
    <w:p>
      <w:pPr>
        <w:pStyle w:val="null3"/>
      </w:pPr>
    </w:p>
    <w:p>
      <w:pPr>
        <w:pStyle w:val="null3"/>
      </w:pPr>
      <w:r>
        <w:rPr/>
        <w:t>标的名称：健身器材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参数性质</w:t>
            </w:r>
          </w:p>
        </w:tc>
        <w:tc>
          <w:tcPr>
            <w:tcW w:type="dxa" w:w="2769"/>
          </w:tcPr>
          <w:p>
            <w:pPr>
              <w:pStyle w:val="null3"/>
            </w:pPr>
            <w:r>
              <w:rPr/>
              <w:t>序号</w:t>
            </w:r>
          </w:p>
        </w:tc>
        <w:tc>
          <w:tcPr>
            <w:tcW w:type="dxa" w:w="2769"/>
          </w:tcPr>
          <w:p>
            <w:pPr>
              <w:pStyle w:val="null3"/>
            </w:pPr>
            <w:r>
              <w:rPr/>
              <w:t>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ind w:firstLine="480"/>
              <w:jc w:val="both"/>
            </w:pPr>
            <w:r>
              <w:rPr>
                <w:rFonts w:ascii="仿宋" w:hAnsi="仿宋" w:cs="仿宋" w:eastAsia="仿宋"/>
                <w:color w:val="000000"/>
                <w:sz w:val="28"/>
                <w:shd w:fill="FFFFFF" w:val="clear"/>
              </w:rPr>
              <w:t>本项目核心产品为：</w:t>
            </w:r>
            <w:r>
              <w:rPr>
                <w:rFonts w:ascii="仿宋" w:hAnsi="仿宋" w:cs="仿宋" w:eastAsia="仿宋"/>
                <w:color w:val="000000"/>
                <w:sz w:val="28"/>
                <w:shd w:fill="FFFFFF" w:val="clear"/>
              </w:rPr>
              <w:t>双位太空漫步机</w:t>
            </w:r>
          </w:p>
          <w:p>
            <w:pPr>
              <w:pStyle w:val="null3"/>
              <w:ind w:firstLine="480"/>
              <w:jc w:val="both"/>
            </w:pPr>
          </w:p>
          <w:tbl>
            <w:tblPr>
              <w:tblBorders>
                <w:top w:val="none" w:color="000000" w:sz="4"/>
                <w:left w:val="none" w:color="000000" w:sz="4"/>
                <w:bottom w:val="none" w:color="000000" w:sz="4"/>
                <w:right w:val="none" w:color="000000" w:sz="4"/>
                <w:insideH w:val="none"/>
                <w:insideV w:val="none"/>
              </w:tblBorders>
            </w:tblPr>
            <w:tblGrid>
              <w:gridCol w:w="183"/>
              <w:gridCol w:w="340"/>
              <w:gridCol w:w="257"/>
              <w:gridCol w:w="1763"/>
            </w:tblGrid>
            <w:tr>
              <w:tc>
                <w:tcPr>
                  <w:tcW w:type="dxa" w:w="1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480"/>
                    <w:jc w:val="center"/>
                  </w:pPr>
                  <w:r>
                    <w:rPr>
                      <w:rFonts w:ascii="仿宋" w:hAnsi="仿宋" w:cs="仿宋" w:eastAsia="仿宋"/>
                      <w:b/>
                      <w:color w:val="000000"/>
                      <w:sz w:val="24"/>
                    </w:rPr>
                    <w:t>序号</w:t>
                  </w:r>
                </w:p>
              </w:tc>
              <w:tc>
                <w:tcPr>
                  <w:tcW w:type="dxa" w:w="3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480"/>
                    <w:jc w:val="center"/>
                  </w:pPr>
                  <w:r>
                    <w:rPr>
                      <w:rFonts w:ascii="仿宋" w:hAnsi="仿宋" w:cs="仿宋" w:eastAsia="仿宋"/>
                      <w:b/>
                      <w:color w:val="000000"/>
                      <w:sz w:val="24"/>
                    </w:rPr>
                    <w:t>标的名称</w:t>
                  </w:r>
                </w:p>
              </w:tc>
              <w:tc>
                <w:tcPr>
                  <w:tcW w:type="dxa" w:w="2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480"/>
                    <w:jc w:val="center"/>
                  </w:pPr>
                  <w:r>
                    <w:rPr>
                      <w:rFonts w:ascii="仿宋" w:hAnsi="仿宋" w:cs="仿宋" w:eastAsia="仿宋"/>
                      <w:b/>
                      <w:color w:val="000000"/>
                      <w:sz w:val="24"/>
                    </w:rPr>
                    <w:t>单位</w:t>
                  </w:r>
                </w:p>
              </w:tc>
              <w:tc>
                <w:tcPr>
                  <w:tcW w:type="dxa" w:w="17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480"/>
                    <w:jc w:val="center"/>
                  </w:pPr>
                  <w:r>
                    <w:rPr>
                      <w:rFonts w:ascii="仿宋" w:hAnsi="仿宋" w:cs="仿宋" w:eastAsia="仿宋"/>
                      <w:b/>
                      <w:color w:val="000000"/>
                      <w:sz w:val="24"/>
                    </w:rPr>
                    <w:t>技术参数要求</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right="-105" w:firstLine="480"/>
                    <w:jc w:val="center"/>
                  </w:pPr>
                  <w:r>
                    <w:rPr>
                      <w:rFonts w:ascii="仿宋" w:hAnsi="仿宋" w:cs="仿宋" w:eastAsia="仿宋"/>
                      <w:color w:val="000000"/>
                      <w:sz w:val="24"/>
                      <w:shd w:fill="FFFFFF" w:val="clear"/>
                    </w:rPr>
                    <w:t>1</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480"/>
                    <w:jc w:val="center"/>
                  </w:pPr>
                  <w:r>
                    <w:rPr>
                      <w:rFonts w:ascii="仿宋" w:hAnsi="仿宋" w:cs="仿宋" w:eastAsia="仿宋"/>
                      <w:color w:val="000000"/>
                      <w:sz w:val="24"/>
                      <w:shd w:fill="FFFFFF" w:val="clear"/>
                    </w:rPr>
                    <w:t>双位太空漫步机</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480"/>
                    <w:jc w:val="center"/>
                  </w:pPr>
                  <w:r>
                    <w:rPr>
                      <w:rFonts w:ascii="仿宋" w:hAnsi="仿宋" w:cs="仿宋" w:eastAsia="仿宋"/>
                      <w:color w:val="000000"/>
                      <w:sz w:val="24"/>
                    </w:rPr>
                    <w:t>16件</w:t>
                  </w:r>
                </w:p>
              </w:tc>
              <w:tc>
                <w:tcPr>
                  <w:tcW w:type="dxa" w:w="1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480"/>
                    <w:jc w:val="left"/>
                  </w:pPr>
                  <w:r>
                    <w:rPr>
                      <w:rFonts w:ascii="仿宋" w:hAnsi="仿宋" w:cs="仿宋" w:eastAsia="仿宋"/>
                      <w:color w:val="000000"/>
                      <w:sz w:val="24"/>
                    </w:rPr>
                    <w:t>1.</w:t>
                  </w:r>
                  <w:r>
                    <w:rPr>
                      <w:rFonts w:ascii="仿宋" w:hAnsi="仿宋" w:cs="仿宋" w:eastAsia="仿宋"/>
                      <w:sz w:val="24"/>
                    </w:rPr>
                    <w:t>外形尺寸：</w:t>
                  </w:r>
                  <w:r>
                    <w:rPr>
                      <w:rFonts w:ascii="仿宋" w:hAnsi="仿宋" w:cs="仿宋" w:eastAsia="仿宋"/>
                      <w:sz w:val="24"/>
                    </w:rPr>
                    <w:t>≥2150×550×1200(mm);</w:t>
                  </w:r>
                </w:p>
                <w:p>
                  <w:pPr>
                    <w:pStyle w:val="null3"/>
                    <w:spacing w:before="105" w:after="105"/>
                    <w:ind w:firstLine="480"/>
                    <w:jc w:val="left"/>
                  </w:pPr>
                  <w:r>
                    <w:rPr>
                      <w:rFonts w:ascii="仿宋" w:hAnsi="仿宋" w:cs="仿宋" w:eastAsia="仿宋"/>
                      <w:color w:val="000000"/>
                      <w:sz w:val="24"/>
                    </w:rPr>
                    <w:t>2.主要承载立柱尺寸：≥φ114×3（mm）；</w:t>
                  </w:r>
                </w:p>
                <w:p>
                  <w:pPr>
                    <w:pStyle w:val="null3"/>
                    <w:spacing w:before="105" w:after="105"/>
                    <w:ind w:firstLine="480"/>
                    <w:jc w:val="left"/>
                  </w:pPr>
                  <w:r>
                    <w:rPr>
                      <w:rFonts w:ascii="仿宋" w:hAnsi="仿宋" w:cs="仿宋" w:eastAsia="仿宋"/>
                      <w:color w:val="000000"/>
                      <w:sz w:val="24"/>
                    </w:rPr>
                    <w:t>3.主要承载横梁尺寸：≥40×3（mm）钢管，与其他管材同时满足GB19272—2011标准中相关静载荷、稳定性要求；</w:t>
                  </w:r>
                </w:p>
                <w:p>
                  <w:pPr>
                    <w:pStyle w:val="null3"/>
                    <w:spacing w:before="105" w:after="105"/>
                    <w:ind w:firstLine="480"/>
                    <w:jc w:val="left"/>
                  </w:pPr>
                  <w:r>
                    <w:rPr>
                      <w:rFonts w:ascii="仿宋" w:hAnsi="仿宋" w:cs="仿宋" w:eastAsia="仿宋"/>
                      <w:color w:val="000000"/>
                      <w:sz w:val="24"/>
                    </w:rPr>
                    <w:t>4.踏板采用≥4mm钢板冲压件，踏板的主运动方向和易滑脱方向应设置高度≥30mm、长度大于踏板周长2/3的防滑脱的凸台或护板；</w:t>
                  </w:r>
                </w:p>
                <w:p>
                  <w:pPr>
                    <w:pStyle w:val="null3"/>
                    <w:spacing w:before="105" w:after="105"/>
                    <w:ind w:firstLine="480"/>
                    <w:jc w:val="left"/>
                  </w:pPr>
                  <w:r>
                    <w:rPr>
                      <w:rFonts w:ascii="仿宋" w:hAnsi="仿宋" w:cs="仿宋" w:eastAsia="仿宋"/>
                      <w:color w:val="000000"/>
                      <w:sz w:val="24"/>
                    </w:rPr>
                    <w:t>5.安装方式：直埋式；</w:t>
                  </w:r>
                </w:p>
                <w:p>
                  <w:pPr>
                    <w:pStyle w:val="null3"/>
                    <w:spacing w:before="105" w:after="105"/>
                    <w:ind w:firstLine="480"/>
                    <w:jc w:val="both"/>
                  </w:pPr>
                  <w:r>
                    <w:rPr>
                      <w:rFonts w:ascii="仿宋" w:hAnsi="仿宋" w:cs="仿宋" w:eastAsia="仿宋"/>
                      <w:color w:val="000000"/>
                      <w:sz w:val="24"/>
                    </w:rPr>
                    <w:t>6.供应商在响应文件中提供该器材通过GB19272-2011《室外健身器材的安全 通用要求》的检测报告复印件和NSCC产品认证证书复印件及产品认证证书确认函复印件并加盖供应商公章。</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right="-105" w:firstLine="480"/>
                    <w:jc w:val="center"/>
                  </w:pPr>
                  <w:r>
                    <w:rPr>
                      <w:rFonts w:ascii="仿宋" w:hAnsi="仿宋" w:cs="仿宋" w:eastAsia="仿宋"/>
                      <w:color w:val="000000"/>
                      <w:sz w:val="24"/>
                      <w:shd w:fill="FFFFFF" w:val="clear"/>
                    </w:rPr>
                    <w:t>2</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480"/>
                    <w:jc w:val="center"/>
                  </w:pPr>
                  <w:r>
                    <w:rPr>
                      <w:rFonts w:ascii="仿宋" w:hAnsi="仿宋" w:cs="仿宋" w:eastAsia="仿宋"/>
                      <w:color w:val="000000"/>
                      <w:sz w:val="24"/>
                      <w:shd w:fill="FFFFFF" w:val="clear"/>
                    </w:rPr>
                    <w:t>三位扭腰器</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480"/>
                    <w:jc w:val="center"/>
                  </w:pPr>
                  <w:r>
                    <w:rPr>
                      <w:rFonts w:ascii="仿宋" w:hAnsi="仿宋" w:cs="仿宋" w:eastAsia="仿宋"/>
                      <w:color w:val="000000"/>
                      <w:sz w:val="24"/>
                    </w:rPr>
                    <w:t>16件</w:t>
                  </w:r>
                </w:p>
              </w:tc>
              <w:tc>
                <w:tcPr>
                  <w:tcW w:type="dxa" w:w="1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480"/>
                    <w:jc w:val="left"/>
                  </w:pPr>
                  <w:r>
                    <w:rPr>
                      <w:rFonts w:ascii="仿宋" w:hAnsi="仿宋" w:cs="仿宋" w:eastAsia="仿宋"/>
                      <w:sz w:val="24"/>
                    </w:rPr>
                    <w:t>1.</w:t>
                  </w:r>
                  <w:r>
                    <w:rPr>
                      <w:rFonts w:ascii="仿宋" w:hAnsi="仿宋" w:cs="仿宋" w:eastAsia="仿宋"/>
                      <w:sz w:val="24"/>
                    </w:rPr>
                    <w:t>外形尺寸：</w:t>
                  </w:r>
                  <w:r>
                    <w:rPr>
                      <w:rFonts w:ascii="仿宋" w:hAnsi="仿宋" w:cs="仿宋" w:eastAsia="仿宋"/>
                      <w:sz w:val="24"/>
                    </w:rPr>
                    <w:t>≥1350×1200×1000(mm</w:t>
                  </w:r>
                  <w:r>
                    <w:rPr>
                      <w:rFonts w:ascii="仿宋" w:hAnsi="仿宋" w:cs="仿宋" w:eastAsia="仿宋"/>
                      <w:color w:val="000000"/>
                      <w:sz w:val="24"/>
                    </w:rPr>
                    <w:t>);</w:t>
                  </w:r>
                </w:p>
                <w:p>
                  <w:pPr>
                    <w:pStyle w:val="null3"/>
                    <w:spacing w:before="105" w:after="105"/>
                    <w:ind w:firstLine="480"/>
                    <w:jc w:val="left"/>
                  </w:pPr>
                  <w:r>
                    <w:rPr>
                      <w:rFonts w:ascii="仿宋" w:hAnsi="仿宋" w:cs="仿宋" w:eastAsia="仿宋"/>
                      <w:color w:val="000000"/>
                      <w:sz w:val="24"/>
                    </w:rPr>
                    <w:t>2.主要承载立柱尺寸：≥φ114×3（mm）；</w:t>
                  </w:r>
                </w:p>
                <w:p>
                  <w:pPr>
                    <w:pStyle w:val="null3"/>
                    <w:spacing w:before="105" w:after="105"/>
                    <w:ind w:firstLine="480"/>
                    <w:jc w:val="left"/>
                  </w:pPr>
                  <w:r>
                    <w:rPr>
                      <w:rFonts w:ascii="仿宋" w:hAnsi="仿宋" w:cs="仿宋" w:eastAsia="仿宋"/>
                      <w:color w:val="000000"/>
                      <w:sz w:val="24"/>
                    </w:rPr>
                    <w:t>3.主要承载横梁尺寸：≥φ32×3（mm）钢管，扭腰盘立柱≥76×3（mm），与其他管材同时满足GB19272—2011标准中相关静载荷、稳定性要求；</w:t>
                  </w:r>
                </w:p>
                <w:p>
                  <w:pPr>
                    <w:pStyle w:val="null3"/>
                    <w:spacing w:before="105" w:after="105"/>
                    <w:ind w:firstLine="480"/>
                    <w:jc w:val="left"/>
                  </w:pPr>
                  <w:r>
                    <w:rPr>
                      <w:rFonts w:ascii="仿宋" w:hAnsi="仿宋" w:cs="仿宋" w:eastAsia="仿宋"/>
                      <w:color w:val="000000"/>
                      <w:sz w:val="24"/>
                    </w:rPr>
                    <w:t>4.扭腰盘直径≥320mm，采用≥4mm钢板冲压制作；盘上表面边缘R5mm的圆弧过渡；</w:t>
                  </w:r>
                </w:p>
                <w:p>
                  <w:pPr>
                    <w:pStyle w:val="null3"/>
                    <w:spacing w:before="105" w:after="105"/>
                    <w:ind w:firstLine="480"/>
                    <w:jc w:val="left"/>
                  </w:pPr>
                  <w:r>
                    <w:rPr>
                      <w:rFonts w:ascii="仿宋" w:hAnsi="仿宋" w:cs="仿宋" w:eastAsia="仿宋"/>
                      <w:color w:val="000000"/>
                      <w:sz w:val="24"/>
                    </w:rPr>
                    <w:t>5.扭腰盘应具有阻尼装置；</w:t>
                  </w:r>
                </w:p>
                <w:p>
                  <w:pPr>
                    <w:pStyle w:val="null3"/>
                    <w:spacing w:before="105" w:after="105"/>
                    <w:ind w:firstLine="480"/>
                    <w:jc w:val="left"/>
                  </w:pPr>
                  <w:r>
                    <w:rPr>
                      <w:rFonts w:ascii="仿宋" w:hAnsi="仿宋" w:cs="仿宋" w:eastAsia="仿宋"/>
                      <w:color w:val="000000"/>
                      <w:sz w:val="24"/>
                    </w:rPr>
                    <w:t>6.安装方式：直埋式；</w:t>
                  </w:r>
                </w:p>
                <w:p>
                  <w:pPr>
                    <w:pStyle w:val="null3"/>
                    <w:spacing w:before="105" w:after="105"/>
                    <w:ind w:firstLine="480"/>
                    <w:jc w:val="left"/>
                  </w:pPr>
                  <w:r>
                    <w:rPr>
                      <w:rFonts w:ascii="仿宋" w:hAnsi="仿宋" w:cs="仿宋" w:eastAsia="仿宋"/>
                      <w:color w:val="000000"/>
                      <w:sz w:val="24"/>
                    </w:rPr>
                    <w:t>7.供应商在响应文件中提供该器材通过GB19272-2011《室外健身器材的安全 通用要求》的检测报告复印件和NSCC产品认证证书复印件及产品认证证书确认函复印件并加盖供应商公章。</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right="-105" w:firstLine="480"/>
                    <w:jc w:val="center"/>
                  </w:pPr>
                  <w:r>
                    <w:rPr>
                      <w:rFonts w:ascii="仿宋" w:hAnsi="仿宋" w:cs="仿宋" w:eastAsia="仿宋"/>
                      <w:color w:val="000000"/>
                      <w:sz w:val="24"/>
                      <w:shd w:fill="FFFFFF" w:val="clear"/>
                    </w:rPr>
                    <w:t>3</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480"/>
                    <w:jc w:val="center"/>
                  </w:pPr>
                  <w:r>
                    <w:rPr>
                      <w:rFonts w:ascii="仿宋" w:hAnsi="仿宋" w:cs="仿宋" w:eastAsia="仿宋"/>
                      <w:color w:val="000000"/>
                      <w:sz w:val="24"/>
                      <w:shd w:fill="FFFFFF" w:val="clear"/>
                    </w:rPr>
                    <w:t>太极推揉器</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480"/>
                    <w:jc w:val="both"/>
                  </w:pPr>
                  <w:r>
                    <w:rPr>
                      <w:rFonts w:ascii="仿宋" w:hAnsi="仿宋" w:cs="仿宋" w:eastAsia="仿宋"/>
                      <w:color w:val="000000"/>
                      <w:sz w:val="24"/>
                    </w:rPr>
                    <w:t>16件</w:t>
                  </w:r>
                </w:p>
              </w:tc>
              <w:tc>
                <w:tcPr>
                  <w:tcW w:type="dxa" w:w="1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480"/>
                    <w:jc w:val="left"/>
                  </w:pPr>
                  <w:r>
                    <w:rPr>
                      <w:rFonts w:ascii="仿宋" w:hAnsi="仿宋" w:cs="仿宋" w:eastAsia="仿宋"/>
                      <w:color w:val="000000"/>
                      <w:sz w:val="24"/>
                    </w:rPr>
                    <w:t>1.</w:t>
                  </w:r>
                  <w:r>
                    <w:rPr>
                      <w:rFonts w:ascii="仿宋" w:hAnsi="仿宋" w:cs="仿宋" w:eastAsia="仿宋"/>
                      <w:sz w:val="24"/>
                    </w:rPr>
                    <w:t>外形尺寸：</w:t>
                  </w:r>
                  <w:r>
                    <w:rPr>
                      <w:rFonts w:ascii="仿宋" w:hAnsi="仿宋" w:cs="仿宋" w:eastAsia="仿宋"/>
                      <w:sz w:val="24"/>
                    </w:rPr>
                    <w:t>≥1100×1050×1320(mm);</w:t>
                  </w:r>
                </w:p>
                <w:p>
                  <w:pPr>
                    <w:pStyle w:val="null3"/>
                    <w:spacing w:before="105" w:after="105"/>
                    <w:ind w:firstLine="480"/>
                    <w:jc w:val="left"/>
                  </w:pPr>
                  <w:r>
                    <w:rPr>
                      <w:rFonts w:ascii="仿宋" w:hAnsi="仿宋" w:cs="仿宋" w:eastAsia="仿宋"/>
                      <w:color w:val="000000"/>
                      <w:sz w:val="24"/>
                    </w:rPr>
                    <w:t>2.主要承载立柱尺寸：≥φ114×3（mm）；</w:t>
                  </w:r>
                </w:p>
                <w:p>
                  <w:pPr>
                    <w:pStyle w:val="null3"/>
                    <w:spacing w:before="105" w:after="105"/>
                    <w:ind w:firstLine="480"/>
                    <w:jc w:val="left"/>
                  </w:pPr>
                  <w:r>
                    <w:rPr>
                      <w:rFonts w:ascii="仿宋" w:hAnsi="仿宋" w:cs="仿宋" w:eastAsia="仿宋"/>
                      <w:color w:val="000000"/>
                      <w:sz w:val="24"/>
                    </w:rPr>
                    <w:t>3.主要承载横梁尺寸：≥φ50×3（mm）钢管，与其他管材同时满足GB19272—2011标准中相关静载荷、稳定性要求；</w:t>
                  </w:r>
                </w:p>
                <w:p>
                  <w:pPr>
                    <w:pStyle w:val="null3"/>
                    <w:spacing w:before="105" w:after="105"/>
                    <w:ind w:firstLine="480"/>
                    <w:jc w:val="left"/>
                  </w:pPr>
                  <w:r>
                    <w:rPr>
                      <w:rFonts w:ascii="仿宋" w:hAnsi="仿宋" w:cs="仿宋" w:eastAsia="仿宋"/>
                      <w:color w:val="000000"/>
                      <w:sz w:val="24"/>
                    </w:rPr>
                    <w:t>4.两转盘间的开口距离≥230mm，把手端部直径≥50mm；</w:t>
                  </w:r>
                </w:p>
                <w:p>
                  <w:pPr>
                    <w:pStyle w:val="null3"/>
                    <w:spacing w:before="105" w:after="105"/>
                    <w:ind w:firstLine="480"/>
                    <w:jc w:val="left"/>
                  </w:pPr>
                  <w:r>
                    <w:rPr>
                      <w:rFonts w:ascii="仿宋" w:hAnsi="仿宋" w:cs="仿宋" w:eastAsia="仿宋"/>
                      <w:color w:val="000000"/>
                      <w:sz w:val="24"/>
                    </w:rPr>
                    <w:t>5.转盘应具有阻尼装置，转盘采用钢板冲压卷边成型；转盘轴直径为≥25mm;</w:t>
                  </w:r>
                </w:p>
                <w:p>
                  <w:pPr>
                    <w:pStyle w:val="null3"/>
                    <w:spacing w:before="105" w:after="105"/>
                    <w:ind w:firstLine="480"/>
                    <w:jc w:val="left"/>
                  </w:pPr>
                  <w:r>
                    <w:rPr>
                      <w:rFonts w:ascii="仿宋" w:hAnsi="仿宋" w:cs="仿宋" w:eastAsia="仿宋"/>
                      <w:color w:val="000000"/>
                      <w:sz w:val="24"/>
                    </w:rPr>
                    <w:t>6.安装方式：直埋式；</w:t>
                  </w:r>
                </w:p>
                <w:p>
                  <w:pPr>
                    <w:pStyle w:val="null3"/>
                    <w:spacing w:before="105" w:after="105"/>
                    <w:ind w:firstLine="480"/>
                    <w:jc w:val="left"/>
                  </w:pPr>
                  <w:r>
                    <w:rPr>
                      <w:rFonts w:ascii="仿宋" w:hAnsi="仿宋" w:cs="仿宋" w:eastAsia="仿宋"/>
                      <w:color w:val="000000"/>
                      <w:sz w:val="24"/>
                    </w:rPr>
                    <w:t>7.供应商在响应文件中提供该器材通过GB19272-2011《室外健身器材的安全 通用要求》的检测报告复印件和NSCC产品认证证书复印件及产品认证证书确认函复印件并加盖供应商公章。</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right="-105" w:firstLine="480"/>
                    <w:jc w:val="center"/>
                  </w:pPr>
                  <w:r>
                    <w:rPr>
                      <w:rFonts w:ascii="仿宋" w:hAnsi="仿宋" w:cs="仿宋" w:eastAsia="仿宋"/>
                      <w:color w:val="000000"/>
                      <w:sz w:val="24"/>
                      <w:shd w:fill="FFFFFF" w:val="clear"/>
                    </w:rPr>
                    <w:t>4</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480"/>
                    <w:jc w:val="both"/>
                  </w:pPr>
                  <w:r>
                    <w:rPr>
                      <w:rFonts w:ascii="仿宋" w:hAnsi="仿宋" w:cs="仿宋" w:eastAsia="仿宋"/>
                      <w:color w:val="000000"/>
                      <w:sz w:val="24"/>
                    </w:rPr>
                    <w:t>双位蹬力器</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480"/>
                    <w:jc w:val="center"/>
                  </w:pPr>
                  <w:r>
                    <w:rPr>
                      <w:rFonts w:ascii="仿宋" w:hAnsi="仿宋" w:cs="仿宋" w:eastAsia="仿宋"/>
                      <w:color w:val="000000"/>
                      <w:sz w:val="24"/>
                    </w:rPr>
                    <w:t>16件</w:t>
                  </w:r>
                </w:p>
              </w:tc>
              <w:tc>
                <w:tcPr>
                  <w:tcW w:type="dxa" w:w="1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480"/>
                    <w:jc w:val="left"/>
                  </w:pPr>
                  <w:r>
                    <w:rPr>
                      <w:rFonts w:ascii="仿宋" w:hAnsi="仿宋" w:cs="仿宋" w:eastAsia="仿宋"/>
                      <w:color w:val="000000"/>
                      <w:sz w:val="24"/>
                    </w:rPr>
                    <w:t>1.</w:t>
                  </w:r>
                  <w:r>
                    <w:rPr>
                      <w:rFonts w:ascii="仿宋" w:hAnsi="仿宋" w:cs="仿宋" w:eastAsia="仿宋"/>
                      <w:sz w:val="24"/>
                    </w:rPr>
                    <w:t>外形尺寸：</w:t>
                  </w:r>
                  <w:r>
                    <w:rPr>
                      <w:rFonts w:ascii="仿宋" w:hAnsi="仿宋" w:cs="仿宋" w:eastAsia="仿宋"/>
                      <w:sz w:val="24"/>
                    </w:rPr>
                    <w:t>≥2100×380×1520(mm);</w:t>
                  </w:r>
                </w:p>
                <w:p>
                  <w:pPr>
                    <w:pStyle w:val="null3"/>
                    <w:spacing w:before="105" w:after="105"/>
                    <w:ind w:firstLine="480"/>
                    <w:jc w:val="both"/>
                  </w:pPr>
                  <w:r>
                    <w:rPr>
                      <w:rFonts w:ascii="仿宋" w:hAnsi="仿宋" w:cs="仿宋" w:eastAsia="仿宋"/>
                      <w:color w:val="000000"/>
                      <w:sz w:val="24"/>
                    </w:rPr>
                    <w:t>2.主要承载立柱尺寸：≥φ114×3（mm）；</w:t>
                  </w:r>
                </w:p>
                <w:p>
                  <w:pPr>
                    <w:pStyle w:val="null3"/>
                    <w:spacing w:before="105" w:after="105"/>
                    <w:ind w:firstLine="480"/>
                    <w:jc w:val="both"/>
                  </w:pPr>
                  <w:r>
                    <w:rPr>
                      <w:rFonts w:ascii="仿宋" w:hAnsi="仿宋" w:cs="仿宋" w:eastAsia="仿宋"/>
                      <w:color w:val="000000"/>
                      <w:sz w:val="24"/>
                    </w:rPr>
                    <w:t>3.主要承载横梁尺寸：≥φ60×3（mm）钢管，与其他管材同时满足GB19272—2011标准中相关静载荷、稳定性要求；</w:t>
                  </w:r>
                </w:p>
                <w:p>
                  <w:pPr>
                    <w:pStyle w:val="null3"/>
                    <w:spacing w:before="105" w:after="105"/>
                    <w:ind w:firstLine="480"/>
                    <w:jc w:val="both"/>
                  </w:pPr>
                  <w:r>
                    <w:rPr>
                      <w:rFonts w:ascii="仿宋" w:hAnsi="仿宋" w:cs="仿宋" w:eastAsia="仿宋"/>
                      <w:color w:val="000000"/>
                      <w:sz w:val="24"/>
                    </w:rPr>
                    <w:t>4.座支撑管为≥60×3（mm）钢管弯管而成。脚踏防滑管采用≥60×3（mm）菱形花纹管。座靠板为≥4mm钢板冲压件；</w:t>
                  </w:r>
                </w:p>
                <w:p>
                  <w:pPr>
                    <w:pStyle w:val="null3"/>
                    <w:spacing w:before="105" w:after="105"/>
                    <w:ind w:firstLine="480"/>
                    <w:jc w:val="both"/>
                  </w:pPr>
                  <w:r>
                    <w:rPr>
                      <w:rFonts w:ascii="仿宋" w:hAnsi="仿宋" w:cs="仿宋" w:eastAsia="仿宋"/>
                      <w:color w:val="000000"/>
                      <w:sz w:val="24"/>
                    </w:rPr>
                    <w:t>5.安装方式：直埋式；</w:t>
                  </w:r>
                </w:p>
                <w:p>
                  <w:pPr>
                    <w:pStyle w:val="null3"/>
                    <w:spacing w:before="105" w:after="105"/>
                    <w:ind w:firstLine="480"/>
                    <w:jc w:val="both"/>
                  </w:pPr>
                  <w:r>
                    <w:rPr>
                      <w:rFonts w:ascii="仿宋" w:hAnsi="仿宋" w:cs="仿宋" w:eastAsia="仿宋"/>
                      <w:color w:val="000000"/>
                      <w:sz w:val="24"/>
                    </w:rPr>
                    <w:t>6.供应商在响应文件中提供该器材通过GB19272-2011《室外健身器材的安全 通用要求》的检测报告复印件和NSCC产品认证证书复印件及产品认证证书确认函复印件并加盖供应商公章。</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right="-105" w:firstLine="480"/>
                    <w:jc w:val="center"/>
                  </w:pPr>
                  <w:r>
                    <w:rPr>
                      <w:rFonts w:ascii="仿宋" w:hAnsi="仿宋" w:cs="仿宋" w:eastAsia="仿宋"/>
                      <w:color w:val="000000"/>
                      <w:sz w:val="24"/>
                      <w:shd w:fill="FFFFFF" w:val="clear"/>
                    </w:rPr>
                    <w:t>5</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480"/>
                    <w:jc w:val="center"/>
                  </w:pPr>
                  <w:r>
                    <w:rPr>
                      <w:rFonts w:ascii="仿宋" w:hAnsi="仿宋" w:cs="仿宋" w:eastAsia="仿宋"/>
                      <w:color w:val="000000"/>
                      <w:sz w:val="24"/>
                      <w:shd w:fill="FFFFFF" w:val="clear"/>
                    </w:rPr>
                    <w:t>三角肌训练器</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480"/>
                    <w:jc w:val="center"/>
                  </w:pPr>
                  <w:r>
                    <w:rPr>
                      <w:rFonts w:ascii="仿宋" w:hAnsi="仿宋" w:cs="仿宋" w:eastAsia="仿宋"/>
                      <w:color w:val="000000"/>
                      <w:sz w:val="24"/>
                    </w:rPr>
                    <w:t>16件</w:t>
                  </w:r>
                </w:p>
              </w:tc>
              <w:tc>
                <w:tcPr>
                  <w:tcW w:type="dxa" w:w="1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480"/>
                    <w:jc w:val="left"/>
                  </w:pPr>
                  <w:r>
                    <w:rPr>
                      <w:rFonts w:ascii="仿宋" w:hAnsi="仿宋" w:cs="仿宋" w:eastAsia="仿宋"/>
                      <w:color w:val="000000"/>
                      <w:sz w:val="24"/>
                    </w:rPr>
                    <w:t>1.</w:t>
                  </w:r>
                  <w:r>
                    <w:rPr>
                      <w:rFonts w:ascii="仿宋" w:hAnsi="仿宋" w:cs="仿宋" w:eastAsia="仿宋"/>
                      <w:sz w:val="24"/>
                    </w:rPr>
                    <w:t>外型尺寸：</w:t>
                  </w:r>
                  <w:r>
                    <w:rPr>
                      <w:rFonts w:ascii="仿宋" w:hAnsi="仿宋" w:cs="仿宋" w:eastAsia="仿宋"/>
                      <w:sz w:val="24"/>
                    </w:rPr>
                    <w:t>≥765×760×1380(mm);</w:t>
                  </w:r>
                </w:p>
                <w:p>
                  <w:pPr>
                    <w:pStyle w:val="null3"/>
                    <w:spacing w:before="105" w:after="105"/>
                    <w:ind w:firstLine="480"/>
                    <w:jc w:val="left"/>
                  </w:pPr>
                  <w:r>
                    <w:rPr>
                      <w:rFonts w:ascii="仿宋" w:hAnsi="仿宋" w:cs="仿宋" w:eastAsia="仿宋"/>
                      <w:color w:val="000000"/>
                      <w:sz w:val="24"/>
                    </w:rPr>
                    <w:t>2.主要承载立柱尺寸：≥φ114×3（mm）；</w:t>
                  </w:r>
                </w:p>
                <w:p>
                  <w:pPr>
                    <w:pStyle w:val="null3"/>
                    <w:spacing w:before="105" w:after="105"/>
                    <w:ind w:firstLine="480"/>
                    <w:jc w:val="left"/>
                  </w:pPr>
                  <w:r>
                    <w:rPr>
                      <w:rFonts w:ascii="仿宋" w:hAnsi="仿宋" w:cs="仿宋" w:eastAsia="仿宋"/>
                      <w:color w:val="000000"/>
                      <w:sz w:val="24"/>
                    </w:rPr>
                    <w:t>3.主要承载横梁尺寸：≥φ48×3（mm）钢管，与其他管材同时满足GB19272—2011标准中相关静载荷、稳定性要求；</w:t>
                  </w:r>
                </w:p>
                <w:p>
                  <w:pPr>
                    <w:pStyle w:val="null3"/>
                    <w:spacing w:before="105" w:after="105"/>
                    <w:ind w:firstLine="480"/>
                    <w:jc w:val="left"/>
                  </w:pPr>
                  <w:r>
                    <w:rPr>
                      <w:rFonts w:ascii="仿宋" w:hAnsi="仿宋" w:cs="仿宋" w:eastAsia="仿宋"/>
                      <w:color w:val="000000"/>
                      <w:sz w:val="24"/>
                    </w:rPr>
                    <w:t>4.按摩棒轴采用直径≥25mm圆钢加工而成，与按摩棒配合紧密，转动流畅；不存在衣服、头发钩挂或缠绕危险；</w:t>
                  </w:r>
                </w:p>
                <w:p>
                  <w:pPr>
                    <w:pStyle w:val="null3"/>
                    <w:spacing w:before="105" w:after="105"/>
                    <w:ind w:firstLine="480"/>
                    <w:jc w:val="left"/>
                  </w:pPr>
                  <w:r>
                    <w:rPr>
                      <w:rFonts w:ascii="仿宋" w:hAnsi="仿宋" w:cs="仿宋" w:eastAsia="仿宋"/>
                      <w:color w:val="000000"/>
                      <w:sz w:val="24"/>
                    </w:rPr>
                    <w:t>5.安装方式：直埋式；</w:t>
                  </w:r>
                </w:p>
                <w:p>
                  <w:pPr>
                    <w:pStyle w:val="null3"/>
                    <w:spacing w:before="105" w:after="105"/>
                    <w:ind w:firstLine="480"/>
                    <w:jc w:val="left"/>
                  </w:pPr>
                  <w:r>
                    <w:rPr>
                      <w:rFonts w:ascii="仿宋" w:hAnsi="仿宋" w:cs="仿宋" w:eastAsia="仿宋"/>
                      <w:color w:val="000000"/>
                      <w:sz w:val="24"/>
                    </w:rPr>
                    <w:t>6.锻炼方法：背靠或面向器材站立，双臂放在按摩轮下方横向伸展平举然后放下，做往复运动；</w:t>
                  </w:r>
                </w:p>
                <w:p>
                  <w:pPr>
                    <w:pStyle w:val="null3"/>
                    <w:spacing w:before="105" w:after="105"/>
                    <w:ind w:firstLine="480"/>
                    <w:jc w:val="left"/>
                  </w:pPr>
                  <w:r>
                    <w:rPr>
                      <w:rFonts w:ascii="仿宋" w:hAnsi="仿宋" w:cs="仿宋" w:eastAsia="仿宋"/>
                      <w:color w:val="000000"/>
                      <w:sz w:val="24"/>
                    </w:rPr>
                    <w:t>7.供应商在响应文件中提供该器材通过GB19272-2011《室外健身器材的安全 通用要求》的检测报告复印件和NSCC产品认证证书复印件及产品认证证书确认函复印件并加盖供应商公章。</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right="-105" w:firstLine="480"/>
                    <w:jc w:val="center"/>
                  </w:pPr>
                  <w:r>
                    <w:rPr>
                      <w:rFonts w:ascii="仿宋" w:hAnsi="仿宋" w:cs="仿宋" w:eastAsia="仿宋"/>
                      <w:color w:val="000000"/>
                      <w:sz w:val="24"/>
                      <w:shd w:fill="FFFFFF" w:val="clear"/>
                    </w:rPr>
                    <w:t>6</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480"/>
                    <w:jc w:val="center"/>
                  </w:pPr>
                  <w:r>
                    <w:rPr>
                      <w:rFonts w:ascii="仿宋" w:hAnsi="仿宋" w:cs="仿宋" w:eastAsia="仿宋"/>
                      <w:color w:val="000000"/>
                      <w:sz w:val="24"/>
                    </w:rPr>
                    <w:t>腰背按摩器</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480"/>
                    <w:jc w:val="center"/>
                  </w:pPr>
                  <w:r>
                    <w:rPr>
                      <w:rFonts w:ascii="仿宋" w:hAnsi="仿宋" w:cs="仿宋" w:eastAsia="仿宋"/>
                      <w:color w:val="000000"/>
                      <w:sz w:val="24"/>
                    </w:rPr>
                    <w:t>16件</w:t>
                  </w:r>
                </w:p>
              </w:tc>
              <w:tc>
                <w:tcPr>
                  <w:tcW w:type="dxa" w:w="1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480"/>
                    <w:jc w:val="both"/>
                  </w:pPr>
                  <w:r>
                    <w:rPr>
                      <w:rFonts w:ascii="仿宋" w:hAnsi="仿宋" w:cs="仿宋" w:eastAsia="仿宋"/>
                      <w:sz w:val="24"/>
                    </w:rPr>
                    <w:t>1.</w:t>
                  </w:r>
                  <w:r>
                    <w:rPr>
                      <w:rFonts w:ascii="仿宋" w:hAnsi="仿宋" w:cs="仿宋" w:eastAsia="仿宋"/>
                      <w:sz w:val="24"/>
                    </w:rPr>
                    <w:t>外型尺寸：</w:t>
                  </w:r>
                  <w:r>
                    <w:rPr>
                      <w:rFonts w:ascii="仿宋" w:hAnsi="仿宋" w:cs="仿宋" w:eastAsia="仿宋"/>
                      <w:sz w:val="24"/>
                    </w:rPr>
                    <w:t>≥990×780×1340(mm</w:t>
                  </w:r>
                  <w:r>
                    <w:rPr>
                      <w:rFonts w:ascii="仿宋" w:hAnsi="仿宋" w:cs="仿宋" w:eastAsia="仿宋"/>
                      <w:color w:val="000000"/>
                      <w:sz w:val="24"/>
                    </w:rPr>
                    <w:t>);</w:t>
                  </w:r>
                </w:p>
                <w:p>
                  <w:pPr>
                    <w:pStyle w:val="null3"/>
                    <w:spacing w:before="105" w:after="105"/>
                    <w:ind w:firstLine="480"/>
                    <w:jc w:val="both"/>
                  </w:pPr>
                  <w:r>
                    <w:rPr>
                      <w:rFonts w:ascii="仿宋" w:hAnsi="仿宋" w:cs="仿宋" w:eastAsia="仿宋"/>
                      <w:color w:val="000000"/>
                      <w:sz w:val="24"/>
                    </w:rPr>
                    <w:t>2.主要承载立柱尺寸：≥φ114×3（mm）</w:t>
                  </w:r>
                </w:p>
                <w:p>
                  <w:pPr>
                    <w:pStyle w:val="null3"/>
                    <w:spacing w:before="105" w:after="105"/>
                    <w:ind w:firstLine="480"/>
                    <w:jc w:val="both"/>
                  </w:pPr>
                  <w:r>
                    <w:rPr>
                      <w:rFonts w:ascii="仿宋" w:hAnsi="仿宋" w:cs="仿宋" w:eastAsia="仿宋"/>
                      <w:color w:val="000000"/>
                      <w:sz w:val="24"/>
                    </w:rPr>
                    <w:t>3.主要承载横梁尺寸：≥40×3（mm）钢管，与其他管材同时满足GB19272—2011标准中相关静载荷、稳定性要求；</w:t>
                  </w:r>
                </w:p>
                <w:p>
                  <w:pPr>
                    <w:pStyle w:val="null3"/>
                    <w:spacing w:before="105" w:after="105"/>
                    <w:ind w:firstLine="480"/>
                    <w:jc w:val="both"/>
                  </w:pPr>
                  <w:r>
                    <w:rPr>
                      <w:rFonts w:ascii="仿宋" w:hAnsi="仿宋" w:cs="仿宋" w:eastAsia="仿宋"/>
                      <w:color w:val="000000"/>
                      <w:sz w:val="24"/>
                    </w:rPr>
                    <w:t>4.扶手采用≥32×3(mm)菱形花纹管，端部直径≥50mm，转轴直径≥25mm；按摩轮与刚性固定部件间的间隙≥60mm；</w:t>
                  </w:r>
                </w:p>
                <w:p>
                  <w:pPr>
                    <w:pStyle w:val="null3"/>
                    <w:spacing w:before="105" w:after="105"/>
                    <w:ind w:firstLine="480"/>
                    <w:jc w:val="both"/>
                  </w:pPr>
                  <w:r>
                    <w:rPr>
                      <w:rFonts w:ascii="仿宋" w:hAnsi="仿宋" w:cs="仿宋" w:eastAsia="仿宋"/>
                      <w:color w:val="000000"/>
                      <w:sz w:val="24"/>
                    </w:rPr>
                    <w:t>5.安装方式：直埋式；</w:t>
                  </w:r>
                </w:p>
                <w:p>
                  <w:pPr>
                    <w:pStyle w:val="null3"/>
                    <w:spacing w:before="105" w:after="105"/>
                    <w:ind w:firstLine="480"/>
                    <w:jc w:val="both"/>
                  </w:pPr>
                  <w:r>
                    <w:rPr>
                      <w:rFonts w:ascii="仿宋" w:hAnsi="仿宋" w:cs="仿宋" w:eastAsia="仿宋"/>
                      <w:color w:val="000000"/>
                      <w:sz w:val="24"/>
                    </w:rPr>
                    <w:t>6.供应商在响应文件中提供该器材通过GB19272-2011《室外健身器材的安全 通用要求》的检测报告复印件和NSCC产品认证证书复印件及产品认证证书确认函复印件并加盖供应商公章。</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right="-105"/>
                    <w:jc w:val="center"/>
                  </w:pPr>
                  <w:r>
                    <w:rPr>
                      <w:rFonts w:ascii="仿宋" w:hAnsi="仿宋" w:cs="仿宋" w:eastAsia="仿宋"/>
                      <w:color w:val="000000"/>
                      <w:sz w:val="24"/>
                      <w:shd w:fill="FFFFFF" w:val="clear"/>
                    </w:rPr>
                    <w:t>7</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480"/>
                    <w:jc w:val="center"/>
                  </w:pPr>
                  <w:r>
                    <w:rPr>
                      <w:rFonts w:ascii="仿宋" w:hAnsi="仿宋" w:cs="仿宋" w:eastAsia="仿宋"/>
                      <w:color w:val="000000"/>
                      <w:sz w:val="24"/>
                      <w:shd w:fill="FFFFFF" w:val="clear"/>
                    </w:rPr>
                    <w:t>告示牌</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480"/>
                    <w:jc w:val="center"/>
                  </w:pPr>
                  <w:r>
                    <w:rPr>
                      <w:rFonts w:ascii="仿宋" w:hAnsi="仿宋" w:cs="仿宋" w:eastAsia="仿宋"/>
                      <w:color w:val="000000"/>
                      <w:sz w:val="24"/>
                    </w:rPr>
                    <w:t>16件</w:t>
                  </w:r>
                </w:p>
              </w:tc>
              <w:tc>
                <w:tcPr>
                  <w:tcW w:type="dxa" w:w="1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480"/>
                    <w:jc w:val="left"/>
                  </w:pPr>
                  <w:r>
                    <w:rPr>
                      <w:rFonts w:ascii="仿宋" w:hAnsi="仿宋" w:cs="仿宋" w:eastAsia="仿宋"/>
                      <w:color w:val="000000"/>
                      <w:sz w:val="24"/>
                    </w:rPr>
                    <w:t>1.</w:t>
                  </w:r>
                  <w:r>
                    <w:rPr>
                      <w:rFonts w:ascii="仿宋" w:hAnsi="仿宋" w:cs="仿宋" w:eastAsia="仿宋"/>
                      <w:sz w:val="24"/>
                    </w:rPr>
                    <w:t>外型尺寸：</w:t>
                  </w:r>
                  <w:r>
                    <w:rPr>
                      <w:rFonts w:ascii="仿宋" w:hAnsi="仿宋" w:cs="仿宋" w:eastAsia="仿宋"/>
                      <w:sz w:val="24"/>
                    </w:rPr>
                    <w:t>≥800×114×1300(mm);</w:t>
                  </w:r>
                </w:p>
                <w:p>
                  <w:pPr>
                    <w:pStyle w:val="null3"/>
                    <w:spacing w:before="105" w:after="105"/>
                    <w:ind w:firstLine="480"/>
                    <w:jc w:val="left"/>
                  </w:pPr>
                  <w:r>
                    <w:rPr>
                      <w:rFonts w:ascii="仿宋" w:hAnsi="仿宋" w:cs="仿宋" w:eastAsia="仿宋"/>
                      <w:color w:val="000000"/>
                      <w:sz w:val="24"/>
                    </w:rPr>
                    <w:t>2.主要承载立柱尺寸：≥φ114×3(mm);</w:t>
                  </w:r>
                </w:p>
                <w:p>
                  <w:pPr>
                    <w:pStyle w:val="null3"/>
                    <w:spacing w:before="105" w:after="105"/>
                    <w:ind w:firstLine="480"/>
                    <w:jc w:val="left"/>
                  </w:pPr>
                  <w:r>
                    <w:rPr>
                      <w:rFonts w:ascii="仿宋" w:hAnsi="仿宋" w:cs="仿宋" w:eastAsia="仿宋"/>
                      <w:color w:val="000000"/>
                      <w:sz w:val="24"/>
                    </w:rPr>
                    <w:t>3.主要承载横梁尺寸：≥20×30×2(mm)钢管，与其他管材同时满足GB19272—2011标准中相关静载荷、稳定性要求；</w:t>
                  </w:r>
                </w:p>
                <w:p>
                  <w:pPr>
                    <w:pStyle w:val="null3"/>
                    <w:spacing w:before="105" w:after="105"/>
                    <w:ind w:firstLine="480"/>
                    <w:jc w:val="left"/>
                  </w:pPr>
                  <w:r>
                    <w:rPr>
                      <w:rFonts w:ascii="仿宋" w:hAnsi="仿宋" w:cs="仿宋" w:eastAsia="仿宋"/>
                      <w:color w:val="000000"/>
                      <w:sz w:val="24"/>
                    </w:rPr>
                    <w:t>4.告示牌采用不锈钢材质,用矩形管焊接框架将其用抽芯铆钉和防盗螺栓固定，图样及字样蚀刻处理，不锈钢板边缘及尖角不允许外露；</w:t>
                  </w:r>
                </w:p>
                <w:p>
                  <w:pPr>
                    <w:pStyle w:val="null3"/>
                    <w:spacing w:before="105" w:after="105"/>
                    <w:ind w:firstLine="480"/>
                    <w:jc w:val="left"/>
                  </w:pPr>
                  <w:r>
                    <w:rPr>
                      <w:rFonts w:ascii="仿宋" w:hAnsi="仿宋" w:cs="仿宋" w:eastAsia="仿宋"/>
                      <w:color w:val="000000"/>
                      <w:sz w:val="24"/>
                    </w:rPr>
                    <w:t>5.安装方式：直埋式；</w:t>
                  </w:r>
                </w:p>
                <w:p>
                  <w:pPr>
                    <w:pStyle w:val="null3"/>
                    <w:spacing w:before="105" w:after="105"/>
                    <w:ind w:firstLine="480"/>
                    <w:jc w:val="left"/>
                  </w:pPr>
                  <w:r>
                    <w:rPr>
                      <w:rFonts w:ascii="仿宋" w:hAnsi="仿宋" w:cs="仿宋" w:eastAsia="仿宋"/>
                      <w:color w:val="000000"/>
                      <w:sz w:val="24"/>
                    </w:rPr>
                    <w:t>6.供应商在响应文件中提供该器材通过GB19272-2011《室外健身器材的安全 通用要求》的检测报告复印件和NSCC产品认证证书复印件及产品认证证书确认函复印件并加盖供应商公章。</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right="-105" w:firstLine="480"/>
                    <w:jc w:val="center"/>
                  </w:pPr>
                  <w:r>
                    <w:rPr>
                      <w:rFonts w:ascii="仿宋" w:hAnsi="仿宋" w:cs="仿宋" w:eastAsia="仿宋"/>
                      <w:color w:val="000000"/>
                      <w:sz w:val="24"/>
                      <w:shd w:fill="FFFFFF" w:val="clear"/>
                    </w:rPr>
                    <w:t>8</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480"/>
                    <w:jc w:val="center"/>
                  </w:pPr>
                  <w:r>
                    <w:rPr>
                      <w:rFonts w:ascii="仿宋" w:hAnsi="仿宋" w:cs="仿宋" w:eastAsia="仿宋"/>
                      <w:color w:val="000000"/>
                      <w:sz w:val="24"/>
                    </w:rPr>
                    <w:t>室外乒乓球台</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480"/>
                    <w:jc w:val="center"/>
                  </w:pPr>
                  <w:r>
                    <w:rPr>
                      <w:rFonts w:ascii="仿宋" w:hAnsi="仿宋" w:cs="仿宋" w:eastAsia="仿宋"/>
                      <w:color w:val="000000"/>
                      <w:sz w:val="24"/>
                    </w:rPr>
                    <w:t>16件</w:t>
                  </w:r>
                </w:p>
              </w:tc>
              <w:tc>
                <w:tcPr>
                  <w:tcW w:type="dxa" w:w="1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480"/>
                    <w:jc w:val="both"/>
                  </w:pPr>
                  <w:r>
                    <w:rPr>
                      <w:rFonts w:ascii="仿宋" w:hAnsi="仿宋" w:cs="仿宋" w:eastAsia="仿宋"/>
                      <w:color w:val="000000"/>
                      <w:sz w:val="24"/>
                    </w:rPr>
                    <w:t>1.</w:t>
                  </w:r>
                  <w:r>
                    <w:rPr>
                      <w:rFonts w:ascii="仿宋" w:hAnsi="仿宋" w:cs="仿宋" w:eastAsia="仿宋"/>
                      <w:sz w:val="24"/>
                    </w:rPr>
                    <w:t>外型尺寸：</w:t>
                  </w:r>
                  <w:r>
                    <w:rPr>
                      <w:rFonts w:ascii="仿宋" w:hAnsi="仿宋" w:cs="仿宋" w:eastAsia="仿宋"/>
                      <w:sz w:val="24"/>
                    </w:rPr>
                    <w:t>≥2740×1500×912(mm);</w:t>
                  </w:r>
                </w:p>
                <w:p>
                  <w:pPr>
                    <w:pStyle w:val="null3"/>
                    <w:spacing w:before="105" w:after="105"/>
                    <w:ind w:firstLine="480"/>
                    <w:jc w:val="both"/>
                  </w:pPr>
                  <w:r>
                    <w:rPr>
                      <w:rFonts w:ascii="仿宋" w:hAnsi="仿宋" w:cs="仿宋" w:eastAsia="仿宋"/>
                      <w:color w:val="000000"/>
                      <w:sz w:val="24"/>
                    </w:rPr>
                    <w:t>2.主要承载立柱尺寸：≥φ60×3(mm)；</w:t>
                  </w:r>
                </w:p>
                <w:p>
                  <w:pPr>
                    <w:pStyle w:val="null3"/>
                    <w:spacing w:before="105" w:after="105"/>
                    <w:ind w:firstLine="480"/>
                    <w:jc w:val="both"/>
                  </w:pPr>
                  <w:r>
                    <w:rPr>
                      <w:rFonts w:ascii="仿宋" w:hAnsi="仿宋" w:cs="仿宋" w:eastAsia="仿宋"/>
                      <w:color w:val="000000"/>
                      <w:sz w:val="24"/>
                    </w:rPr>
                    <w:t>3.主要承载横梁尺寸：≥20×30×2(mm)钢管，与其他管材同时满足GB19272—2011标准中相关静载荷、稳定性要求；</w:t>
                  </w:r>
                </w:p>
                <w:p>
                  <w:pPr>
                    <w:pStyle w:val="null3"/>
                    <w:spacing w:before="105" w:after="105"/>
                    <w:ind w:firstLine="480"/>
                    <w:jc w:val="both"/>
                  </w:pPr>
                  <w:r>
                    <w:rPr>
                      <w:rFonts w:ascii="仿宋" w:hAnsi="仿宋" w:cs="仿宋" w:eastAsia="仿宋"/>
                      <w:color w:val="000000"/>
                      <w:sz w:val="24"/>
                    </w:rPr>
                    <w:t>4.供应商在响应文件中提供该器材通过GB19272-2011《室外健身器材的安全 通用要求》的检测报告复印件和NSCC产品认证证书复印件及产品认证证书确认函复印件并加盖供应商公章。</w:t>
                  </w:r>
                </w:p>
              </w:tc>
            </w:tr>
          </w:tbl>
          <w:p>
            <w:pPr>
              <w:pStyle w:val="null3"/>
            </w:pPr>
            <w:r>
              <w:rPr/>
              <w:t xml:space="preserve"> </w:t>
            </w:r>
          </w:p>
          <w:p>
            <w:pPr>
              <w:pStyle w:val="null3"/>
              <w:ind w:firstLine="480"/>
              <w:jc w:val="both"/>
            </w:pPr>
          </w:p>
        </w:tc>
      </w:tr>
    </w:tbl>
    <w:p>
      <w:pPr>
        <w:pStyle w:val="null3"/>
        <w:ind w:firstLine="480"/>
        <w:outlineLvl w:val="2"/>
      </w:pPr>
      <w:r>
        <w:rPr>
          <w:b/>
          <w:sz w:val="28"/>
        </w:rPr>
        <w:t>3.4、商务要求</w:t>
      </w:r>
    </w:p>
    <w:p>
      <w:pPr>
        <w:pStyle w:val="null3"/>
        <w:ind w:firstLine="480"/>
        <w:outlineLvl w:val="3"/>
      </w:pPr>
      <w:r>
        <w:rPr>
          <w:b/>
          <w:sz w:val="24"/>
        </w:rPr>
        <w:t>3.4.1交货时间</w:t>
      </w:r>
    </w:p>
    <w:p>
      <w:pPr>
        <w:pStyle w:val="null3"/>
      </w:pPr>
    </w:p>
    <w:p>
      <w:pPr>
        <w:pStyle w:val="null3"/>
      </w:pPr>
    </w:p>
    <w:p>
      <w:pPr>
        <w:pStyle w:val="null3"/>
      </w:pPr>
    </w:p>
    <w:p>
      <w:pPr>
        <w:pStyle w:val="null3"/>
      </w:pPr>
      <w:r>
        <w:rPr/>
        <w:t>采购包1：</w:t>
      </w:r>
    </w:p>
    <w:p>
      <w:pPr>
        <w:pStyle w:val="null3"/>
      </w:pPr>
      <w:r>
        <w:rPr/>
        <w:t>自合同签订之日起40日</w:t>
      </w:r>
    </w:p>
    <w:p>
      <w:pPr>
        <w:pStyle w:val="null3"/>
        <w:ind w:firstLine="480"/>
        <w:outlineLvl w:val="3"/>
      </w:pPr>
      <w:r>
        <w:rPr>
          <w:b/>
          <w:sz w:val="24"/>
        </w:rPr>
        <w:t>3.4.2交货地点和方式</w:t>
      </w:r>
    </w:p>
    <w:p>
      <w:pPr>
        <w:pStyle w:val="null3"/>
      </w:pPr>
    </w:p>
    <w:p>
      <w:pPr>
        <w:pStyle w:val="null3"/>
      </w:pPr>
    </w:p>
    <w:p>
      <w:pPr>
        <w:pStyle w:val="null3"/>
      </w:pPr>
    </w:p>
    <w:p>
      <w:pPr>
        <w:pStyle w:val="null3"/>
      </w:pPr>
      <w:r>
        <w:rPr/>
        <w:t>采购包1：</w:t>
      </w:r>
    </w:p>
    <w:p>
      <w:pPr>
        <w:pStyle w:val="null3"/>
      </w:pPr>
      <w:r>
        <w:rPr/>
        <w:t>崇州市采购人指定地点</w:t>
      </w:r>
    </w:p>
    <w:p>
      <w:pPr>
        <w:pStyle w:val="null3"/>
        <w:ind w:firstLine="480"/>
        <w:outlineLvl w:val="3"/>
      </w:pPr>
      <w:r>
        <w:rPr>
          <w:b/>
          <w:sz w:val="24"/>
        </w:rPr>
        <w:t>3.4.3支付方式</w:t>
      </w:r>
    </w:p>
    <w:p>
      <w:pPr>
        <w:pStyle w:val="null3"/>
      </w:pPr>
    </w:p>
    <w:p>
      <w:pPr>
        <w:pStyle w:val="null3"/>
      </w:pPr>
    </w:p>
    <w:p>
      <w:pPr>
        <w:pStyle w:val="null3"/>
      </w:pPr>
    </w:p>
    <w:p>
      <w:pPr>
        <w:pStyle w:val="null3"/>
      </w:pPr>
      <w:r>
        <w:rPr/>
        <w:t>采购包1：</w:t>
      </w:r>
    </w:p>
    <w:p>
      <w:pPr>
        <w:pStyle w:val="null3"/>
      </w:pPr>
      <w:r>
        <w:rPr/>
        <w:t>一次付清</w:t>
      </w:r>
    </w:p>
    <w:p>
      <w:pPr>
        <w:pStyle w:val="null3"/>
        <w:ind w:firstLine="480"/>
        <w:outlineLvl w:val="3"/>
      </w:pPr>
      <w:r>
        <w:rPr>
          <w:b/>
          <w:sz w:val="24"/>
        </w:rPr>
        <w:t>3.4.4支付约定</w:t>
      </w:r>
    </w:p>
    <w:p>
      <w:pPr>
        <w:pStyle w:val="null3"/>
      </w:pPr>
    </w:p>
    <w:p>
      <w:pPr>
        <w:pStyle w:val="null3"/>
      </w:pPr>
    </w:p>
    <w:p>
      <w:pPr>
        <w:pStyle w:val="null3"/>
      </w:pPr>
    </w:p>
    <w:p>
      <w:pPr>
        <w:pStyle w:val="null3"/>
      </w:pPr>
      <w:r>
        <w:rPr/>
        <w:t>采购包1：</w:t>
      </w:r>
      <w:r>
        <w:rPr/>
        <w:t>付款条件说明：</w:t>
      </w:r>
      <w:r>
        <w:rPr/>
        <w:t>供应商安装调试经采购人验收合格后，采购人在收到供应商开具的等额发票后</w:t>
      </w:r>
      <w:r>
        <w:rPr/>
        <w:t>，达到付款条件起</w:t>
      </w:r>
      <w:r>
        <w:rPr/>
        <w:t>15</w:t>
      </w:r>
      <w:r>
        <w:rPr/>
        <w:t>日，支付合同总金额的</w:t>
      </w:r>
      <w:r>
        <w:rPr/>
        <w:t>100.00</w:t>
      </w:r>
      <w:r>
        <w:rPr/>
        <w:t>%。</w:t>
      </w:r>
    </w:p>
    <w:p>
      <w:pPr>
        <w:pStyle w:val="null3"/>
        <w:ind w:firstLine="480"/>
        <w:outlineLvl w:val="3"/>
      </w:pPr>
      <w:r>
        <w:rPr>
          <w:b/>
          <w:sz w:val="24"/>
        </w:rPr>
        <w:t>3.4.5验收标准和方法</w:t>
      </w:r>
    </w:p>
    <w:p>
      <w:pPr>
        <w:pStyle w:val="null3"/>
      </w:pPr>
    </w:p>
    <w:p>
      <w:pPr>
        <w:pStyle w:val="null3"/>
      </w:pPr>
    </w:p>
    <w:p>
      <w:pPr>
        <w:pStyle w:val="null3"/>
      </w:pPr>
    </w:p>
    <w:p>
      <w:pPr>
        <w:pStyle w:val="null3"/>
      </w:pPr>
      <w:r>
        <w:rPr/>
        <w:t>采购包1：</w:t>
      </w:r>
    </w:p>
    <w:p>
      <w:pPr>
        <w:pStyle w:val="null3"/>
      </w:pPr>
      <w:r>
        <w:rPr/>
        <w:t>按照采购文件要求、成交供应商的响应文件及承诺、签订的合同、财政部关于进一步加强政府采购需求和履约验收管理的指导意见（财库〔2016〕205号）和《政府采购需求管理办法》（财库〔2021〕22号）要求进行验收。</w:t>
      </w:r>
    </w:p>
    <w:p>
      <w:pPr>
        <w:pStyle w:val="null3"/>
        <w:ind w:firstLine="480"/>
        <w:outlineLvl w:val="3"/>
      </w:pPr>
      <w:r>
        <w:rPr>
          <w:b/>
          <w:sz w:val="24"/>
        </w:rPr>
        <w:t>3.4.6包装方式及运输</w:t>
      </w:r>
    </w:p>
    <w:p>
      <w:pPr>
        <w:pStyle w:val="null3"/>
      </w:pPr>
    </w:p>
    <w:p>
      <w:pPr>
        <w:pStyle w:val="null3"/>
      </w:pPr>
    </w:p>
    <w:p>
      <w:pPr>
        <w:pStyle w:val="null3"/>
      </w:pP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ind w:firstLine="480"/>
        <w:outlineLvl w:val="3"/>
      </w:pPr>
      <w:r>
        <w:rPr>
          <w:b/>
          <w:sz w:val="24"/>
        </w:rPr>
        <w:t>3.4.7质量保修范围和保修期</w:t>
      </w:r>
    </w:p>
    <w:p>
      <w:pPr>
        <w:pStyle w:val="null3"/>
      </w:pPr>
    </w:p>
    <w:p>
      <w:pPr>
        <w:pStyle w:val="null3"/>
      </w:pPr>
    </w:p>
    <w:p>
      <w:pPr>
        <w:pStyle w:val="null3"/>
      </w:pPr>
    </w:p>
    <w:p>
      <w:pPr>
        <w:pStyle w:val="null3"/>
      </w:pPr>
      <w:r>
        <w:rPr/>
        <w:t>采购包1：</w:t>
      </w:r>
    </w:p>
    <w:p>
      <w:pPr>
        <w:pStyle w:val="null3"/>
      </w:pPr>
      <w:r>
        <w:rPr/>
        <w:t>验收合格之日起1年，质保期内同一产品、同一质量问题连续两次维修仍无法正常使用的，须更换同品牌、同型号全新产品，并对产品质量实行“三包”服务。</w:t>
      </w:r>
    </w:p>
    <w:p>
      <w:pPr>
        <w:pStyle w:val="null3"/>
        <w:ind w:firstLine="480"/>
        <w:outlineLvl w:val="3"/>
      </w:pPr>
      <w:r>
        <w:rPr>
          <w:b/>
          <w:sz w:val="24"/>
        </w:rPr>
        <w:t>3.4.8违约责任及解决争议的方法</w:t>
      </w:r>
    </w:p>
    <w:p>
      <w:pPr>
        <w:pStyle w:val="null3"/>
      </w:pPr>
    </w:p>
    <w:p>
      <w:pPr>
        <w:pStyle w:val="null3"/>
      </w:pPr>
    </w:p>
    <w:p>
      <w:pPr>
        <w:pStyle w:val="null3"/>
      </w:pPr>
    </w:p>
    <w:p>
      <w:pPr>
        <w:pStyle w:val="null3"/>
      </w:pPr>
      <w:r>
        <w:rPr/>
        <w:t>采购包1：</w:t>
      </w:r>
    </w:p>
    <w:p>
      <w:pPr>
        <w:pStyle w:val="null3"/>
      </w:pPr>
      <w:r>
        <w:rPr/>
        <w:t>1.甲乙双方必须遵守本合同并执行合同中共的各项约定，保证本合同的正常履行。 2.如因乙方工作人员在履行职务过程中的疏忽、失职、过错等故意或者过失原因给甲方造成损失或侵害，包括但不限于甲方本 身的财产损失、由此而导致的甲方对任何第三方的法律责任等，乙方对此均应承担全部的赔偿责任。解决争议的办法：在执行 本项目中发生的或与本项目有关的争端，双方应通过友好协商解决，经协商在60天内不能达成协议时，应当向当地人民法院 起诉。</w:t>
      </w:r>
    </w:p>
    <w:p>
      <w:pPr>
        <w:pStyle w:val="null3"/>
        <w:ind w:firstLine="480"/>
        <w:jc w:val="left"/>
        <w:outlineLvl w:val="3"/>
      </w:pPr>
      <w:r>
        <w:rPr>
          <w:b/>
          <w:sz w:val="24"/>
        </w:rPr>
        <w:t>3.5其他要求</w:t>
      </w:r>
    </w:p>
    <w:p>
      <w:pPr>
        <w:pStyle w:val="null3"/>
      </w:pPr>
    </w:p>
    <w:p>
      <w:pPr>
        <w:pStyle w:val="null3"/>
      </w:pPr>
    </w:p>
    <w:p>
      <w:pPr>
        <w:pStyle w:val="null3"/>
      </w:pPr>
    </w:p>
    <w:p>
      <w:pPr>
        <w:pStyle w:val="null3"/>
      </w:pPr>
      <w:r>
        <w:rPr/>
        <w:t>采购包1：</w:t>
      </w:r>
    </w:p>
    <w:p>
      <w:pPr>
        <w:pStyle w:val="null3"/>
      </w:pPr>
      <w:r>
        <w:rPr/>
        <w:t>★1、产品质量：符合国家、行业相关标准。必须保证提供的货物(包括零部件)是全新的、未使用过的，具有稳定性、可靠性、安全性，并完全符合国家、行业规定的质量、规格和性能要求等技术标准。 ★2、售后服务要求： （1）货到采购人指定地点后，供应商接采购人通知后2日内到达现场进行产品安装、调试，达到正常使用，所需的一切材料、备件、专业工具均由供应商负责提供。供应商应向采购人提供产品安装、维修所需的专用工具和仪器。 （2）供应商应就产品的安装、调试、操作、维修、维护保养等对采购人维修技术人员进行现场培训，直至采购人的技术人员能独立操作，同时能完成一般常见故障的维修工作。 （3）质保期内供应商应负责产品维护、维修及抢修。修理和更换零件，费用（包括材料）由供应商承担。 （4）产品出现故障，供应商在接到通知后2小时内响应，12小时内派专业技术人员到达现场解决问题，最迟在1个工作日内修复。如不能修复应采取无偿提供采购物品的备用件或整机等措施，以保证采购人的正常工作，直至故障排除。 ★3、验收结果合格的，成交供应商凭验收报告办理相关手续，采购人按采购合同约定支付采购资金。 ★4、成交供应商需承诺在签订合同前提供响应文件中所附的检测报告和NSCC产品认证证书及产品认证证书确认函进行验证，未提供或提供的资料与响应文件不一致的按照虚假响应处理。（单独提供承诺函）。 ★5、安全责任：在项目实施过程中的安全责任由成交供应商负责，采购方不承担任何安全责任。（单独提供承诺函） 6、本项目《中小企业声明函》中的“标的名称”以3.3技术要求（一）采购清单“标的名称”为准。</w:t>
      </w:r>
    </w:p>
    <w:p>
      <w:pPr>
        <w:pStyle w:val="null3"/>
      </w:pPr>
    </w:p>
    <w:p>
      <w:pPr>
        <w:pStyle w:val="null3"/>
        <w:ind w:firstLine="480"/>
      </w:pPr>
      <w:r>
        <w:rPr/>
        <w:t xml:space="preserve"> </w:t>
      </w:r>
    </w:p>
    <w:p>
      <w:pPr>
        <w:pStyle w:val="null3"/>
        <w:ind w:firstLine="480"/>
        <w:jc w:val="center"/>
        <w:outlineLvl w:val="1"/>
      </w:pPr>
      <w:r>
        <w:rPr>
          <w:b/>
          <w:sz w:val="36"/>
        </w:rPr>
        <w:t>第四章 谈判过程中可实质性变动的内容</w:t>
      </w:r>
    </w:p>
    <w:p>
      <w:pPr>
        <w:pStyle w:val="null3"/>
        <w:ind w:firstLine="480"/>
      </w:pPr>
      <w:r>
        <w:rPr/>
        <w:t>谈判小组可以根据谈判文件和谈判情况实质性变动第三章“谈判项目技术、服务、商务及其他要求”、第七章“拟签订采购合同文本”，但不得变动谈判文件中的其他内容。实质性变动的内容，须经采购人代表确认。</w:t>
      </w:r>
    </w:p>
    <w:p>
      <w:pPr>
        <w:pStyle w:val="null3"/>
      </w:pPr>
    </w:p>
    <w:p>
      <w:pPr>
        <w:pStyle w:val="null3"/>
        <w:ind w:firstLine="480"/>
      </w:pPr>
      <w:r>
        <w:rPr/>
        <w:t xml:space="preserve"> </w:t>
      </w:r>
    </w:p>
    <w:p>
      <w:pPr>
        <w:pStyle w:val="null3"/>
        <w:ind w:firstLine="480"/>
        <w:jc w:val="center"/>
        <w:outlineLvl w:val="1"/>
      </w:pPr>
      <w:r>
        <w:rPr>
          <w:b/>
          <w:sz w:val="36"/>
        </w:rPr>
        <w:t>第五章 谈判办法</w:t>
      </w:r>
    </w:p>
    <w:p>
      <w:pPr>
        <w:pStyle w:val="null3"/>
        <w:ind w:firstLine="480"/>
        <w:outlineLvl w:val="2"/>
      </w:pPr>
      <w:r>
        <w:rPr>
          <w:b/>
          <w:sz w:val="28"/>
        </w:rPr>
        <w:t>5.1、总则</w:t>
      </w:r>
    </w:p>
    <w:p>
      <w:pPr>
        <w:pStyle w:val="null3"/>
        <w:ind w:firstLine="480"/>
      </w:pPr>
      <w:r>
        <w:rPr/>
        <w:t>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t>二、评审工作由代理机构组织，具体评审事务由依法组建的谈判小组负责。</w:t>
      </w:r>
    </w:p>
    <w:p>
      <w:pPr>
        <w:pStyle w:val="null3"/>
        <w:ind w:firstLine="480"/>
      </w:pPr>
      <w:r>
        <w:rPr/>
        <w:t>三、评审工作应遵循客观、公正、审慎的原则，并以相同的谈判程序和标准对待所有的供应商。</w:t>
      </w:r>
    </w:p>
    <w:p>
      <w:pPr>
        <w:pStyle w:val="null3"/>
        <w:ind w:firstLine="480"/>
      </w:pPr>
      <w:r>
        <w:rPr/>
        <w:t>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t>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ind w:firstLine="480"/>
        <w:outlineLvl w:val="2"/>
      </w:pPr>
      <w:r>
        <w:rPr>
          <w:b/>
          <w:sz w:val="28"/>
        </w:rPr>
        <w:t>5.2、谈判小组</w:t>
      </w:r>
    </w:p>
    <w:p>
      <w:pPr>
        <w:pStyle w:val="null3"/>
        <w:ind w:firstLine="480"/>
      </w:pPr>
      <w:r>
        <w:rPr/>
        <w:t>一、本项目谈判小组成员人数应为三人以上单数，其中评审专家不得少于成员总数的三分之二。采购预算金额达到公开招标数额标准的货物和服务采购项目，或者达到招标规模标准的政府采购工程，谈判小组成员人数应为五人以上单数。评审专家是采取随机方式在采购一体化平台的专家库系统（以下简称专家库系统）抽取。技术复杂、专业性较强的采购项目，评审专家中应当包含1名法律专家。</w:t>
      </w:r>
    </w:p>
    <w:p>
      <w:pPr>
        <w:pStyle w:val="null3"/>
        <w:ind w:firstLine="480"/>
      </w:pPr>
      <w:r>
        <w:rPr/>
        <w:t>二、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t>三、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t>四、谈判小组按照谈判文件规定的谈判程序、评审方法和标准进行评审，并独立履行下列职责：</w:t>
      </w:r>
    </w:p>
    <w:p>
      <w:pPr>
        <w:pStyle w:val="null3"/>
        <w:ind w:firstLine="480"/>
      </w:pPr>
      <w:r>
        <w:rPr/>
        <w:t>（一）熟悉和理解谈判文件；</w:t>
      </w:r>
    </w:p>
    <w:p>
      <w:pPr>
        <w:pStyle w:val="null3"/>
        <w:ind w:firstLine="480"/>
      </w:pPr>
      <w:r>
        <w:rPr/>
        <w:t>（二）审查供应商响应文件等是否满足谈判文件要求，并作出评价；</w:t>
      </w:r>
    </w:p>
    <w:p>
      <w:pPr>
        <w:pStyle w:val="null3"/>
        <w:ind w:firstLine="480"/>
      </w:pPr>
      <w:r>
        <w:rPr/>
        <w:t>（三）根据需要要求采购组织单位对谈判文件作出解释；根据需要要求供应商对响应文件有关事项作出澄清、说明或者更正；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ind w:firstLine="480"/>
        <w:outlineLvl w:val="2"/>
      </w:pPr>
      <w:r>
        <w:rPr>
          <w:b/>
          <w:sz w:val="28"/>
        </w:rPr>
        <w:t>5.3评审程序</w:t>
      </w:r>
    </w:p>
    <w:p>
      <w:pPr>
        <w:pStyle w:val="null3"/>
        <w:ind w:firstLine="480"/>
        <w:outlineLvl w:val="3"/>
      </w:pPr>
      <w:r>
        <w:rPr>
          <w:b/>
          <w:sz w:val="24"/>
        </w:rPr>
        <w:t>5.3.1审查谈判文件和停止评审</w:t>
      </w:r>
    </w:p>
    <w:p>
      <w:pPr>
        <w:pStyle w:val="null3"/>
        <w:ind w:firstLine="480"/>
      </w:pPr>
      <w:r>
        <w:rPr/>
        <w:t>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t>二、本谈判文件有下列情形之一的，谈判小组应当停止评审：</w:t>
      </w:r>
    </w:p>
    <w:p>
      <w:pPr>
        <w:pStyle w:val="null3"/>
        <w:ind w:firstLine="480"/>
      </w:pPr>
      <w:r>
        <w:rPr/>
        <w:t>（一）谈判文件的规定存在歧义、重大缺陷的；</w:t>
      </w:r>
    </w:p>
    <w:p>
      <w:pPr>
        <w:pStyle w:val="null3"/>
        <w:ind w:firstLine="480"/>
      </w:pPr>
      <w:r>
        <w:rPr/>
        <w:t>（二）谈判文件明显以不合理条件对供应商实行差别待遇或者歧视待遇的；</w:t>
      </w:r>
    </w:p>
    <w:p>
      <w:pPr>
        <w:pStyle w:val="null3"/>
        <w:ind w:firstLine="480"/>
      </w:pPr>
      <w:r>
        <w:rPr/>
        <w:t>（三）采购项目属于国家规定的优先、强制采购范围，但是谈判文件未依法体现优先、强制采购相关规定的；</w:t>
      </w:r>
    </w:p>
    <w:p>
      <w:pPr>
        <w:pStyle w:val="null3"/>
        <w:ind w:firstLine="480"/>
      </w:pPr>
      <w:r>
        <w:rPr/>
        <w:t>（四）采购项目属于政府采购促进中小企业发展的范围，但是谈判文件未依法体现促进中小企业发展相关规定的；</w:t>
      </w:r>
    </w:p>
    <w:p>
      <w:pPr>
        <w:pStyle w:val="null3"/>
        <w:ind w:firstLine="480"/>
      </w:pPr>
      <w:r>
        <w:rPr/>
        <w:t>（五）谈判文件将供应商的资格条件列为评分因素的；</w:t>
      </w:r>
    </w:p>
    <w:p>
      <w:pPr>
        <w:pStyle w:val="null3"/>
        <w:ind w:firstLine="480"/>
      </w:pPr>
      <w:r>
        <w:rPr/>
        <w:t>（六）谈判文件载明的成交原则不合法的；</w:t>
      </w:r>
    </w:p>
    <w:p>
      <w:pPr>
        <w:pStyle w:val="null3"/>
        <w:ind w:firstLine="480"/>
        <w:jc w:val="left"/>
      </w:pPr>
      <w:r>
        <w:rPr/>
        <w:t>（七）谈判文件有违反国家其他有关强制性规定的情形。</w:t>
      </w:r>
    </w:p>
    <w:p>
      <w:pPr>
        <w:pStyle w:val="null3"/>
        <w:ind w:firstLine="480"/>
      </w:pPr>
      <w:r>
        <w:rPr/>
        <w:t>出现上述应当停止评审情形的，谈判小组应当通过项目电子化交易系统向采购人提交情况说明。除上述情形外，谈判小组不得以任何方式和理由停止评审。</w:t>
      </w:r>
    </w:p>
    <w:p>
      <w:pPr>
        <w:pStyle w:val="null3"/>
        <w:ind w:firstLine="480"/>
        <w:jc w:val="left"/>
      </w:pPr>
      <w:r>
        <w:rPr/>
        <w:t>出现上述应当停止评审情形的，采购组织单位应当通过项目电子化交易系统书面告知参加采购活动的供应商，并说明具体原因，同时在四川政府采购网公告。采购组织单位认为谈判小组不应当停止评审的的，可以书面报告采购项目同级财政部门依法处理，并提供相关证明材料。</w:t>
      </w:r>
    </w:p>
    <w:p>
      <w:pPr>
        <w:pStyle w:val="null3"/>
        <w:ind w:firstLine="480"/>
        <w:outlineLvl w:val="3"/>
      </w:pPr>
      <w:r>
        <w:rPr>
          <w:b/>
          <w:sz w:val="24"/>
        </w:rPr>
        <w:t>5.3.2资格审查</w:t>
      </w:r>
    </w:p>
    <w:p>
      <w:pPr>
        <w:pStyle w:val="null3"/>
      </w:pPr>
    </w:p>
    <w:p>
      <w:pPr>
        <w:pStyle w:val="null3"/>
      </w:pPr>
    </w:p>
    <w:p>
      <w:pPr>
        <w:pStyle w:val="null3"/>
        <w:ind w:firstLine="480"/>
      </w:pPr>
      <w:r>
        <w:rPr/>
        <w:t>响应文件解密完成后，由谈判小组对提交响应文件的供应商进行资格审查。谈判小组在资格审查过程中，谈判小组成员对供应商资格是否符合规定存在争议的，应当以少数服从多数的原则处理，但不得违反政府采购法和竞争性谈判文件规定。</w:t>
      </w:r>
    </w:p>
    <w:p>
      <w:pPr>
        <w:pStyle w:val="null3"/>
        <w:ind w:firstLine="480"/>
        <w:outlineLvl w:val="3"/>
      </w:pPr>
      <w:r>
        <w:rPr>
          <w:b/>
          <w:sz w:val="24"/>
        </w:rPr>
        <w:t>一般资格审查：</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序号</w:t>
            </w:r>
          </w:p>
        </w:tc>
        <w:tc>
          <w:tcPr>
            <w:tcW w:type="dxa" w:w="2492"/>
          </w:tcPr>
          <w:p>
            <w:pPr>
              <w:pStyle w:val="null3"/>
            </w:pPr>
            <w:r>
              <w:rPr/>
              <w:t>资格审查要求概况</w:t>
            </w:r>
          </w:p>
        </w:tc>
        <w:tc>
          <w:tcPr>
            <w:tcW w:type="dxa" w:w="3322"/>
          </w:tcPr>
          <w:p>
            <w:pPr>
              <w:pStyle w:val="null3"/>
            </w:pPr>
            <w:r>
              <w:rPr/>
              <w:t>评审点具体描述</w:t>
            </w:r>
          </w:p>
        </w:tc>
        <w:tc>
          <w:tcPr>
            <w:tcW w:type="dxa" w:w="1661"/>
          </w:tcPr>
          <w:p>
            <w:pPr>
              <w:pStyle w:val="null3"/>
            </w:pPr>
            <w:r>
              <w:rPr/>
              <w:t>关联格式</w:t>
            </w:r>
          </w:p>
        </w:tc>
      </w:tr>
      <w:tr>
        <w:tc>
          <w:tcPr>
            <w:tcW w:type="dxa" w:w="831"/>
          </w:tcPr>
          <w:p>
            <w:pPr>
              <w:pStyle w:val="null3"/>
            </w:pPr>
            <w:r>
              <w:rPr/>
              <w:t>1</w:t>
            </w:r>
          </w:p>
        </w:tc>
        <w:tc>
          <w:tcPr>
            <w:tcW w:type="dxa" w:w="2492"/>
          </w:tcPr>
          <w:p>
            <w:pPr>
              <w:pStyle w:val="null3"/>
            </w:pPr>
            <w:r>
              <w:rPr/>
              <w:t>具有独立承担民事责任的能力。</w:t>
            </w:r>
          </w:p>
        </w:tc>
        <w:tc>
          <w:tcPr>
            <w:tcW w:type="dxa" w:w="3322"/>
          </w:tcPr>
          <w:p>
            <w:pPr>
              <w:pStyle w:val="null3"/>
            </w:pPr>
            <w:r>
              <w:rPr/>
              <w:t>①供应商若为企业法人：提供“统一社会信用代码营业执照”；未换证的提供“营业执照、税务 登记证、组织机构代码证或三证合一的营业执照”；②若为事业法人：提供“统一社会信用代码 法人登记证书”；未换证的提交“事业法人登记证书、组织机构代码证”；③若为其他组织：提供“对应主管部门颁发的准许执业证明文件或营业执照”；④若为自然人：提供身份证或其它有效“身份证明材料”。供应商需在项目电子化交易系统中按要求上传相应证明文件并进行电子签章。</w:t>
            </w:r>
          </w:p>
        </w:tc>
        <w:tc>
          <w:tcPr>
            <w:tcW w:type="dxa" w:w="1661"/>
          </w:tcPr>
          <w:p>
            <w:pPr>
              <w:pStyle w:val="null3"/>
            </w:pPr>
            <w:r>
              <w:rPr/>
              <w:t>具有独立承担民事责任的能力 投标（响应）函</w:t>
            </w:r>
          </w:p>
        </w:tc>
      </w:tr>
      <w:tr>
        <w:tc>
          <w:tcPr>
            <w:tcW w:type="dxa" w:w="831"/>
          </w:tcPr>
          <w:p>
            <w:pPr>
              <w:pStyle w:val="null3"/>
            </w:pPr>
            <w:r>
              <w:rPr/>
              <w:t>2</w:t>
            </w:r>
          </w:p>
        </w:tc>
        <w:tc>
          <w:tcPr>
            <w:tcW w:type="dxa" w:w="2492"/>
          </w:tcPr>
          <w:p>
            <w:pPr>
              <w:pStyle w:val="null3"/>
            </w:pPr>
            <w:r>
              <w:rPr/>
              <w:t>具有良好的商业信誉</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r>
        <w:tc>
          <w:tcPr>
            <w:tcW w:type="dxa" w:w="831"/>
          </w:tcPr>
          <w:p>
            <w:pPr>
              <w:pStyle w:val="null3"/>
            </w:pPr>
            <w:r>
              <w:rPr/>
              <w:t>3</w:t>
            </w:r>
          </w:p>
        </w:tc>
        <w:tc>
          <w:tcPr>
            <w:tcW w:type="dxa" w:w="2492"/>
          </w:tcPr>
          <w:p>
            <w:pPr>
              <w:pStyle w:val="null3"/>
            </w:pPr>
            <w:r>
              <w:rPr/>
              <w:t>具有健全的财务会计制度。</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r>
        <w:tc>
          <w:tcPr>
            <w:tcW w:type="dxa" w:w="831"/>
          </w:tcPr>
          <w:p>
            <w:pPr>
              <w:pStyle w:val="null3"/>
            </w:pPr>
            <w:r>
              <w:rPr/>
              <w:t>4</w:t>
            </w:r>
          </w:p>
        </w:tc>
        <w:tc>
          <w:tcPr>
            <w:tcW w:type="dxa" w:w="2492"/>
          </w:tcPr>
          <w:p>
            <w:pPr>
              <w:pStyle w:val="null3"/>
            </w:pPr>
            <w:r>
              <w:rPr/>
              <w:t>具有履行合同所必需的设备和专业技术能力。</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r>
        <w:tc>
          <w:tcPr>
            <w:tcW w:type="dxa" w:w="831"/>
          </w:tcPr>
          <w:p>
            <w:pPr>
              <w:pStyle w:val="null3"/>
            </w:pPr>
            <w:r>
              <w:rPr/>
              <w:t>5</w:t>
            </w:r>
          </w:p>
        </w:tc>
        <w:tc>
          <w:tcPr>
            <w:tcW w:type="dxa" w:w="2492"/>
          </w:tcPr>
          <w:p>
            <w:pPr>
              <w:pStyle w:val="null3"/>
            </w:pPr>
            <w:r>
              <w:rPr/>
              <w:t>有依法缴纳税收和社会保障资金的良好记录。</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r>
        <w:tc>
          <w:tcPr>
            <w:tcW w:type="dxa" w:w="831"/>
          </w:tcPr>
          <w:p>
            <w:pPr>
              <w:pStyle w:val="null3"/>
            </w:pPr>
            <w:r>
              <w:rPr/>
              <w:t>6</w:t>
            </w:r>
          </w:p>
        </w:tc>
        <w:tc>
          <w:tcPr>
            <w:tcW w:type="dxa" w:w="2492"/>
          </w:tcPr>
          <w:p>
            <w:pPr>
              <w:pStyle w:val="null3"/>
            </w:pPr>
            <w:r>
              <w:rPr/>
              <w:t>参加政府采购活动前三年内，在经营活动中没有重大违法记录。</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r>
        <w:tc>
          <w:tcPr>
            <w:tcW w:type="dxa" w:w="831"/>
          </w:tcPr>
          <w:p>
            <w:pPr>
              <w:pStyle w:val="null3"/>
            </w:pPr>
            <w:r>
              <w:rPr/>
              <w:t>7</w:t>
            </w:r>
          </w:p>
        </w:tc>
        <w:tc>
          <w:tcPr>
            <w:tcW w:type="dxa" w:w="2492"/>
          </w:tcPr>
          <w:p>
            <w:pPr>
              <w:pStyle w:val="null3"/>
            </w:pPr>
            <w:r>
              <w:rPr/>
              <w:t>不存在与单位负责人为同一人或者存在直接控股、管理关系的其他供应商参与同一合同项下的政府采购活动的行为。</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r>
        <w:tc>
          <w:tcPr>
            <w:tcW w:type="dxa" w:w="831"/>
          </w:tcPr>
          <w:p>
            <w:pPr>
              <w:pStyle w:val="null3"/>
            </w:pPr>
            <w:r>
              <w:rPr/>
              <w:t>8</w:t>
            </w:r>
          </w:p>
        </w:tc>
        <w:tc>
          <w:tcPr>
            <w:tcW w:type="dxa" w:w="2492"/>
          </w:tcPr>
          <w:p>
            <w:pPr>
              <w:pStyle w:val="null3"/>
            </w:pPr>
            <w:r>
              <w:rPr/>
              <w:t>不属于为本项目提供整体设计、规范编制或者项目管理、监理、检测等服务的供应商。</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bl>
    <w:p>
      <w:pPr>
        <w:pStyle w:val="null3"/>
        <w:ind w:firstLine="480"/>
        <w:outlineLvl w:val="3"/>
      </w:pPr>
      <w:r>
        <w:rPr>
          <w:b/>
          <w:sz w:val="24"/>
        </w:rPr>
        <w:t>特殊资格审查：</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序号</w:t>
            </w:r>
          </w:p>
        </w:tc>
        <w:tc>
          <w:tcPr>
            <w:tcW w:type="dxa" w:w="2492"/>
          </w:tcPr>
          <w:p>
            <w:pPr>
              <w:pStyle w:val="null3"/>
            </w:pPr>
            <w:r>
              <w:rPr/>
              <w:t>资格审查要求概况</w:t>
            </w:r>
          </w:p>
        </w:tc>
        <w:tc>
          <w:tcPr>
            <w:tcW w:type="dxa" w:w="3322"/>
          </w:tcPr>
          <w:p>
            <w:pPr>
              <w:pStyle w:val="null3"/>
            </w:pPr>
            <w:r>
              <w:rPr/>
              <w:t>评审点具体描述</w:t>
            </w:r>
          </w:p>
        </w:tc>
        <w:tc>
          <w:tcPr>
            <w:tcW w:type="dxa" w:w="1661"/>
          </w:tcPr>
          <w:p>
            <w:pPr>
              <w:pStyle w:val="null3"/>
            </w:pPr>
            <w:r>
              <w:rPr/>
              <w:t>关联格式</w:t>
            </w:r>
          </w:p>
        </w:tc>
      </w:tr>
      <w:tr>
        <w:tc>
          <w:tcPr>
            <w:tcW w:type="dxa" w:w="831"/>
          </w:tcPr>
          <w:p>
            <w:pPr>
              <w:pStyle w:val="null3"/>
            </w:pPr>
            <w:r>
              <w:rPr/>
              <w:t>1</w:t>
            </w:r>
          </w:p>
        </w:tc>
        <w:tc>
          <w:tcPr>
            <w:tcW w:type="dxa" w:w="2492"/>
          </w:tcPr>
          <w:p>
            <w:pPr>
              <w:pStyle w:val="null3"/>
            </w:pPr>
            <w:r>
              <w:rPr/>
              <w:t>特殊资格条件</w:t>
            </w:r>
          </w:p>
        </w:tc>
        <w:tc>
          <w:tcPr>
            <w:tcW w:type="dxa" w:w="3322"/>
          </w:tcPr>
          <w:p>
            <w:pPr>
              <w:pStyle w:val="null3"/>
            </w:pPr>
            <w:r>
              <w:rPr/>
              <w:t>1、特殊资格条件（描述：1、行贿犯罪记录：在行贿犯罪信息查询期限内，投标人及其现任法定代表人、主要负责人没有行贿犯罪记录的书面声明材料。【说明：①按声明函的内容及要求提供书面声明材料；投标文件中不需提供中国裁判文书网（https://wenshu.court.gov.cn）查询结果的证明材料；②在行贿犯罪信息查询期限内，供应商及其现任法定代表人、主要负责人没有行贿犯罪记录。】 2、未被列入失信被执行人、重大税收违法案件当事人名单、政府采购严重违法失信行为记录名单：（1）投标人未列入失信被执行人、重大税收违法案件当事人名单、政府采购严重违法失信行为记录名单的书面声明材料。【说明：①按声明函的内容及要求提供书面声明材料；②投标人未列入失信被执行人、重大税收违法案件当事人名单、政府采购严重违法失信行为记录名单。】（2）资格审查小组根据“信用中国”和“中国政府采购网”网站的查询结果，在资格审查期间对投标人是否被列入失信被执行人、重大税收违法案件当事人名单、政府采购严重违法失信行为记录名单进行审查。【说明：投标人未列入失信被执行人、重大税收违法案件当事人名单、政府采购严重违法失信行为记录名单。】 3、未处于被行政部门禁止参与政府采购活动的期限内：投标人未处于被行政部门禁止参与政府采购活动的期限内。【说明：①按声明函的内容及要求提供书面声明材料；②供应商未处于被行政部门禁止参与政府采购活动的期限内。】 4、联合体投标：非联合体投标。 5、不属于国家相关法律法规规定的其他禁止参加投标的情形：（1）根据招标文件的要求不属于禁止参加投标或投标无效的供应商；（2）资格审查小组未发现或者未知晓投标人存在属于国家相关法律法规规定的禁止参加投标或投标无效的供应商。）</w:t>
            </w:r>
          </w:p>
        </w:tc>
        <w:tc>
          <w:tcPr>
            <w:tcW w:type="dxa" w:w="1661"/>
          </w:tcPr>
          <w:p>
            <w:pPr>
              <w:pStyle w:val="null3"/>
            </w:pPr>
            <w:r>
              <w:rPr/>
              <w:t>声明函 投标（响应）函</w:t>
            </w:r>
          </w:p>
        </w:tc>
      </w:tr>
    </w:tbl>
    <w:p>
      <w:pPr>
        <w:pStyle w:val="null3"/>
        <w:ind w:firstLine="480"/>
        <w:outlineLvl w:val="3"/>
      </w:pPr>
      <w:r>
        <w:rPr>
          <w:b/>
          <w:sz w:val="24"/>
        </w:rPr>
        <w:t>落实政府采购政策资格审查：</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序号</w:t>
            </w:r>
          </w:p>
        </w:tc>
        <w:tc>
          <w:tcPr>
            <w:tcW w:type="dxa" w:w="2492"/>
          </w:tcPr>
          <w:p>
            <w:pPr>
              <w:pStyle w:val="null3"/>
            </w:pPr>
            <w:r>
              <w:rPr/>
              <w:t>资格审查要求概况</w:t>
            </w:r>
          </w:p>
        </w:tc>
        <w:tc>
          <w:tcPr>
            <w:tcW w:type="dxa" w:w="3322"/>
          </w:tcPr>
          <w:p>
            <w:pPr>
              <w:pStyle w:val="null3"/>
            </w:pPr>
            <w:r>
              <w:rPr/>
              <w:t>评审点具体描述</w:t>
            </w:r>
          </w:p>
        </w:tc>
        <w:tc>
          <w:tcPr>
            <w:tcW w:type="dxa" w:w="1661"/>
          </w:tcPr>
          <w:p>
            <w:pPr>
              <w:pStyle w:val="null3"/>
            </w:pPr>
            <w:r>
              <w:rPr/>
              <w:t>关联格式</w:t>
            </w:r>
          </w:p>
        </w:tc>
      </w:tr>
      <w:tr>
        <w:tc>
          <w:tcPr>
            <w:tcW w:type="dxa" w:w="831"/>
          </w:tcPr>
          <w:p>
            <w:pPr>
              <w:pStyle w:val="null3"/>
            </w:pPr>
            <w:r>
              <w:rPr/>
              <w:t>1</w:t>
            </w:r>
          </w:p>
        </w:tc>
        <w:tc>
          <w:tcPr>
            <w:tcW w:type="dxa" w:w="2492"/>
          </w:tcPr>
          <w:p>
            <w:pPr>
              <w:pStyle w:val="null3"/>
            </w:pPr>
            <w:r>
              <w:rPr/>
              <w:t>本采购包属于专门面向中小企业采购。</w:t>
            </w:r>
          </w:p>
        </w:tc>
        <w:tc>
          <w:tcPr>
            <w:tcW w:type="dxa" w:w="3322"/>
          </w:tcPr>
          <w:p>
            <w:pPr>
              <w:pStyle w:val="null3"/>
            </w:pPr>
            <w:r>
              <w:rPr/>
              <w:t>供应商结合自身实际，按照采购文件要求和关联格式要求，提供《中小企业声明函》或者《残疾人福利性单位声明函》、《监狱企业证明文件》进行响应。</w:t>
            </w:r>
          </w:p>
        </w:tc>
        <w:tc>
          <w:tcPr>
            <w:tcW w:type="dxa" w:w="1661"/>
          </w:tcPr>
          <w:p>
            <w:pPr>
              <w:pStyle w:val="null3"/>
            </w:pPr>
            <w:r>
              <w:rPr/>
              <w:t>中小企业声明函 残疾人福利性单位声明函 监狱企业的证明文件</w:t>
            </w:r>
          </w:p>
        </w:tc>
      </w:tr>
    </w:tbl>
    <w:p>
      <w:pPr>
        <w:pStyle w:val="null3"/>
      </w:pPr>
    </w:p>
    <w:p>
      <w:pPr>
        <w:pStyle w:val="null3"/>
        <w:ind w:firstLine="480"/>
      </w:pPr>
      <w:r>
        <w:rPr/>
        <w:t xml:space="preserve"> </w:t>
      </w:r>
    </w:p>
    <w:p>
      <w:pPr>
        <w:pStyle w:val="null3"/>
        <w:ind w:firstLine="480"/>
        <w:outlineLvl w:val="3"/>
      </w:pPr>
      <w:r>
        <w:rPr>
          <w:b/>
          <w:sz w:val="24"/>
        </w:rPr>
        <w:t>5.3.3符合性审查</w:t>
      </w:r>
    </w:p>
    <w:p>
      <w:pPr>
        <w:pStyle w:val="null3"/>
        <w:ind w:firstLine="480"/>
      </w:pPr>
      <w:r>
        <w:rPr/>
        <w:t>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t>在符合性审查过程中，如果出现谈判小组成员意见不一致的情况，按照少数服从多数的原则确定，但不得违背政府采购基本原则和谈判文件规定。</w:t>
      </w:r>
    </w:p>
    <w:p>
      <w:pPr>
        <w:pStyle w:val="null3"/>
        <w:ind w:firstLine="480"/>
      </w:pPr>
      <w:r>
        <w:rPr/>
        <w:t>符合性审查标准见下表：</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序号</w:t>
            </w:r>
          </w:p>
        </w:tc>
        <w:tc>
          <w:tcPr>
            <w:tcW w:type="dxa" w:w="2492"/>
          </w:tcPr>
          <w:p>
            <w:pPr>
              <w:pStyle w:val="null3"/>
            </w:pPr>
            <w:r>
              <w:rPr/>
              <w:t>符合审查要求概况</w:t>
            </w:r>
          </w:p>
        </w:tc>
        <w:tc>
          <w:tcPr>
            <w:tcW w:type="dxa" w:w="3322"/>
          </w:tcPr>
          <w:p>
            <w:pPr>
              <w:pStyle w:val="null3"/>
            </w:pPr>
            <w:r>
              <w:rPr/>
              <w:t>评审点具体描述</w:t>
            </w:r>
          </w:p>
        </w:tc>
        <w:tc>
          <w:tcPr>
            <w:tcW w:type="dxa" w:w="1661"/>
          </w:tcPr>
          <w:p>
            <w:pPr>
              <w:pStyle w:val="null3"/>
            </w:pPr>
            <w:r>
              <w:rPr/>
              <w:t>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分项报价表 分项报价明细表 报价表</w:t>
            </w:r>
          </w:p>
        </w:tc>
      </w:tr>
      <w:tr>
        <w:tc>
          <w:tcPr>
            <w:tcW w:type="dxa" w:w="831"/>
          </w:tcPr>
          <w:p>
            <w:pPr>
              <w:pStyle w:val="null3"/>
            </w:pPr>
            <w:r>
              <w:rPr/>
              <w:t>2</w:t>
            </w:r>
          </w:p>
        </w:tc>
        <w:tc>
          <w:tcPr>
            <w:tcW w:type="dxa" w:w="2492"/>
          </w:tcPr>
          <w:p>
            <w:pPr>
              <w:pStyle w:val="null3"/>
            </w:pPr>
            <w:r>
              <w:rPr/>
              <w:t>报价</w:t>
            </w:r>
          </w:p>
        </w:tc>
        <w:tc>
          <w:tcPr>
            <w:tcW w:type="dxa" w:w="3322"/>
          </w:tcPr>
          <w:p>
            <w:pPr>
              <w:pStyle w:val="null3"/>
            </w:pPr>
            <w:r>
              <w:rPr/>
              <w:t>投标报价唯一（说明：投标文件报价出现前后 不一致的，按照招标文件第5章评标办法规定予 以修正，修正后的报价经投标人通过项目电子 化交易系统进行确认，并加盖投标人（法定名 称）电子印章，投标人未在规定时间内确认的 ，其投标无效。评标委员会不得未经投标人确 认，直接将投标人投标文件作无效处理。） 2. 未超过招标文件规定的最高限价； 3.投标报价 应包含本次招标要求的所有货物及服务的费用</w:t>
            </w:r>
          </w:p>
        </w:tc>
        <w:tc>
          <w:tcPr>
            <w:tcW w:type="dxa" w:w="1661"/>
          </w:tcPr>
          <w:p>
            <w:pPr>
              <w:pStyle w:val="null3"/>
            </w:pPr>
            <w:r>
              <w:rPr/>
              <w:t>响应文件封面 分项报价表 报价表 分项报价明细表</w:t>
            </w:r>
          </w:p>
        </w:tc>
      </w:tr>
      <w:tr>
        <w:tc>
          <w:tcPr>
            <w:tcW w:type="dxa" w:w="831"/>
          </w:tcPr>
          <w:p>
            <w:pPr>
              <w:pStyle w:val="null3"/>
            </w:pPr>
            <w:r>
              <w:rPr/>
              <w:t>3</w:t>
            </w:r>
          </w:p>
        </w:tc>
        <w:tc>
          <w:tcPr>
            <w:tcW w:type="dxa" w:w="2492"/>
          </w:tcPr>
          <w:p>
            <w:pPr>
              <w:pStyle w:val="null3"/>
            </w:pPr>
            <w:r>
              <w:rPr/>
              <w:t>符合谈判文件的实质性要求。</w:t>
            </w:r>
          </w:p>
        </w:tc>
        <w:tc>
          <w:tcPr>
            <w:tcW w:type="dxa" w:w="3322"/>
          </w:tcPr>
          <w:p>
            <w:pPr>
              <w:pStyle w:val="null3"/>
            </w:pPr>
            <w:r>
              <w:rPr/>
              <w:t>供应商提供的响应文件应符合谈判文件所有实质性要求，响应的相关资料须加盖投标人电子印章。</w:t>
            </w:r>
          </w:p>
        </w:tc>
        <w:tc>
          <w:tcPr>
            <w:tcW w:type="dxa" w:w="1661"/>
          </w:tcPr>
          <w:p>
            <w:pPr>
              <w:pStyle w:val="null3"/>
            </w:pPr>
            <w:r>
              <w:rPr/>
              <w:t>产品技术参数表 商务应答表</w:t>
            </w:r>
          </w:p>
        </w:tc>
      </w:tr>
    </w:tbl>
    <w:p>
      <w:pPr>
        <w:pStyle w:val="null3"/>
        <w:ind w:firstLine="480"/>
        <w:outlineLvl w:val="3"/>
      </w:pPr>
      <w:r>
        <w:rPr>
          <w:b/>
          <w:sz w:val="24"/>
        </w:rPr>
        <w:t>5.3.4谈判</w:t>
      </w:r>
    </w:p>
    <w:p>
      <w:pPr>
        <w:pStyle w:val="null3"/>
        <w:ind w:firstLine="480"/>
      </w:pPr>
      <w:r>
        <w:rPr/>
        <w:t>一、谈判小组按照谈判文件的规定与邀请参加谈判的供应商分别进行谈判，谈判顺序由谈判小组确定。</w:t>
      </w:r>
    </w:p>
    <w:p>
      <w:pPr>
        <w:pStyle w:val="null3"/>
        <w:ind w:firstLine="480"/>
      </w:pPr>
      <w:r>
        <w:rPr/>
        <w:t>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t>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t>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t>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t>六、经最终谈判后，响应文件仍有下列情况之一的，应按照无效响应处理：</w:t>
      </w:r>
    </w:p>
    <w:p>
      <w:pPr>
        <w:pStyle w:val="null3"/>
        <w:ind w:firstLine="480"/>
      </w:pPr>
      <w:r>
        <w:rPr/>
        <w:t>（一）响应文件仍不能实质响应谈判文件可实质性变动的实质性要求的；</w:t>
      </w:r>
    </w:p>
    <w:p>
      <w:pPr>
        <w:pStyle w:val="null3"/>
        <w:ind w:firstLine="480"/>
      </w:pPr>
      <w:r>
        <w:rPr/>
        <w:t>（二）响应文件中仍有谈判文件规定的其他无效响应情形的。</w:t>
      </w:r>
    </w:p>
    <w:p>
      <w:pPr>
        <w:pStyle w:val="null3"/>
        <w:ind w:firstLine="480"/>
      </w:pPr>
      <w:r>
        <w:rPr/>
        <w:t>七、谈判过程中，谈判的任何一方不得透露与谈判有关的其他供应商的技术资料、价格和其他信息。</w:t>
      </w:r>
    </w:p>
    <w:p>
      <w:pPr>
        <w:pStyle w:val="null3"/>
        <w:ind w:firstLine="480"/>
      </w:pPr>
      <w:r>
        <w:rPr/>
        <w:t>八、谈判过程中，谈判小组发现或者知晓供应商存在违法行为的，应当谈判报告中予以记录，并向本级财政部门报告，依法应将该供应商响应文件作无效处理的，应当作无效处理。</w:t>
      </w:r>
    </w:p>
    <w:p>
      <w:pPr>
        <w:pStyle w:val="null3"/>
        <w:ind w:firstLine="480"/>
        <w:outlineLvl w:val="3"/>
      </w:pPr>
      <w:r>
        <w:rPr>
          <w:b/>
          <w:sz w:val="24"/>
        </w:rPr>
        <w:t>5.3.5最后报价</w:t>
      </w:r>
    </w:p>
    <w:p>
      <w:pPr>
        <w:pStyle w:val="null3"/>
        <w:ind w:firstLine="480"/>
      </w:pPr>
      <w:r>
        <w:rPr/>
        <w:t>一、方案评审</w:t>
      </w:r>
    </w:p>
    <w:p>
      <w:pPr>
        <w:pStyle w:val="null3"/>
      </w:pPr>
    </w:p>
    <w:p>
      <w:pPr>
        <w:pStyle w:val="null3"/>
      </w:pPr>
    </w:p>
    <w:p>
      <w:pPr>
        <w:pStyle w:val="null3"/>
      </w:pPr>
      <w:r>
        <w:rPr/>
        <w:t>采购包1：谈判文件能够详细列明采购标的的技术、服务要求，谈判结束后，谈判小组可以根据谈判情况要求所有实质性响应的供应商在规定时间内提交最后报价，提交最后报价的供应商不得少于3家。</w:t>
      </w:r>
    </w:p>
    <w:p>
      <w:pPr>
        <w:pStyle w:val="null3"/>
        <w:ind w:firstLine="480"/>
      </w:pPr>
      <w:r>
        <w:rPr/>
        <w:t>二、谈判小组开启报价后，供应商应随时关注项目电子化交易系统信息提醒，登录项目电子化交易系统，通过“等候大厅”进行报价并签章后提交。</w:t>
      </w:r>
    </w:p>
    <w:p>
      <w:pPr>
        <w:pStyle w:val="null3"/>
        <w:ind w:firstLine="480"/>
      </w:pPr>
      <w:r>
        <w:rPr/>
        <w:t>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t>四、供应商未在响应文件提交截止时间内提交报价或未按要求进行报价的，视为无效响应，由供应商自行承担不利后果。</w:t>
      </w:r>
    </w:p>
    <w:p>
      <w:pPr>
        <w:pStyle w:val="null3"/>
        <w:ind w:firstLine="480"/>
      </w:pPr>
      <w:r>
        <w:rPr/>
        <w:t>五、供应商未按谈判小组要求在规定时间内提交最后报价的，视为其退出谈判。</w:t>
      </w:r>
    </w:p>
    <w:p>
      <w:pPr>
        <w:pStyle w:val="null3"/>
        <w:ind w:firstLine="480"/>
      </w:pPr>
      <w:r>
        <w:rPr/>
        <w:t>六、最后报价一旦提交后，供应商不得以任何理由撤回。</w:t>
      </w:r>
    </w:p>
    <w:p>
      <w:pPr>
        <w:pStyle w:val="null3"/>
        <w:ind w:firstLine="480"/>
        <w:jc w:val="left"/>
      </w:pPr>
      <w:r>
        <w:rPr/>
        <w:t>七、最后报价为有效报价应符合下列条件：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（三）供应商的最后报价应符合谈判文件的要求。</w:t>
      </w:r>
    </w:p>
    <w:p>
      <w:pPr>
        <w:pStyle w:val="null3"/>
        <w:ind w:firstLine="480"/>
      </w:pPr>
      <w:r>
        <w:rPr/>
        <w:t>（四）最后报价唯一，且不高于最高限价。</w:t>
      </w:r>
    </w:p>
    <w:p>
      <w:pPr>
        <w:pStyle w:val="null3"/>
        <w:ind w:firstLine="480"/>
      </w:pPr>
      <w:r>
        <w:rPr/>
        <w:t>八、最后报价出现下列情况的，不需要供应商澄清，按以下原则处理：</w:t>
      </w:r>
    </w:p>
    <w:p>
      <w:pPr>
        <w:pStyle w:val="null3"/>
        <w:ind w:firstLine="480"/>
      </w:pPr>
      <w:r>
        <w:rPr/>
        <w:t>（一）报价中的大写金额和小写金额不一致的，以大写金额为准，但大写金额出现文字错误，导致金额无法判断的除外；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同时出现两种以上不一致的，按照前款规定的顺序修正。修正后的最后报价经加盖供应商（法定名称）电子印章后产生约束力，供应商不确认的，其最后报价无效。</w:t>
      </w:r>
    </w:p>
    <w:p>
      <w:pPr>
        <w:pStyle w:val="null3"/>
        <w:ind w:firstLine="480"/>
        <w:outlineLvl w:val="3"/>
      </w:pPr>
      <w:r>
        <w:rPr>
          <w:b/>
          <w:sz w:val="24"/>
        </w:rPr>
        <w:t>5.3.6价格扣除</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序号</w:t>
            </w:r>
          </w:p>
        </w:tc>
        <w:tc>
          <w:tcPr>
            <w:tcW w:type="dxa" w:w="1661"/>
          </w:tcPr>
          <w:p>
            <w:pPr>
              <w:pStyle w:val="null3"/>
            </w:pPr>
            <w:r>
              <w:rPr/>
              <w:t>情形</w:t>
            </w:r>
          </w:p>
        </w:tc>
        <w:tc>
          <w:tcPr>
            <w:tcW w:type="dxa" w:w="1661"/>
          </w:tcPr>
          <w:p>
            <w:pPr>
              <w:pStyle w:val="null3"/>
            </w:pPr>
            <w:r>
              <w:rPr/>
              <w:t>适用对象</w:t>
            </w:r>
          </w:p>
        </w:tc>
        <w:tc>
          <w:tcPr>
            <w:tcW w:type="dxa" w:w="831"/>
          </w:tcPr>
          <w:p>
            <w:pPr>
              <w:pStyle w:val="null3"/>
            </w:pPr>
            <w:r>
              <w:rPr/>
              <w:t>比例</w:t>
            </w:r>
          </w:p>
        </w:tc>
        <w:tc>
          <w:tcPr>
            <w:tcW w:type="dxa" w:w="1661"/>
          </w:tcPr>
          <w:p>
            <w:pPr>
              <w:pStyle w:val="null3"/>
            </w:pPr>
            <w:r>
              <w:rPr/>
              <w:t>说明</w:t>
            </w:r>
          </w:p>
        </w:tc>
        <w:tc>
          <w:tcPr>
            <w:tcW w:type="dxa" w:w="1661"/>
          </w:tcPr>
          <w:p>
            <w:pPr>
              <w:pStyle w:val="null3"/>
            </w:pPr>
            <w:r>
              <w:rPr/>
              <w:t>关联格式</w:t>
            </w:r>
          </w:p>
        </w:tc>
      </w:tr>
      <w:tr>
        <w:tc>
          <w:tcPr>
            <w:tcW w:type="dxa" w:w="8306"/>
            <w:gridSpan w:val="6"/>
          </w:tcPr>
          <w:p>
            <w:pPr>
              <w:pStyle w:val="null3"/>
            </w:pPr>
            <w:r>
              <w:rPr/>
              <w:t>无</w:t>
            </w:r>
          </w:p>
        </w:tc>
      </w:tr>
    </w:tbl>
    <w:p>
      <w:pPr>
        <w:pStyle w:val="null3"/>
        <w:ind w:firstLine="480"/>
        <w:outlineLvl w:val="3"/>
      </w:pPr>
      <w:r>
        <w:rPr>
          <w:b/>
          <w:sz w:val="24"/>
        </w:rPr>
        <w:t>5.3.7解释、澄清、说明的有关问题</w:t>
      </w:r>
    </w:p>
    <w:p>
      <w:pPr>
        <w:pStyle w:val="null3"/>
        <w:ind w:firstLine="480"/>
      </w:pPr>
      <w:r>
        <w:rPr/>
        <w:t>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t>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t>四、谈判小组应当积极履行澄清、说明或者更正的职责，不得滥用权力。</w:t>
      </w:r>
    </w:p>
    <w:p>
      <w:pPr>
        <w:pStyle w:val="null3"/>
        <w:ind w:firstLine="480"/>
        <w:outlineLvl w:val="3"/>
      </w:pPr>
      <w:r>
        <w:rPr>
          <w:b/>
          <w:sz w:val="24"/>
        </w:rPr>
        <w:t>5.3.8复核</w:t>
      </w:r>
    </w:p>
    <w:p>
      <w:pPr>
        <w:pStyle w:val="null3"/>
        <w:ind w:firstLine="480"/>
      </w:pPr>
      <w:r>
        <w:rPr/>
        <w:t>一、评审结束后，谈判小组应当进行复核，特别要对拟推荐为成交供应商的、报价最低的、响应文件被认定为无效的进行重点复核。</w:t>
      </w:r>
    </w:p>
    <w:p>
      <w:pPr>
        <w:pStyle w:val="null3"/>
        <w:ind w:firstLine="480"/>
      </w:pPr>
      <w:r>
        <w:rPr/>
        <w:t>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t>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ind w:firstLine="480"/>
        <w:outlineLvl w:val="3"/>
      </w:pPr>
      <w:r>
        <w:rPr>
          <w:b/>
          <w:sz w:val="24"/>
        </w:rPr>
        <w:t>5.3.9推荐成交候选供应商</w:t>
      </w:r>
    </w:p>
    <w:p>
      <w:pPr>
        <w:pStyle w:val="null3"/>
      </w:pPr>
    </w:p>
    <w:p>
      <w:pPr>
        <w:pStyle w:val="null3"/>
      </w:pPr>
    </w:p>
    <w:p>
      <w:pPr>
        <w:pStyle w:val="null3"/>
      </w:pPr>
      <w:r>
        <w:rPr/>
        <w:t>采购包1：</w:t>
      </w:r>
      <w:r>
        <w:rPr/>
        <w:t>候选供应商数量3名。</w:t>
      </w:r>
    </w:p>
    <w:p>
      <w:pPr>
        <w:pStyle w:val="null3"/>
        <w:ind w:firstLine="480"/>
        <w:jc w:val="left"/>
      </w:pPr>
      <w:r>
        <w:rPr/>
        <w:t>“本项目”按供应商经评审的最终报价从低到高顺序排列，确定成交候选供应商。最终报价相同的，按供应商提供的优先采购产品认证证书数量由多到少顺序排列；最终报价且提供的优先采购产品认证证书数量相同的并列。</w:t>
      </w:r>
    </w:p>
    <w:p>
      <w:pPr>
        <w:pStyle w:val="null3"/>
        <w:ind w:firstLine="480"/>
        <w:jc w:val="left"/>
      </w:pPr>
      <w:r>
        <w:rPr/>
        <w:t>响应文件满足谈判文件全部实质性要求且最终报价最低的供应商为排名第一的成交候选供应商。</w:t>
      </w:r>
    </w:p>
    <w:p>
      <w:pPr>
        <w:pStyle w:val="null3"/>
        <w:ind w:firstLine="480"/>
        <w:jc w:val="left"/>
      </w:pPr>
      <w:r>
        <w:rPr/>
        <w:t>经评审的最终报价是指对供应商最后报价完成价格修正和落实政府采购政策进行的价格扣除后的报价。</w:t>
      </w:r>
    </w:p>
    <w:p>
      <w:pPr>
        <w:pStyle w:val="null3"/>
        <w:ind w:firstLine="480"/>
        <w:outlineLvl w:val="3"/>
      </w:pPr>
      <w:r>
        <w:rPr>
          <w:b/>
          <w:sz w:val="24"/>
        </w:rPr>
        <w:t>5.3.10编写谈判报告</w:t>
      </w:r>
    </w:p>
    <w:p>
      <w:pPr>
        <w:pStyle w:val="null3"/>
        <w:ind w:firstLine="480"/>
      </w:pPr>
      <w:r>
        <w:rPr/>
        <w:t>谈判小组在项目电子化交易系统中编制评审情况，生成谈判报告。谈判报告是谈判小组根据全体成员签字的原始评审记录和评审结果编写的报告，其主要内容包括：</w:t>
      </w:r>
    </w:p>
    <w:p>
      <w:pPr>
        <w:pStyle w:val="null3"/>
        <w:ind w:firstLine="480"/>
      </w:pPr>
      <w:r>
        <w:rPr/>
        <w:t>一、邀请供应商参加采购活动的具体方式和相关情况，以及参加采购活动的供应商名单；</w:t>
      </w:r>
    </w:p>
    <w:p>
      <w:pPr>
        <w:pStyle w:val="null3"/>
        <w:ind w:firstLine="480"/>
      </w:pPr>
      <w:r>
        <w:rPr/>
        <w:t>二、谈判日期和地点，评审委员会成员名单；</w:t>
      </w:r>
    </w:p>
    <w:p>
      <w:pPr>
        <w:pStyle w:val="null3"/>
        <w:ind w:firstLine="480"/>
      </w:pPr>
      <w:r>
        <w:rPr/>
        <w:t>三、参加报价的供应商名单及报价情况和未参加报价的供应商名单及原因；</w:t>
      </w:r>
    </w:p>
    <w:p>
      <w:pPr>
        <w:pStyle w:val="null3"/>
        <w:ind w:firstLine="480"/>
      </w:pPr>
      <w:r>
        <w:rPr/>
        <w:t>四、变动谈判文件实质性内容的有关资料及记录；</w:t>
      </w:r>
    </w:p>
    <w:p>
      <w:pPr>
        <w:pStyle w:val="null3"/>
        <w:ind w:firstLine="480"/>
      </w:pPr>
      <w:r>
        <w:rPr/>
        <w:t>五、供应商响应文件响应谈判文件实质性要求情况及供应商变动响应文件有关资料及记录；</w:t>
      </w:r>
    </w:p>
    <w:p>
      <w:pPr>
        <w:pStyle w:val="null3"/>
        <w:ind w:firstLine="480"/>
      </w:pPr>
      <w:r>
        <w:rPr/>
        <w:t>六、谈判情况记录和说明，包括对供应商的资格审查情况、供应商响应文件谈判情况等；</w:t>
      </w:r>
    </w:p>
    <w:p>
      <w:pPr>
        <w:pStyle w:val="null3"/>
        <w:ind w:firstLine="480"/>
      </w:pPr>
      <w:r>
        <w:rPr/>
        <w:t>七、推荐的成交候选供应商名单及理由。</w:t>
      </w:r>
    </w:p>
    <w:p>
      <w:pPr>
        <w:pStyle w:val="null3"/>
        <w:ind w:firstLine="480"/>
      </w:pPr>
      <w:r>
        <w:rPr/>
        <w:t>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ind w:firstLine="480"/>
        <w:outlineLvl w:val="3"/>
      </w:pPr>
      <w:r>
        <w:rPr>
          <w:b/>
          <w:sz w:val="24"/>
        </w:rPr>
        <w:t>5.3.11谈判异议处理规则</w:t>
      </w:r>
    </w:p>
    <w:p>
      <w:pPr>
        <w:pStyle w:val="null3"/>
        <w:ind w:firstLine="480"/>
      </w:pPr>
      <w:r>
        <w:rPr/>
        <w:t>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ind w:firstLine="480"/>
        <w:outlineLvl w:val="2"/>
      </w:pPr>
      <w:r>
        <w:rPr>
          <w:b/>
          <w:sz w:val="28"/>
        </w:rPr>
        <w:t>5.4、终止采购活动情形</w:t>
      </w:r>
    </w:p>
    <w:p>
      <w:pPr>
        <w:pStyle w:val="null3"/>
        <w:ind w:firstLine="480"/>
      </w:pPr>
      <w:r>
        <w:rPr/>
        <w:t>有下列情形之一的，本项目终止采购活动：</w:t>
      </w:r>
    </w:p>
    <w:p>
      <w:pPr>
        <w:pStyle w:val="null3"/>
        <w:ind w:firstLine="480"/>
      </w:pPr>
      <w:r>
        <w:rPr/>
        <w:t>（一）因情况变化，不再符合规定的竞争性谈判采购方式适用情形的；</w:t>
      </w:r>
    </w:p>
    <w:p>
      <w:pPr>
        <w:pStyle w:val="null3"/>
        <w:ind w:firstLine="480"/>
      </w:pPr>
      <w:r>
        <w:rPr/>
        <w:t>（二）出现影响采购公正的违法、违规行为的；</w:t>
      </w:r>
    </w:p>
    <w:p>
      <w:pPr>
        <w:pStyle w:val="null3"/>
        <w:ind w:firstLine="480"/>
      </w:pPr>
      <w:r>
        <w:rPr/>
        <w:t>（三）提交首次响应文件的供应商不足三家的；</w:t>
      </w:r>
    </w:p>
    <w:p>
      <w:pPr>
        <w:pStyle w:val="null3"/>
        <w:ind w:firstLine="480"/>
      </w:pPr>
      <w:r>
        <w:rPr/>
        <w:t>（四）通过资格审查的供应商不足三家的；</w:t>
      </w:r>
    </w:p>
    <w:p>
      <w:pPr>
        <w:pStyle w:val="null3"/>
        <w:ind w:firstLine="480"/>
      </w:pPr>
      <w:r>
        <w:rPr/>
        <w:t>（五）通过符合性审查的供应商不足三家的；</w:t>
      </w:r>
    </w:p>
    <w:p>
      <w:pPr>
        <w:pStyle w:val="null3"/>
        <w:ind w:firstLine="480"/>
      </w:pPr>
      <w:r>
        <w:rPr/>
        <w:t>（六）提交最后报价的供应商不足三家的；</w:t>
      </w:r>
    </w:p>
    <w:p>
      <w:pPr>
        <w:pStyle w:val="null3"/>
        <w:ind w:firstLine="480"/>
      </w:pPr>
      <w:r>
        <w:rPr/>
        <w:t>（七）通过最后报价审查的供应商不足三家的。</w:t>
      </w:r>
    </w:p>
    <w:p>
      <w:pPr>
        <w:pStyle w:val="null3"/>
        <w:ind w:firstLine="480"/>
      </w:pPr>
      <w:r>
        <w:rPr/>
        <w:t>注：公开招标转竞争性谈判只有两家供应商参与的情形除外。</w:t>
      </w:r>
    </w:p>
    <w:p>
      <w:pPr>
        <w:pStyle w:val="null3"/>
        <w:ind w:firstLine="480"/>
        <w:outlineLvl w:val="2"/>
      </w:pPr>
      <w:r>
        <w:rPr>
          <w:b/>
          <w:sz w:val="28"/>
        </w:rPr>
        <w:t>5.5、确定成交供应商</w:t>
      </w:r>
    </w:p>
    <w:p>
      <w:pPr>
        <w:pStyle w:val="null3"/>
      </w:pPr>
    </w:p>
    <w:p>
      <w:pPr>
        <w:pStyle w:val="null3"/>
      </w:pPr>
    </w:p>
    <w:p>
      <w:pPr>
        <w:pStyle w:val="null3"/>
      </w:pPr>
      <w:r>
        <w:rPr/>
        <w:t>一、评审结束后，代理机构在评审结束之日起2个工作日内将谈判报告及有关资料送交采购人确定成交供应商。</w:t>
      </w:r>
    </w:p>
    <w:p>
      <w:pPr>
        <w:pStyle w:val="null3"/>
      </w:pPr>
      <w:r>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三、采购人逾期未确定成交供应商且不提出异议的，视为确定谈判报告提出的排序第一的供应商为成交供应商。</w:t>
      </w:r>
    </w:p>
    <w:p>
      <w:pPr>
        <w:pStyle w:val="null3"/>
      </w:pPr>
      <w:r>
        <w:rPr/>
        <w:t>四、根据采购人确定的成交供应商，代理机构在四川政府采购网上发布成交结果公告，同时向成交供应商发出成交通知书。</w:t>
      </w:r>
    </w:p>
    <w:p>
      <w:pPr>
        <w:pStyle w:val="null3"/>
      </w:pPr>
      <w:r>
        <w:rPr/>
        <w:t>五、采购人、代理机构不解释成交或未成交原因，不退回响应文件和其他响应资料。</w:t>
      </w:r>
    </w:p>
    <w:p>
      <w:pPr>
        <w:pStyle w:val="null3"/>
        <w:ind w:firstLine="480"/>
        <w:outlineLvl w:val="2"/>
      </w:pPr>
      <w:r>
        <w:rPr>
          <w:b/>
          <w:sz w:val="28"/>
        </w:rPr>
        <w:t>5.6、谈判小组成员义务</w:t>
      </w:r>
    </w:p>
    <w:p>
      <w:pPr>
        <w:pStyle w:val="null3"/>
        <w:ind w:firstLine="480"/>
      </w:pPr>
      <w:r>
        <w:rPr/>
        <w:t>（一）遵守评审工作纪律；</w:t>
      </w:r>
    </w:p>
    <w:p>
      <w:pPr>
        <w:pStyle w:val="null3"/>
        <w:ind w:firstLine="480"/>
      </w:pPr>
      <w:r>
        <w:rPr/>
        <w:t>（二）按照客观、公正、审慎的原则，根据竞争性谈判文件规定的评审程序、评审方法和评审标准进行独立评审；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ind w:firstLine="480"/>
        <w:outlineLvl w:val="2"/>
      </w:pPr>
      <w:r>
        <w:rPr>
          <w:b/>
          <w:sz w:val="28"/>
        </w:rPr>
        <w:t>5.7、谈判纪律</w:t>
      </w:r>
    </w:p>
    <w:p>
      <w:pPr>
        <w:pStyle w:val="null3"/>
        <w:ind w:firstLine="480"/>
      </w:pPr>
      <w:r>
        <w:rPr/>
        <w:t>（一）遵行《中华人民共和国政府采购法》第十二条和《中华人民共和国政府采购法实施条例》第九条及财政部关于回避的规定。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         见，不得协商评分，不得违反规定的评审格式评分和撰写评审意见，不得拒绝对自己的评审意见签字确认。</w:t>
      </w:r>
    </w:p>
    <w:p>
      <w:pPr>
        <w:pStyle w:val="null3"/>
        <w:ind w:firstLine="480"/>
      </w:pPr>
      <w:r>
        <w:rPr/>
        <w:t>（五）在评审过程中和评审结束后，不得记录、复制或带走任何评审资料，除因配合答复处理供应商的询问、质疑和投诉等事项外，不得向外界透露评审内容。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p>
    <w:p>
      <w:pPr>
        <w:pStyle w:val="null3"/>
        <w:ind w:firstLine="480"/>
      </w:pPr>
      <w:r>
        <w:rPr/>
        <w:t xml:space="preserve"> </w:t>
      </w:r>
    </w:p>
    <w:p>
      <w:pPr>
        <w:pStyle w:val="null3"/>
        <w:ind w:firstLine="480"/>
        <w:jc w:val="center"/>
        <w:outlineLvl w:val="1"/>
      </w:pPr>
      <w:r>
        <w:rPr>
          <w:b/>
          <w:sz w:val="36"/>
        </w:rPr>
        <w:t>第六章 响应文件格式</w:t>
      </w:r>
    </w:p>
    <w:p>
      <w:pPr>
        <w:pStyle w:val="null3"/>
      </w:pPr>
    </w:p>
    <w:p>
      <w:pPr>
        <w:pStyle w:val="null3"/>
      </w:pPr>
    </w:p>
    <w:p>
      <w:pPr>
        <w:pStyle w:val="null3"/>
      </w:pP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详见附件：投标（响应）函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详见附件：商务应答表</w:t>
      </w:r>
    </w:p>
    <w:p>
      <w:pPr>
        <w:pStyle w:val="null3"/>
        <w:ind w:firstLine="960"/>
      </w:pPr>
      <w:r>
        <w:rPr/>
        <w:t>详见附件：报价表</w:t>
      </w:r>
    </w:p>
    <w:p>
      <w:pPr>
        <w:pStyle w:val="null3"/>
        <w:ind w:firstLine="960"/>
      </w:pPr>
      <w:r>
        <w:rPr/>
        <w:t>详见附件：分项报价表</w:t>
      </w:r>
    </w:p>
    <w:p>
      <w:pPr>
        <w:pStyle w:val="null3"/>
        <w:ind w:firstLine="960"/>
      </w:pPr>
      <w:r>
        <w:rPr/>
        <w:t>详见附件：产品技术参数表</w:t>
      </w:r>
    </w:p>
    <w:p>
      <w:pPr>
        <w:pStyle w:val="null3"/>
        <w:ind w:firstLine="960"/>
      </w:pPr>
      <w:r>
        <w:rPr/>
        <w:t>详见附件：分项报价明细表</w:t>
      </w:r>
    </w:p>
    <w:p>
      <w:pPr>
        <w:pStyle w:val="null3"/>
        <w:ind w:firstLine="960"/>
      </w:pPr>
      <w:r>
        <w:rPr/>
        <w:t>详见附件：具有独立承担民事责任的能力</w:t>
      </w:r>
    </w:p>
    <w:p>
      <w:pPr>
        <w:pStyle w:val="null3"/>
        <w:ind w:firstLine="960"/>
      </w:pPr>
      <w:r>
        <w:rPr/>
        <w:t>详见附件：声明函</w:t>
      </w:r>
    </w:p>
    <w:p>
      <w:pPr>
        <w:pStyle w:val="null3"/>
      </w:pPr>
    </w:p>
    <w:p>
      <w:pPr>
        <w:pStyle w:val="null3"/>
        <w:ind w:firstLine="480"/>
      </w:pPr>
      <w:r>
        <w:rPr/>
        <w:t xml:space="preserve"> </w:t>
      </w:r>
    </w:p>
    <w:p>
      <w:pPr>
        <w:pStyle w:val="null3"/>
        <w:ind w:firstLine="480"/>
        <w:jc w:val="center"/>
        <w:outlineLvl w:val="1"/>
      </w:pPr>
      <w:r>
        <w:rPr>
          <w:b/>
          <w:sz w:val="36"/>
        </w:rPr>
        <w:t>第七章 拟签订采购合同文本</w:t>
      </w:r>
    </w:p>
    <w:p>
      <w:pPr>
        <w:pStyle w:val="null3"/>
      </w:pPr>
    </w:p>
    <w:p>
      <w:pPr>
        <w:pStyle w:val="null3"/>
      </w:pPr>
    </w:p>
    <w:p>
      <w:pPr>
        <w:pStyle w:val="null3"/>
      </w:pPr>
    </w:p>
    <w:p>
      <w:pPr>
        <w:pStyle w:val="null3"/>
      </w:pPr>
    </w:p>
    <w:p>
      <w:pPr>
        <w:pStyle w:val="null3"/>
      </w:pPr>
    </w:p>
    <w:p>
      <w:pPr>
        <w:pStyle w:val="null3"/>
        <w:ind w:firstLine="480"/>
        <w:jc w:val="center"/>
        <w:outlineLvl w:val="0"/>
      </w:pPr>
      <w:r>
        <w:rPr>
          <w:b/>
          <w:sz w:val="48"/>
        </w:rPr>
        <w:t>政府采购合同（货物类）</w:t>
      </w:r>
      <w:r>
        <w:br/>
      </w:r>
    </w:p>
    <w:p>
      <w:pPr>
        <w:pStyle w:val="null3"/>
      </w:pPr>
      <w:r>
        <w:rPr/>
        <w:t>政府采购合同编号：__________________</w:t>
      </w:r>
    </w:p>
    <w:p>
      <w:pPr>
        <w:pStyle w:val="null3"/>
      </w:pPr>
      <w:r>
        <w:rPr/>
        <w:t>履约地点： __________________</w:t>
      </w:r>
    </w:p>
    <w:p>
      <w:pPr>
        <w:pStyle w:val="null3"/>
      </w:pPr>
      <w:r>
        <w:rPr/>
        <w:t>签订地点：__________________</w:t>
      </w:r>
    </w:p>
    <w:p>
      <w:pPr>
        <w:pStyle w:val="null3"/>
      </w:pPr>
      <w:r>
        <w:rPr/>
        <w:t>签订日期：20___年___月___日</w:t>
      </w:r>
    </w:p>
    <w:p>
      <w:pPr>
        <w:pStyle w:val="null3"/>
      </w:pPr>
      <w:r>
        <w:rPr/>
        <w:t>采购人（甲方）：__________________</w:t>
      </w:r>
    </w:p>
    <w:p>
      <w:pPr>
        <w:pStyle w:val="null3"/>
      </w:pPr>
      <w:r>
        <w:rPr/>
        <w:t>地址：__________________</w:t>
      </w:r>
    </w:p>
    <w:p>
      <w:pPr>
        <w:pStyle w:val="null3"/>
      </w:pPr>
      <w:r>
        <w:rPr/>
        <w:t>供应商(乙方)：__________________</w:t>
      </w:r>
    </w:p>
    <w:p>
      <w:pPr>
        <w:pStyle w:val="null3"/>
      </w:pPr>
      <w:r>
        <w:rPr/>
        <w:t>地址：__________________</w:t>
      </w:r>
    </w:p>
    <w:p>
      <w:pPr>
        <w:pStyle w:val="null3"/>
      </w:pPr>
      <w:r>
        <w:rPr/>
        <w:t>依据《中华人民共和国民法典》 《中华人民共和国政府采购法》与项目行业有关的法律法规，以及XXX采购项目的</w:t>
      </w:r>
      <w:r>
        <w:rPr/>
        <w:t>《谈判文件》</w:t>
      </w:r>
      <w:r>
        <w:rPr/>
        <w:t>，乙方的《投标（响应）文件》及《中标（成交）通知书》，甲乙双方同意签订本合同。具体情况及要求如下：</w:t>
      </w:r>
    </w:p>
    <w:p>
      <w:pPr>
        <w:pStyle w:val="null3"/>
        <w:outlineLvl w:val="3"/>
      </w:pPr>
      <w:r>
        <w:rPr>
          <w:b/>
          <w:sz w:val="24"/>
        </w:rPr>
        <w:t>一、标的信息</w:t>
      </w:r>
      <w:r>
        <w:br/>
      </w:r>
    </w:p>
    <w:p>
      <w:pPr>
        <w:pStyle w:val="null3"/>
        <w:outlineLvl w:val="3"/>
      </w:pPr>
      <w:r>
        <w:rPr>
          <w:b/>
          <w:sz w:val="24"/>
        </w:rPr>
        <w:t>二、货物要求</w:t>
      </w:r>
    </w:p>
    <w:p>
      <w:pPr>
        <w:pStyle w:val="null3"/>
      </w:pPr>
    </w:p>
    <w:p>
      <w:pPr>
        <w:pStyle w:val="null3"/>
      </w:pPr>
      <w:r>
        <w:rPr/>
        <w:t>1.供应商为本项目提供的所有货物、辅材中属于《国家强制性货物认证目录》范围内货物的，均通过国家强制性货物认证并取得认证证书。供应商为本项目提供的所有货物、辅材符合现行的强制性国家相关标准、行业标准。</w:t>
      </w:r>
    </w:p>
    <w:p>
      <w:pPr>
        <w:pStyle w:val="null3"/>
      </w:pPr>
      <w:r>
        <w:rPr/>
        <w:t>2.包装方式</w:t>
      </w:r>
    </w:p>
    <w:p>
      <w:pPr>
        <w:pStyle w:val="null3"/>
      </w:pPr>
      <w:r>
        <w:rPr/>
        <w:t>3.质量保修范围和保修期</w:t>
      </w:r>
    </w:p>
    <w:p>
      <w:pPr>
        <w:pStyle w:val="null3"/>
      </w:pPr>
      <w:r>
        <w:rPr/>
        <w:t>4. 其他要求</w:t>
      </w:r>
    </w:p>
    <w:p>
      <w:pPr>
        <w:pStyle w:val="null3"/>
        <w:outlineLvl w:val="3"/>
      </w:pPr>
      <w:r>
        <w:rPr>
          <w:b/>
          <w:sz w:val="24"/>
        </w:rPr>
        <w:t>三、合同定价方式、付款进度和支付方式</w:t>
      </w:r>
      <w:r>
        <w:br/>
      </w:r>
    </w:p>
    <w:p>
      <w:pPr>
        <w:pStyle w:val="null3"/>
        <w:outlineLvl w:val="3"/>
      </w:pPr>
      <w:r>
        <w:rPr>
          <w:b/>
          <w:sz w:val="24"/>
        </w:rPr>
        <w:t>四、交货时间、地点和方式</w:t>
      </w:r>
      <w:r>
        <w:br/>
      </w:r>
    </w:p>
    <w:p>
      <w:pPr>
        <w:pStyle w:val="null3"/>
        <w:outlineLvl w:val="3"/>
      </w:pPr>
      <w:r>
        <w:rPr>
          <w:b/>
          <w:sz w:val="24"/>
        </w:rPr>
        <w:t>五、履约保证金</w:t>
      </w:r>
      <w:r>
        <w:br/>
      </w:r>
    </w:p>
    <w:p>
      <w:pPr>
        <w:pStyle w:val="null3"/>
        <w:outlineLvl w:val="3"/>
      </w:pPr>
      <w:r>
        <w:rPr>
          <w:b/>
          <w:sz w:val="24"/>
        </w:rPr>
        <w:t>六、验收标准和方法</w:t>
      </w:r>
      <w:r>
        <w:br/>
      </w:r>
    </w:p>
    <w:p>
      <w:pPr>
        <w:pStyle w:val="null3"/>
        <w:outlineLvl w:val="3"/>
      </w:pPr>
      <w:r>
        <w:rPr>
          <w:b/>
          <w:sz w:val="24"/>
        </w:rPr>
        <w:t>七、甲方的权利和义务</w:t>
      </w:r>
    </w:p>
    <w:p>
      <w:pPr>
        <w:pStyle w:val="null3"/>
      </w:pPr>
    </w:p>
    <w:p>
      <w:pPr>
        <w:pStyle w:val="null3"/>
      </w:pPr>
      <w:r>
        <w:rPr/>
        <w:t>1.甲方有权依据双方签订的合同对乙方提供的货物进行验收。当验收结果未达到标准时，有权依据合同约定对乙方......</w:t>
      </w:r>
    </w:p>
    <w:p>
      <w:pPr>
        <w:pStyle w:val="null3"/>
      </w:pPr>
      <w:r>
        <w:rPr/>
        <w:t>2.根据本合同规定，按时向乙方支付应付货物费用。</w:t>
      </w:r>
    </w:p>
    <w:p>
      <w:pPr>
        <w:pStyle w:val="null3"/>
      </w:pPr>
      <w:r>
        <w:rPr/>
        <w:t>3.国家法律、法规所规定由甲方承担的其它责任。</w:t>
      </w:r>
    </w:p>
    <w:p>
      <w:pPr>
        <w:pStyle w:val="null3"/>
        <w:outlineLvl w:val="3"/>
      </w:pPr>
      <w:r>
        <w:rPr>
          <w:b/>
          <w:sz w:val="24"/>
        </w:rPr>
        <w:t>八、乙方的权利和义务</w:t>
      </w:r>
    </w:p>
    <w:p>
      <w:pPr>
        <w:pStyle w:val="null3"/>
      </w:pPr>
    </w:p>
    <w:p>
      <w:pPr>
        <w:pStyle w:val="null3"/>
      </w:pPr>
      <w:r>
        <w:rPr/>
        <w:t>1.根据本合同的规定向甲方收取相关货物费用。</w:t>
      </w:r>
    </w:p>
    <w:p>
      <w:pPr>
        <w:pStyle w:val="null3"/>
      </w:pPr>
      <w:r>
        <w:rPr/>
        <w:t>2.接受项目行业管理部门及政府有关部门的指导，接受甲方的监督。</w:t>
      </w:r>
    </w:p>
    <w:p>
      <w:pPr>
        <w:pStyle w:val="null3"/>
      </w:pPr>
      <w:r>
        <w:rPr/>
        <w:t>3.国家法律、法规所规定由乙方承担的其它责任。</w:t>
      </w:r>
    </w:p>
    <w:p>
      <w:pPr>
        <w:pStyle w:val="null3"/>
        <w:outlineLvl w:val="3"/>
      </w:pPr>
      <w:r>
        <w:rPr>
          <w:b/>
          <w:sz w:val="24"/>
        </w:rPr>
        <w:t>九、违约责任</w:t>
      </w:r>
    </w:p>
    <w:p>
      <w:pPr>
        <w:pStyle w:val="null3"/>
      </w:pPr>
    </w:p>
    <w:p>
      <w:pPr>
        <w:pStyle w:val="null3"/>
      </w:pPr>
      <w:r>
        <w:rPr/>
        <w:t>1.若甲方未按照合同约定逾期向乙方支付货物费用，每逾期一天，按应支付金额的X‰作为违约金支付给乙方，直至实际支付之日</w:t>
      </w:r>
    </w:p>
    <w:p>
      <w:pPr>
        <w:pStyle w:val="null3"/>
      </w:pPr>
      <w:r>
        <w:rPr/>
        <w:t>2.因甲方原因导致变更、中止或者终止政府采购合同的，应对乙方受到的损失予以赔偿或者补偿。</w:t>
      </w:r>
    </w:p>
    <w:p>
      <w:pPr>
        <w:pStyle w:val="null3"/>
        <w:outlineLvl w:val="3"/>
      </w:pPr>
      <w:r>
        <w:rPr>
          <w:b/>
          <w:sz w:val="24"/>
        </w:rPr>
        <w:t>十、不可抗事件处理</w:t>
      </w:r>
    </w:p>
    <w:p>
      <w:pPr>
        <w:pStyle w:val="null3"/>
      </w:pPr>
    </w:p>
    <w:p>
      <w:pPr>
        <w:pStyle w:val="null3"/>
      </w:pPr>
      <w:r>
        <w:rPr/>
        <w:t>1.在合同有效期内，任何一方因不可抗事件导致不能履行合同，则合同履行期可延长，其延长期与不可抗影响期相同。</w:t>
      </w:r>
    </w:p>
    <w:p>
      <w:pPr>
        <w:pStyle w:val="null3"/>
      </w:pPr>
      <w:r>
        <w:rPr/>
        <w:t>2.受阻一方应在不可抗事件发生后尽快用电话通知对方并于事故发生后XX天内将有关部门出具的证明文件等用特快专递或挂号信寄给对方审阅确认。</w:t>
      </w:r>
    </w:p>
    <w:p>
      <w:pPr>
        <w:pStyle w:val="null3"/>
      </w:pPr>
      <w:r>
        <w:rPr/>
        <w:t>3.不可抗事件延续XX天以上，双方应通过友好协商，确定是否继续履行合同。</w:t>
      </w:r>
    </w:p>
    <w:p>
      <w:pPr>
        <w:pStyle w:val="null3"/>
        <w:outlineLvl w:val="3"/>
      </w:pPr>
      <w:r>
        <w:rPr>
          <w:b/>
          <w:sz w:val="24"/>
        </w:rPr>
        <w:t>十一、解决合同纠纷的方式</w:t>
      </w:r>
      <w:r>
        <w:br/>
      </w:r>
    </w:p>
    <w:p>
      <w:pPr>
        <w:pStyle w:val="null3"/>
        <w:outlineLvl w:val="3"/>
      </w:pPr>
      <w:r>
        <w:rPr>
          <w:b/>
          <w:sz w:val="24"/>
        </w:rPr>
        <w:t>十二、合同生效及其他</w:t>
      </w:r>
    </w:p>
    <w:p>
      <w:pPr>
        <w:pStyle w:val="null3"/>
      </w:pPr>
    </w:p>
    <w:p>
      <w:pPr>
        <w:pStyle w:val="null3"/>
      </w:pPr>
      <w:r>
        <w:rPr/>
        <w:t>1.合同经双方法定代表人（或主要负责人）或授权委托代理人签字并加盖公章后生效。</w:t>
      </w:r>
    </w:p>
    <w:p>
      <w:pPr>
        <w:pStyle w:val="null3"/>
      </w:pPr>
      <w:r>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pPr>
      <w:r>
        <w:rPr/>
        <w:t>3.本合同一式3份，自双方签章之日起生效。甲方持有1份，乙方持有1份，同级财政部门备案1份，具有同等法律效力。</w:t>
      </w:r>
      <w:r>
        <w:br/>
      </w:r>
      <w:r>
        <w:br/>
      </w:r>
      <w:r>
        <w:br/>
      </w:r>
      <w:r>
        <w:br/>
      </w:r>
      <w:r>
        <w:br/>
      </w:r>
    </w:p>
    <w:p>
      <w:pPr>
        <w:pStyle w:val="null3"/>
      </w:pPr>
    </w:p>
    <w:p>
      <w:pPr>
        <w:pStyle w:val="null3"/>
        <w:ind w:firstLine="480"/>
      </w:pPr>
    </w:p>
    <w:p>
      <w:pPr>
        <w:pStyle w:val="null3"/>
      </w:pPr>
      <w:r>
        <w:rPr/>
        <w:t>甲方： （盖章）</w:t>
      </w:r>
    </w:p>
    <w:p>
      <w:pPr>
        <w:pStyle w:val="null3"/>
      </w:pPr>
      <w:r>
        <w:rPr/>
        <w:t>法定（授权）代表人：</w:t>
      </w:r>
    </w:p>
    <w:p>
      <w:pPr>
        <w:pStyle w:val="null3"/>
      </w:pPr>
      <w:r>
        <w:rPr/>
        <w:t>地 址：</w:t>
      </w:r>
    </w:p>
    <w:p>
      <w:pPr>
        <w:pStyle w:val="null3"/>
      </w:pPr>
      <w:r>
        <w:rPr/>
        <w:t>开户银行：</w:t>
      </w:r>
    </w:p>
    <w:p>
      <w:pPr>
        <w:pStyle w:val="null3"/>
      </w:pPr>
      <w:r>
        <w:rPr/>
        <w:t>账号：</w:t>
      </w:r>
    </w:p>
    <w:p>
      <w:pPr>
        <w:pStyle w:val="null3"/>
      </w:pPr>
      <w:r>
        <w:rPr/>
        <w:t>签订日期：  年   月   日</w:t>
      </w:r>
    </w:p>
    <w:p>
      <w:pPr>
        <w:pStyle w:val="null3"/>
        <w:ind w:firstLine="480"/>
      </w:pPr>
    </w:p>
    <w:p>
      <w:pPr>
        <w:pStyle w:val="null3"/>
        <w:spacing w:after="375"/>
        <w:ind w:firstLine="480"/>
      </w:pPr>
    </w:p>
    <w:p>
      <w:pPr>
        <w:pStyle w:val="null3"/>
      </w:pPr>
      <w:r>
        <w:rPr/>
        <w:t>乙方：(盖章）</w:t>
      </w:r>
    </w:p>
    <w:p>
      <w:pPr>
        <w:pStyle w:val="null3"/>
      </w:pPr>
      <w:r>
        <w:rPr/>
        <w:t>法定（授权）代表人：</w:t>
      </w:r>
    </w:p>
    <w:p>
      <w:pPr>
        <w:pStyle w:val="null3"/>
      </w:pPr>
      <w:r>
        <w:rPr/>
        <w:t>地 址：</w:t>
      </w:r>
    </w:p>
    <w:p>
      <w:pPr>
        <w:pStyle w:val="null3"/>
      </w:pPr>
      <w:r>
        <w:rPr/>
        <w:t>开户银行：</w:t>
      </w:r>
    </w:p>
    <w:p>
      <w:pPr>
        <w:pStyle w:val="null3"/>
      </w:pPr>
      <w:r>
        <w:rPr/>
        <w:t>账号：</w:t>
      </w:r>
    </w:p>
    <w:p>
      <w:pPr>
        <w:pStyle w:val="null3"/>
      </w:pPr>
      <w:r>
        <w:rPr/>
        <w:t>签订日期：  年   月   日</w:t>
      </w:r>
    </w:p>
    <w:p>
      <w:pPr>
        <w:pStyle w:val="null3"/>
      </w:pPr>
    </w:p>
    <w:p>
      <w:pPr>
        <w:pStyle w:val="null3"/>
        <w:ind w:firstLine="480"/>
      </w:pPr>
      <w:r>
        <w:rPr/>
        <w:t xml:space="preserve"> </w:t>
      </w:r>
    </w:p>
    <w:p>
      <w:pPr>
        <w:pStyle w:val="null3"/>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