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bidi w:val="0"/>
        <w:ind w:left="0" w:leftChars="0" w:firstLine="0" w:firstLineChars="0"/>
        <w:rPr>
          <w:rFonts w:hint="eastAsia"/>
          <w:color w:val="000000" w:themeColor="text1"/>
          <w:highlight w:val="none"/>
          <w14:textFill>
            <w14:solidFill>
              <w14:schemeClr w14:val="tx1"/>
            </w14:solidFill>
          </w14:textFill>
        </w:rPr>
      </w:pPr>
      <w:bookmarkStart w:id="0" w:name="_Toc15888"/>
      <w:bookmarkStart w:id="1" w:name="_Toc509579144"/>
      <w:bookmarkStart w:id="2" w:name="_Toc19460"/>
      <w:bookmarkStart w:id="3" w:name="_Toc14971"/>
      <w:bookmarkStart w:id="4" w:name="_Toc26331"/>
      <w:r>
        <w:rPr>
          <w:rFonts w:hint="eastAsia"/>
          <w:color w:val="000000" w:themeColor="text1"/>
          <w:highlight w:val="none"/>
          <w14:textFill>
            <w14:solidFill>
              <w14:schemeClr w14:val="tx1"/>
            </w14:solidFill>
          </w14:textFill>
        </w:rPr>
        <w:t>采购项目技术、服务、政府采购合同内容条款及其他商务要求</w:t>
      </w:r>
      <w:bookmarkEnd w:id="0"/>
      <w:bookmarkEnd w:id="1"/>
      <w:bookmarkEnd w:id="2"/>
      <w:bookmarkEnd w:id="3"/>
      <w:bookmarkEnd w:id="4"/>
    </w:p>
    <w:p>
      <w:pPr>
        <w:numPr>
          <w:ilvl w:val="0"/>
          <w:numId w:val="2"/>
        </w:numPr>
        <w:spacing w:line="360" w:lineRule="auto"/>
        <w:rPr>
          <w:rFonts w:hint="eastAsia" w:ascii="宋体" w:hAnsi="宋体"/>
          <w:szCs w:val="21"/>
          <w:highlight w:val="none"/>
          <w:u w:val="single"/>
        </w:rPr>
      </w:pPr>
      <w:r>
        <w:rPr>
          <w:rFonts w:hint="eastAsia" w:ascii="宋体" w:hAnsi="宋体"/>
          <w:b/>
          <w:bCs/>
          <w:szCs w:val="21"/>
          <w:highlight w:val="none"/>
        </w:rPr>
        <w:t>项目概述</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lang w:val="en-US" w:eastAsia="zh-CN"/>
        </w:rPr>
      </w:pPr>
      <w:bookmarkStart w:id="5" w:name="_Toc2870"/>
      <w:r>
        <w:rPr>
          <w:rFonts w:hint="eastAsia" w:ascii="宋体" w:hAnsi="宋体" w:eastAsia="宋体" w:cs="宋体"/>
          <w:lang w:val="en-US" w:eastAsia="zh-CN"/>
        </w:rPr>
        <w:t>本项目依据《四川省自然资源厅办公室关于印发四川省自然资源综合动态监测实施方案得通知》（川自然资办发〔2022〕8号）的通知文件精神，运用卫星遥感、信息技术等手段、开展成都未来科技城范围内耕地变化情况动态监测工作。</w:t>
      </w:r>
    </w:p>
    <w:p>
      <w:pPr>
        <w:rPr>
          <w:rFonts w:hint="eastAsia" w:ascii="宋体" w:hAnsi="宋体" w:eastAsia="宋体" w:cs="宋体"/>
          <w:color w:val="000000"/>
          <w:sz w:val="24"/>
          <w:szCs w:val="24"/>
          <w:highlight w:val="none"/>
        </w:rPr>
      </w:pPr>
      <w:r>
        <w:rPr>
          <w:rFonts w:hint="eastAsia" w:ascii="宋体" w:hAnsi="宋体" w:cs="宋体"/>
          <w:b/>
          <w:sz w:val="24"/>
          <w:szCs w:val="24"/>
          <w:highlight w:val="none"/>
          <w:lang w:val="en-US" w:eastAsia="zh-CN"/>
        </w:rPr>
        <w:t>二、</w:t>
      </w:r>
      <w:bookmarkEnd w:id="5"/>
      <w:r>
        <w:rPr>
          <w:rFonts w:hint="eastAsia" w:ascii="宋体" w:hAnsi="宋体" w:eastAsia="宋体" w:cs="宋体"/>
          <w:b/>
          <w:sz w:val="24"/>
          <w:szCs w:val="24"/>
          <w:highlight w:val="none"/>
        </w:rPr>
        <w:t>服务内容及要求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highlight w:val="none"/>
          <w:lang w:val="en-US" w:eastAsia="zh-CN"/>
        </w:rPr>
        <w:t>2022年自然</w:t>
      </w:r>
      <w:r>
        <w:rPr>
          <w:rFonts w:hint="eastAsia" w:ascii="宋体" w:hAnsi="宋体" w:eastAsia="宋体" w:cs="宋体"/>
          <w:b/>
          <w:bCs/>
          <w:sz w:val="24"/>
          <w:szCs w:val="24"/>
          <w:lang w:val="en-US" w:eastAsia="zh-CN"/>
        </w:rPr>
        <w:t>资源综合动态监测调查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1、以2021年度国土变更调</w:t>
      </w:r>
      <w:bookmarkStart w:id="6" w:name="_GoBack"/>
      <w:bookmarkEnd w:id="6"/>
      <w:r>
        <w:rPr>
          <w:rFonts w:hint="eastAsia" w:ascii="宋体" w:hAnsi="宋体" w:eastAsia="宋体" w:cs="宋体"/>
          <w:sz w:val="24"/>
          <w:szCs w:val="24"/>
          <w:lang w:val="en-US" w:eastAsia="zh-CN"/>
        </w:rPr>
        <w:t>查现状为本底，省级自然资源主管部门利用最新卫星遥感影像，通过与上期卫星影像对比，提取影像发生变化的图斑。下发地方开展调查核实举证等工作，其中县级自然资源主管部门对下发的所有监测图斑进行内业判读、外业核实举证、数据入库上报。根据判读和调查核实情况，依法依规分类处置。并将调查核实成果和处置情况汇交市级自然资源主管部门开展市级核查把关。从2021年第三季度开始，在省级耕地动态监测的基础上，获取我市遥感影像，提取耕地变化图斑，通过县级调查、市级内外业核查，建立成都市耕地动态监测数据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highlight w:val="none"/>
          <w:lang w:val="en-US" w:eastAsia="zh-CN"/>
        </w:rPr>
        <w:t>2022年耕地卫</w:t>
      </w:r>
      <w:r>
        <w:rPr>
          <w:rFonts w:hint="eastAsia" w:ascii="宋体" w:hAnsi="宋体" w:eastAsia="宋体" w:cs="宋体"/>
          <w:b/>
          <w:bCs/>
          <w:sz w:val="24"/>
          <w:szCs w:val="24"/>
          <w:lang w:val="en-US" w:eastAsia="zh-CN"/>
        </w:rPr>
        <w:t>片监督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1、耕地卫片监督重点包括以下内容：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（1）在耕地上绿化造林情况；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（2）在耕地上建设绿色通道情况，含铁路、公路、河渠两 侧和水库周边等植树情况；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（3）在耕地上种植果树、茶树，兴建坑塘水面等情况；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（4）在耕地上种植人工草皮情况；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（5）在耕地上挖湖造景情况，含人工湖、湖库塘拓宽等情况；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（6）在耕地上修建乡村道路，建设种植设施、畜禽养殖设施、水产养殖设施等情况；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（7）年度国土变更调查工作中监测发现但未纳入土地卫片执法的其他耕地变化。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其中第(5)(6)项内容与土地卫片执法做好衔接。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highlight w:val="none"/>
          <w:lang w:val="en-US" w:eastAsia="zh-CN"/>
        </w:rPr>
        <w:t>2022年耕</w:t>
      </w:r>
      <w:r>
        <w:rPr>
          <w:rFonts w:hint="eastAsia" w:ascii="宋体" w:hAnsi="宋体" w:eastAsia="宋体" w:cs="宋体"/>
          <w:b/>
          <w:bCs/>
          <w:sz w:val="24"/>
          <w:szCs w:val="24"/>
          <w:lang w:val="en-US" w:eastAsia="zh-CN"/>
        </w:rPr>
        <w:t>地专项督查督察内容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围绕2022年以来以下方面问题，重点督察地方政府在部署推动、制度建设、监管职责落实等方面的责任，包括违规决策、违规审批、主导推动违法，出台的政策文件和规划不符合法律法规和国家政策要求，发现、 制止、报告、查处、约谈、问责职责履职不力等。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（1）地方政府落实中央有关重大决策部署制止耕地“非农化”责任情况。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地方政府落实防止耕地“非粮化”责任及“进出平衡”有关要求情况。对督察发现未经批准改变永久基本农田耕地地类的，督促地方稳妥处置并整改为耕地；对未经批准改变一般耕地地类的，督促地方原则上整改恢复为耕地，确实难以恢复的，督促按有关政策要求落实耕地“进出平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highlight w:val="none"/>
          <w:lang w:val="en-US" w:eastAsia="zh-CN"/>
        </w:rPr>
        <w:t>、针对以上内容，在</w:t>
      </w:r>
      <w:r>
        <w:rPr>
          <w:rFonts w:hint="eastAsia" w:ascii="宋体" w:hAnsi="宋体" w:eastAsia="宋体" w:cs="宋体"/>
          <w:sz w:val="24"/>
          <w:szCs w:val="24"/>
          <w:lang w:val="en-US" w:eastAsia="zh-CN"/>
        </w:rPr>
        <w:t>省域分析研判的基础上，综合媒体反映、信访举报等问题线索，根据上述问题类型，对疑似问题集中、问题比较突出的市县以及违法面积较大（耕地10亩以上、永久基本农田5亩以上）、违法性质严重的项目（农村乱占耕地建房、“大棚房”、挖湖造景等）开展实地核查（含地方举证并经督察局确认），对问题背后的责任事实开展调查，掌握省级政府履行监管责任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3、地方政府补充耕地责任落实情况。重点督察地方政府及有关部门执行耕地占补平衡政策，对补充耕地项目选址、立项、实施、验收把关、后期监管等管理责任。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4、核查2021年8月以来新入库补充耕地项目（具体清单由部提供）新增耕地的真实性，发现不符合耕地“数量、质量、生态”三位一体保护要求的问题。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补充耕地项目新增耕地数量不实。包括将项目立项时变更调查已确认的耕地“包装”为开垦项目；新增耕地为非耕地地类；新增耕地地块面积重复计算；实际水田面积小于入库面积；未采取实质性工程以及将未整治区域或者简单修整区域纳入新增耕地区域，通过田坎系数折算方式增加耕地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补充耕地项目选址立项不符合要求。包括立项前地块坡度大于25度；选址位于自然保护地范围；将未经林业、水利等相关部门同意的林地、滩涂等作为补充耕地项目；违规将应有复垦义务的地块（如占用耕地的违法建设用地）立项作为补充耕地项目；将非自然灾毁地块违规变更骗取立项作为补充耕地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（3）新增耕地后期管护不到位。补充耕地指标使用前，新增耕地用于种树种草或者挖塘养鱼、违法建设占用等，且补充耕地指标未相应核减。</w:t>
      </w:r>
    </w:p>
    <w:p>
      <w:pPr>
        <w:spacing w:after="120" w:afterLines="50" w:line="360" w:lineRule="auto"/>
        <w:ind w:right="1320" w:rightChars="550"/>
        <w:rPr>
          <w:rFonts w:hint="eastAsia" w:ascii="宋体" w:hAnsi="宋体" w:eastAsia="宋体"/>
          <w:b/>
          <w:bCs/>
          <w:sz w:val="24"/>
          <w:szCs w:val="24"/>
          <w:highlight w:val="none"/>
          <w:lang w:val="en-US" w:eastAsia="zh-CN"/>
        </w:rPr>
      </w:pPr>
      <w:r>
        <w:rPr>
          <w:rFonts w:hint="eastAsia" w:ascii="宋体" w:hAnsi="宋体" w:eastAsia="宋体" w:cs="宋体"/>
          <w:sz w:val="24"/>
          <w:szCs w:val="24"/>
          <w:highlight w:val="none"/>
        </w:rPr>
        <w:t>★</w:t>
      </w:r>
      <w:r>
        <w:rPr>
          <w:rFonts w:hint="eastAsia" w:ascii="宋体" w:hAnsi="宋体"/>
          <w:b/>
          <w:bCs/>
          <w:sz w:val="24"/>
          <w:szCs w:val="24"/>
          <w:highlight w:val="none"/>
          <w:lang w:val="en-US" w:eastAsia="zh-CN"/>
        </w:rPr>
        <w:t>三：商务要求</w:t>
      </w:r>
    </w:p>
    <w:p>
      <w:pPr>
        <w:widowControl w:val="0"/>
        <w:numPr>
          <w:ilvl w:val="0"/>
          <w:numId w:val="0"/>
        </w:numPr>
        <w:spacing w:line="360" w:lineRule="auto"/>
        <w:ind w:firstLine="480" w:firstLineChars="200"/>
        <w:jc w:val="both"/>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1、服务期限：政府采购合同签</w:t>
      </w:r>
      <w:r>
        <w:rPr>
          <w:rFonts w:hint="eastAsia" w:ascii="宋体" w:hAnsi="宋体" w:cs="宋体"/>
          <w:sz w:val="24"/>
          <w:szCs w:val="32"/>
          <w:highlight w:val="none"/>
          <w:lang w:val="en-US" w:eastAsia="zh-Hans"/>
        </w:rPr>
        <w:t>订</w:t>
      </w:r>
      <w:r>
        <w:rPr>
          <w:rFonts w:hint="eastAsia" w:ascii="宋体" w:hAnsi="宋体" w:eastAsia="宋体" w:cs="宋体"/>
          <w:sz w:val="24"/>
          <w:szCs w:val="32"/>
          <w:highlight w:val="none"/>
          <w:lang w:val="en-US" w:eastAsia="zh-CN"/>
        </w:rPr>
        <w:t>生效后一年。</w:t>
      </w:r>
    </w:p>
    <w:p>
      <w:pPr>
        <w:widowControl w:val="0"/>
        <w:numPr>
          <w:ilvl w:val="0"/>
          <w:numId w:val="0"/>
        </w:numPr>
        <w:spacing w:line="360" w:lineRule="auto"/>
        <w:ind w:firstLine="480" w:firstLineChars="200"/>
        <w:jc w:val="both"/>
        <w:rPr>
          <w:rFonts w:hint="eastAsia" w:ascii="宋体" w:hAnsi="宋体" w:eastAsia="宋体" w:cs="宋体"/>
          <w:sz w:val="24"/>
          <w:szCs w:val="32"/>
          <w:highlight w:val="none"/>
          <w:lang w:val="en-US" w:eastAsia="zh-CN"/>
        </w:rPr>
      </w:pPr>
      <w:r>
        <w:rPr>
          <w:rFonts w:hint="eastAsia" w:ascii="宋体" w:hAnsi="宋体" w:eastAsia="宋体" w:cs="宋体"/>
          <w:sz w:val="24"/>
          <w:szCs w:val="32"/>
          <w:highlight w:val="none"/>
          <w:lang w:val="en-US" w:eastAsia="zh-CN"/>
        </w:rPr>
        <w:t>2、服务地点：采购人指定地点。</w:t>
      </w:r>
    </w:p>
    <w:p>
      <w:pPr>
        <w:widowControl w:val="0"/>
        <w:numPr>
          <w:ilvl w:val="0"/>
          <w:numId w:val="0"/>
        </w:numPr>
        <w:spacing w:line="360" w:lineRule="auto"/>
        <w:ind w:firstLine="480" w:firstLineChars="200"/>
        <w:jc w:val="both"/>
        <w:rPr>
          <w:rFonts w:hint="eastAsia" w:ascii="宋体" w:hAnsi="宋体" w:eastAsia="宋体" w:cs="宋体"/>
          <w:sz w:val="24"/>
          <w:szCs w:val="32"/>
          <w:highlight w:val="none"/>
          <w:lang w:val="en-US" w:eastAsia="zh-CN"/>
        </w:rPr>
      </w:pPr>
      <w:r>
        <w:rPr>
          <w:rFonts w:hint="eastAsia" w:ascii="宋体" w:hAnsi="宋体" w:eastAsia="宋体" w:cs="宋体"/>
          <w:sz w:val="24"/>
          <w:szCs w:val="32"/>
          <w:lang w:val="en-US" w:eastAsia="zh-CN"/>
        </w:rPr>
        <w:t>3、付款方式：</w:t>
      </w:r>
      <w:r>
        <w:rPr>
          <w:rFonts w:hint="eastAsia" w:ascii="宋体" w:hAnsi="宋体" w:eastAsia="宋体" w:cs="宋体"/>
          <w:sz w:val="24"/>
          <w:szCs w:val="32"/>
          <w:highlight w:val="none"/>
          <w:lang w:val="en-US" w:eastAsia="zh-CN"/>
        </w:rPr>
        <w:t>合同签</w:t>
      </w:r>
      <w:r>
        <w:rPr>
          <w:rFonts w:hint="eastAsia" w:ascii="宋体" w:hAnsi="宋体" w:cs="宋体"/>
          <w:sz w:val="24"/>
          <w:szCs w:val="32"/>
          <w:highlight w:val="none"/>
          <w:lang w:val="en-US" w:eastAsia="zh-Hans"/>
        </w:rPr>
        <w:t>订</w:t>
      </w:r>
      <w:r>
        <w:rPr>
          <w:rFonts w:hint="eastAsia" w:ascii="宋体" w:hAnsi="宋体" w:eastAsia="宋体" w:cs="宋体"/>
          <w:sz w:val="24"/>
          <w:szCs w:val="32"/>
          <w:highlight w:val="none"/>
          <w:lang w:val="en-US" w:eastAsia="zh-CN"/>
        </w:rPr>
        <w:t>生效后5个工作日内，支付合同总价的40%作为预付款；完成2022年1、2、3季度成果上报工作后5个工作日内，支付至合同总价的75%；完成2022年4季度成果上报工作，并按照国家、省、市要求完成合同期内全部任务后10个工作日内，支付剩余的合同价款。</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4、验收标准：</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（1）验收标准：按国家有关规定以及采购文件的质量要求和技术指标、成交供应商的响应文件及承诺与本合同约定标准进行验收；</w:t>
      </w:r>
    </w:p>
    <w:p>
      <w:pPr>
        <w:widowControl w:val="0"/>
        <w:numPr>
          <w:ilvl w:val="0"/>
          <w:numId w:val="0"/>
        </w:numPr>
        <w:spacing w:line="360" w:lineRule="auto"/>
        <w:ind w:firstLine="480" w:firstLineChars="200"/>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（2）严格按照《财政部关于进一步加强政府采购需求和履约验收管理的指导意见》(财库〔2016〕205 号)的要求进行验收。</w:t>
      </w:r>
    </w:p>
    <w:p>
      <w:pPr>
        <w:ind w:right="1320" w:rightChars="550"/>
        <w:rPr>
          <w:rFonts w:hAnsi="宋体"/>
          <w:sz w:val="24"/>
          <w:szCs w:val="24"/>
          <w:highlight w:val="none"/>
        </w:rPr>
      </w:pPr>
      <w:r>
        <w:rPr>
          <w:rFonts w:hint="eastAsia" w:ascii="宋体" w:hAnsi="宋体" w:eastAsia="宋体" w:cs="宋体"/>
          <w:sz w:val="24"/>
          <w:szCs w:val="32"/>
          <w:lang w:val="en-US" w:eastAsia="zh-CN"/>
        </w:rPr>
        <w:t>5、其他未尽事宜，以国家现行法律法规及双方签订的合同为准。</w:t>
      </w:r>
    </w:p>
    <w:p>
      <w:pPr>
        <w:ind w:left="0" w:leftChars="0" w:firstLine="0" w:firstLineChars="0"/>
        <w:rPr>
          <w:rFonts w:hint="eastAsia" w:ascii="宋体" w:hAnsi="宋体" w:eastAsia="宋体" w:cs="宋体"/>
          <w:b/>
          <w:sz w:val="24"/>
          <w:szCs w:val="24"/>
          <w:highlight w:val="none"/>
        </w:rPr>
      </w:pPr>
    </w:p>
    <w:p>
      <w:pPr>
        <w:ind w:left="0" w:leftChars="0" w:firstLine="0" w:firstLineChars="0"/>
        <w:rPr>
          <w:rFonts w:hint="eastAsia" w:ascii="宋体" w:hAnsi="宋体" w:eastAsia="宋体" w:cs="宋体"/>
          <w:b/>
          <w:sz w:val="24"/>
          <w:szCs w:val="24"/>
          <w:highlight w:val="none"/>
        </w:rPr>
      </w:pPr>
      <w:r>
        <w:rPr>
          <w:rFonts w:hint="eastAsia" w:ascii="宋体" w:hAnsi="宋体" w:eastAsia="宋体" w:cs="宋体"/>
          <w:b/>
          <w:sz w:val="24"/>
          <w:szCs w:val="24"/>
          <w:highlight w:val="none"/>
        </w:rPr>
        <w:t>注：</w:t>
      </w:r>
      <w:r>
        <w:rPr>
          <w:rFonts w:hint="eastAsia" w:ascii="宋体" w:hAnsi="宋体" w:eastAsia="宋体" w:cs="宋体"/>
          <w:b/>
          <w:sz w:val="24"/>
          <w:szCs w:val="24"/>
          <w:highlight w:val="none"/>
          <w:lang w:val="en-US" w:eastAsia="zh-CN"/>
        </w:rPr>
        <w:t>1.标注</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rPr>
        <w:t>★号</w:t>
      </w: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rPr>
        <w:t>的为本次</w:t>
      </w:r>
      <w:r>
        <w:rPr>
          <w:rFonts w:hint="eastAsia" w:ascii="宋体" w:hAnsi="宋体" w:eastAsia="宋体" w:cs="宋体"/>
          <w:b/>
          <w:sz w:val="24"/>
          <w:szCs w:val="24"/>
          <w:highlight w:val="none"/>
          <w:lang w:val="en-US" w:eastAsia="zh-CN"/>
        </w:rPr>
        <w:t>采购</w:t>
      </w:r>
      <w:r>
        <w:rPr>
          <w:rFonts w:hint="eastAsia" w:ascii="宋体" w:hAnsi="宋体" w:eastAsia="宋体" w:cs="宋体"/>
          <w:b/>
          <w:sz w:val="24"/>
          <w:szCs w:val="24"/>
          <w:highlight w:val="none"/>
        </w:rPr>
        <w:t>项目的实质性要求，</w:t>
      </w:r>
      <w:r>
        <w:rPr>
          <w:rFonts w:hint="eastAsia" w:ascii="宋体" w:hAnsi="宋体" w:eastAsia="宋体" w:cs="宋体"/>
          <w:b/>
          <w:sz w:val="24"/>
          <w:szCs w:val="24"/>
          <w:highlight w:val="none"/>
          <w:lang w:val="en-US" w:eastAsia="zh-CN"/>
        </w:rPr>
        <w:t>不满足</w:t>
      </w:r>
      <w:r>
        <w:rPr>
          <w:rFonts w:hint="eastAsia" w:ascii="宋体" w:hAnsi="宋体" w:eastAsia="宋体" w:cs="宋体"/>
          <w:b/>
          <w:sz w:val="24"/>
          <w:szCs w:val="24"/>
          <w:highlight w:val="none"/>
        </w:rPr>
        <w:t>作无效</w:t>
      </w:r>
      <w:r>
        <w:rPr>
          <w:rFonts w:hint="eastAsia" w:ascii="宋体" w:hAnsi="宋体" w:eastAsia="宋体" w:cs="宋体"/>
          <w:b/>
          <w:sz w:val="24"/>
          <w:szCs w:val="24"/>
          <w:highlight w:val="none"/>
          <w:lang w:val="en-US" w:eastAsia="zh-CN"/>
        </w:rPr>
        <w:t>响应</w:t>
      </w:r>
      <w:r>
        <w:rPr>
          <w:rFonts w:hint="eastAsia" w:ascii="宋体" w:hAnsi="宋体" w:eastAsia="宋体" w:cs="宋体"/>
          <w:b/>
          <w:sz w:val="24"/>
          <w:szCs w:val="24"/>
          <w:highlight w:val="none"/>
        </w:rPr>
        <w:t>处理。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
    <w:altName w:val="宋体"/>
    <w:panose1 w:val="00000000000000000000"/>
    <w:charset w:val="86"/>
    <w:family w:val="roma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17F5D"/>
    <w:multiLevelType w:val="singleLevel"/>
    <w:tmpl w:val="AB117F5D"/>
    <w:lvl w:ilvl="0" w:tentative="0">
      <w:start w:val="1"/>
      <w:numFmt w:val="chineseCounting"/>
      <w:suff w:val="nothing"/>
      <w:lvlText w:val="%1、"/>
      <w:lvlJc w:val="left"/>
      <w:rPr>
        <w:rFonts w:hint="eastAsia"/>
      </w:rPr>
    </w:lvl>
  </w:abstractNum>
  <w:abstractNum w:abstractNumId="1">
    <w:nsid w:val="47BDA60A"/>
    <w:multiLevelType w:val="singleLevel"/>
    <w:tmpl w:val="47BDA60A"/>
    <w:lvl w:ilvl="0" w:tentative="0">
      <w:start w:val="5"/>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YzYxNDkyNjU1YzViOTFkMzM2ZjE0NGMyM2IyZWQifQ=="/>
  </w:docVars>
  <w:rsids>
    <w:rsidRoot w:val="4640368E"/>
    <w:rsid w:val="46403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paragraph" w:styleId="3">
    <w:name w:val="Title"/>
    <w:basedOn w:val="1"/>
    <w:next w:val="1"/>
    <w:qFormat/>
    <w:uiPriority w:val="99"/>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2023-01-18T02:00:00Z</dcterms:created>
  <dc:creator>room</dc:creator>
  <cp:lastModifiedBy>room</cp:lastModifiedBy>
  <dcterms:modified xsi:type="dcterms:W3CDTF">2023-01-18T02:01:28Z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F1B00D32E4BB4B99B8983E9B6E49157F</vt:lpwstr>
  </property>
</Properties>
</file>