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lang w:val="en-US" w:eastAsia="zh-CN"/>
          <w14:textFill>
            <w14:solidFill>
              <w14:schemeClr w14:val="tx1"/>
            </w14:solidFill>
          </w14:textFill>
        </w:rPr>
        <w:t>采购需</w:t>
      </w:r>
      <w:bookmarkStart w:id="1" w:name="_GoBack"/>
      <w:bookmarkEnd w:id="1"/>
      <w:r>
        <w:rPr>
          <w:rFonts w:hint="eastAsia" w:ascii="仿宋" w:hAnsi="仿宋" w:eastAsia="仿宋"/>
          <w:color w:val="000000" w:themeColor="text1"/>
          <w:sz w:val="36"/>
          <w:szCs w:val="36"/>
          <w14:textFill>
            <w14:solidFill>
              <w14:schemeClr w14:val="tx1"/>
            </w14:solidFill>
          </w14:textFill>
        </w:rPr>
        <w:t>求</w:t>
      </w:r>
    </w:p>
    <w:p>
      <w:pPr>
        <w:spacing w:line="360" w:lineRule="auto"/>
        <w:rPr>
          <w:rFonts w:ascii="仿宋" w:hAnsi="仿宋" w:eastAsia="仿宋"/>
          <w:b/>
          <w:color w:val="000000" w:themeColor="text1"/>
          <w:sz w:val="24"/>
          <w14:textFill>
            <w14:solidFill>
              <w14:schemeClr w14:val="tx1"/>
            </w14:solidFill>
          </w14:textFill>
        </w:rPr>
      </w:pPr>
      <w:bookmarkStart w:id="0" w:name="_Toc217446094"/>
      <w:r>
        <w:rPr>
          <w:rFonts w:hint="eastAsia" w:ascii="仿宋" w:hAnsi="仿宋" w:eastAsia="仿宋"/>
          <w:b/>
          <w:color w:val="000000" w:themeColor="text1"/>
          <w:sz w:val="24"/>
          <w14:textFill>
            <w14:solidFill>
              <w14:schemeClr w14:val="tx1"/>
            </w14:solidFill>
          </w14:textFill>
        </w:rPr>
        <w:t>前提：本章中标注“★</w:t>
      </w:r>
      <w:r>
        <w:rPr>
          <w:rFonts w:ascii="仿宋" w:hAnsi="仿宋" w:eastAsia="仿宋"/>
          <w:b/>
          <w:color w:val="000000" w:themeColor="text1"/>
          <w:sz w:val="24"/>
          <w14:textFill>
            <w14:solidFill>
              <w14:schemeClr w14:val="tx1"/>
            </w14:solidFill>
          </w14:textFill>
        </w:rPr>
        <w:t>”的条款为本项目的实质性条款，投标人不满足的，将按照无效投标处理。</w:t>
      </w:r>
    </w:p>
    <w:bookmarkEnd w:id="0"/>
    <w:p>
      <w:pPr>
        <w:rPr>
          <w:color w:val="000000" w:themeColor="text1"/>
          <w14:textFill>
            <w14:solidFill>
              <w14:schemeClr w14:val="tx1"/>
            </w14:solidFill>
          </w14:textFill>
        </w:rPr>
      </w:pPr>
    </w:p>
    <w:p>
      <w:pPr>
        <w:pStyle w:val="4"/>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一、项目概述</w:t>
      </w:r>
    </w:p>
    <w:p>
      <w:pPr>
        <w:pStyle w:val="4"/>
        <w:tabs>
          <w:tab w:val="left" w:pos="6938"/>
        </w:tabs>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1.项目概况：</w:t>
      </w:r>
    </w:p>
    <w:p>
      <w:pPr>
        <w:spacing w:after="120" w:afterLines="50" w:line="420" w:lineRule="exact"/>
        <w:ind w:firstLine="464" w:firstLineChars="200"/>
        <w:rPr>
          <w:rFonts w:ascii="仿宋" w:hAnsi="仿宋" w:eastAsia="仿宋" w:cs="仿宋"/>
          <w:color w:val="000000" w:themeColor="text1"/>
          <w:spacing w:val="-4"/>
          <w:sz w:val="24"/>
          <w14:textFill>
            <w14:solidFill>
              <w14:schemeClr w14:val="tx1"/>
            </w14:solidFill>
          </w14:textFill>
        </w:rPr>
      </w:pPr>
      <w:r>
        <w:rPr>
          <w:rFonts w:hint="eastAsia" w:ascii="仿宋" w:hAnsi="仿宋" w:eastAsia="仿宋" w:cs="仿宋"/>
          <w:color w:val="000000" w:themeColor="text1"/>
          <w:spacing w:val="-4"/>
          <w:sz w:val="24"/>
          <w14:textFill>
            <w14:solidFill>
              <w14:schemeClr w14:val="tx1"/>
            </w14:solidFill>
          </w14:textFill>
        </w:rPr>
        <w:t>本项目共1个包，采购成都未来科技城零碳示范片区策划规划一体方案编制服务。</w:t>
      </w:r>
    </w:p>
    <w:p>
      <w:pPr>
        <w:pStyle w:val="4"/>
        <w:tabs>
          <w:tab w:val="left" w:pos="6938"/>
        </w:tabs>
        <w:spacing w:line="4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2.标的名称及所属行业：</w:t>
      </w: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3766"/>
        <w:gridCol w:w="141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96" w:type="pct"/>
          </w:tcPr>
          <w:p>
            <w:pPr>
              <w:pStyle w:val="5"/>
              <w:spacing w:line="400" w:lineRule="exact"/>
              <w:ind w:firstLine="0" w:firstLineChars="0"/>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包号</w:t>
            </w:r>
          </w:p>
        </w:tc>
        <w:tc>
          <w:tcPr>
            <w:tcW w:w="2211" w:type="pct"/>
          </w:tcPr>
          <w:p>
            <w:pPr>
              <w:pStyle w:val="5"/>
              <w:spacing w:line="400" w:lineRule="exact"/>
              <w:ind w:firstLine="0" w:firstLineChars="0"/>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标的名称</w:t>
            </w:r>
          </w:p>
        </w:tc>
        <w:tc>
          <w:tcPr>
            <w:tcW w:w="828" w:type="pct"/>
          </w:tcPr>
          <w:p>
            <w:pPr>
              <w:pStyle w:val="5"/>
              <w:spacing w:line="400" w:lineRule="exact"/>
              <w:ind w:firstLine="0" w:firstLineChars="0"/>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数量</w:t>
            </w:r>
          </w:p>
        </w:tc>
        <w:tc>
          <w:tcPr>
            <w:tcW w:w="1264" w:type="pct"/>
          </w:tcPr>
          <w:p>
            <w:pPr>
              <w:pStyle w:val="5"/>
              <w:spacing w:line="400" w:lineRule="exact"/>
              <w:ind w:firstLine="0" w:firstLineChars="0"/>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96" w:type="pct"/>
          </w:tcPr>
          <w:p>
            <w:pPr>
              <w:pStyle w:val="5"/>
              <w:spacing w:line="400" w:lineRule="exact"/>
              <w:ind w:firstLine="0" w:firstLineChars="0"/>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w:t>
            </w:r>
          </w:p>
        </w:tc>
        <w:tc>
          <w:tcPr>
            <w:tcW w:w="2211" w:type="pct"/>
          </w:tcPr>
          <w:p>
            <w:pPr>
              <w:pStyle w:val="5"/>
              <w:spacing w:line="400" w:lineRule="exact"/>
              <w:ind w:firstLine="0" w:firstLineChars="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pacing w:val="-4"/>
                <w:sz w:val="24"/>
                <w14:textFill>
                  <w14:solidFill>
                    <w14:schemeClr w14:val="tx1"/>
                  </w14:solidFill>
                </w14:textFill>
              </w:rPr>
              <w:t>成都未来科技城零碳示范片区策划规划一体方案编制服务</w:t>
            </w:r>
          </w:p>
        </w:tc>
        <w:tc>
          <w:tcPr>
            <w:tcW w:w="828" w:type="pct"/>
          </w:tcPr>
          <w:p>
            <w:pPr>
              <w:pStyle w:val="5"/>
              <w:spacing w:line="400" w:lineRule="exact"/>
              <w:ind w:firstLine="0" w:firstLineChars="0"/>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1项</w:t>
            </w:r>
          </w:p>
        </w:tc>
        <w:tc>
          <w:tcPr>
            <w:tcW w:w="1264" w:type="pct"/>
          </w:tcPr>
          <w:p>
            <w:pPr>
              <w:pStyle w:val="5"/>
              <w:spacing w:line="400" w:lineRule="exact"/>
              <w:ind w:firstLine="0" w:firstLineChars="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其他未列明行业</w:t>
            </w:r>
          </w:p>
        </w:tc>
      </w:tr>
    </w:tbl>
    <w:p>
      <w:pPr>
        <w:pStyle w:val="4"/>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★二、商务要求</w:t>
      </w:r>
    </w:p>
    <w:p>
      <w:pPr>
        <w:spacing w:line="400" w:lineRule="exact"/>
        <w:rPr>
          <w:rFonts w:ascii="仿宋" w:hAnsi="仿宋" w:eastAsia="仿宋" w:cs="仿宋"/>
          <w:bCs/>
          <w:color w:val="000000"/>
          <w:sz w:val="24"/>
          <w:highlight w:val="none"/>
        </w:rPr>
      </w:pPr>
      <w:r>
        <w:rPr>
          <w:rFonts w:hint="eastAsia" w:ascii="仿宋" w:hAnsi="仿宋" w:eastAsia="仿宋" w:cs="仿宋"/>
          <w:bCs/>
          <w:color w:val="000000"/>
          <w:sz w:val="24"/>
          <w:highlight w:val="none"/>
        </w:rPr>
        <w:t>1、服务期限：政府采购合同签订生效之日起</w:t>
      </w:r>
      <w:r>
        <w:rPr>
          <w:rFonts w:hint="eastAsia" w:ascii="仿宋" w:hAnsi="仿宋" w:eastAsia="仿宋" w:cs="仿宋"/>
          <w:bCs/>
          <w:color w:val="000000"/>
          <w:sz w:val="24"/>
          <w:highlight w:val="none"/>
          <w:lang w:val="en-US" w:eastAsia="zh-CN"/>
        </w:rPr>
        <w:t>60</w:t>
      </w:r>
      <w:r>
        <w:rPr>
          <w:rFonts w:hint="eastAsia" w:ascii="仿宋" w:hAnsi="仿宋" w:eastAsia="仿宋" w:cs="仿宋"/>
          <w:bCs/>
          <w:color w:val="000000"/>
          <w:sz w:val="24"/>
          <w:highlight w:val="none"/>
        </w:rPr>
        <w:t>日内完成并提交成果。（不含审查审批时间，具体服务</w:t>
      </w:r>
      <w:r>
        <w:rPr>
          <w:rFonts w:hint="eastAsia" w:ascii="仿宋" w:hAnsi="仿宋" w:eastAsia="仿宋" w:cs="仿宋"/>
          <w:bCs/>
          <w:color w:val="000000"/>
          <w:sz w:val="24"/>
          <w:highlight w:val="none"/>
          <w:lang w:val="en-US" w:eastAsia="zh-CN"/>
        </w:rPr>
        <w:t>时间</w:t>
      </w:r>
      <w:r>
        <w:rPr>
          <w:rFonts w:hint="eastAsia" w:ascii="仿宋" w:hAnsi="仿宋" w:eastAsia="仿宋" w:cs="仿宋"/>
          <w:bCs/>
          <w:color w:val="000000"/>
          <w:sz w:val="24"/>
          <w:highlight w:val="none"/>
        </w:rPr>
        <w:t>根据相应的审查审批时间进行调整）</w:t>
      </w:r>
    </w:p>
    <w:p>
      <w:pPr>
        <w:spacing w:line="400" w:lineRule="exact"/>
        <w:rPr>
          <w:rFonts w:ascii="仿宋" w:hAnsi="仿宋" w:eastAsia="仿宋" w:cs="仿宋"/>
          <w:bCs/>
          <w:color w:val="000000"/>
          <w:sz w:val="24"/>
          <w:highlight w:val="none"/>
        </w:rPr>
      </w:pPr>
      <w:r>
        <w:rPr>
          <w:rFonts w:hint="eastAsia" w:ascii="仿宋" w:hAnsi="仿宋" w:eastAsia="仿宋" w:cs="仿宋"/>
          <w:bCs/>
          <w:color w:val="000000"/>
          <w:sz w:val="24"/>
          <w:highlight w:val="none"/>
        </w:rPr>
        <w:t>2、服务地点：采购人指定地点。</w:t>
      </w:r>
    </w:p>
    <w:p>
      <w:pPr>
        <w:spacing w:line="400" w:lineRule="exact"/>
        <w:rPr>
          <w:rFonts w:ascii="仿宋" w:hAnsi="仿宋" w:eastAsia="仿宋" w:cs="仿宋"/>
          <w:bCs/>
          <w:color w:val="000000"/>
          <w:sz w:val="24"/>
          <w:highlight w:val="none"/>
        </w:rPr>
      </w:pPr>
      <w:r>
        <w:rPr>
          <w:rFonts w:hint="eastAsia" w:ascii="仿宋" w:hAnsi="仿宋" w:eastAsia="仿宋" w:cs="仿宋"/>
          <w:bCs/>
          <w:color w:val="000000"/>
          <w:sz w:val="24"/>
          <w:highlight w:val="none"/>
        </w:rPr>
        <w:t>3、付款方式：合同签订生效，采购人收到中标人提供的有效发票后10个日历日内支付合同总金额的</w:t>
      </w:r>
      <w:r>
        <w:rPr>
          <w:rFonts w:hint="eastAsia" w:ascii="仿宋" w:hAnsi="仿宋" w:eastAsia="仿宋" w:cs="仿宋"/>
          <w:bCs/>
          <w:color w:val="000000"/>
          <w:sz w:val="24"/>
          <w:highlight w:val="none"/>
          <w:lang w:val="en-US" w:eastAsia="zh-CN"/>
        </w:rPr>
        <w:t>3</w:t>
      </w:r>
      <w:r>
        <w:rPr>
          <w:rFonts w:hint="eastAsia" w:ascii="仿宋" w:hAnsi="仿宋" w:eastAsia="仿宋" w:cs="仿宋"/>
          <w:bCs/>
          <w:color w:val="000000"/>
          <w:sz w:val="24"/>
          <w:highlight w:val="none"/>
        </w:rPr>
        <w:t>0%，</w:t>
      </w:r>
      <w:r>
        <w:rPr>
          <w:rFonts w:hint="eastAsia" w:ascii="仿宋" w:hAnsi="仿宋" w:eastAsia="仿宋" w:cs="仿宋"/>
          <w:bCs/>
          <w:color w:val="000000"/>
          <w:sz w:val="24"/>
          <w:highlight w:val="none"/>
          <w:lang w:val="en-US" w:eastAsia="zh-CN"/>
        </w:rPr>
        <w:t>方案</w:t>
      </w:r>
      <w:r>
        <w:rPr>
          <w:rFonts w:hint="eastAsia" w:ascii="仿宋" w:hAnsi="仿宋" w:eastAsia="仿宋" w:cs="仿宋"/>
          <w:bCs/>
          <w:color w:val="000000"/>
          <w:sz w:val="24"/>
          <w:highlight w:val="none"/>
        </w:rPr>
        <w:t>通过专家会审查并提供有效发票后的10日历日内支付合同总金额的40%，最终成果</w:t>
      </w:r>
      <w:r>
        <w:rPr>
          <w:rFonts w:hint="eastAsia" w:ascii="仿宋" w:hAnsi="仿宋" w:eastAsia="仿宋" w:cs="仿宋"/>
          <w:bCs/>
          <w:color w:val="000000"/>
          <w:sz w:val="24"/>
          <w:highlight w:val="none"/>
          <w:lang w:val="en-US" w:eastAsia="zh-CN"/>
        </w:rPr>
        <w:t>通过行政审查</w:t>
      </w:r>
      <w:r>
        <w:rPr>
          <w:rFonts w:hint="eastAsia" w:ascii="仿宋" w:hAnsi="仿宋" w:eastAsia="仿宋" w:cs="仿宋"/>
          <w:bCs/>
          <w:color w:val="000000"/>
          <w:sz w:val="24"/>
          <w:highlight w:val="none"/>
        </w:rPr>
        <w:t>且中标人提供的有效发票后10个日历日内支付合同金额的</w:t>
      </w:r>
      <w:r>
        <w:rPr>
          <w:rFonts w:hint="eastAsia" w:ascii="仿宋" w:hAnsi="仿宋" w:eastAsia="仿宋" w:cs="仿宋"/>
          <w:bCs/>
          <w:color w:val="000000"/>
          <w:sz w:val="24"/>
          <w:highlight w:val="none"/>
          <w:lang w:val="en-US" w:eastAsia="zh-CN"/>
        </w:rPr>
        <w:t>3</w:t>
      </w:r>
      <w:r>
        <w:rPr>
          <w:rFonts w:hint="eastAsia" w:ascii="仿宋" w:hAnsi="仿宋" w:eastAsia="仿宋" w:cs="仿宋"/>
          <w:bCs/>
          <w:color w:val="000000"/>
          <w:sz w:val="24"/>
          <w:highlight w:val="none"/>
        </w:rPr>
        <w:t>0%。</w:t>
      </w:r>
    </w:p>
    <w:p>
      <w:pPr>
        <w:spacing w:line="400" w:lineRule="exact"/>
        <w:rPr>
          <w:rFonts w:ascii="仿宋" w:hAnsi="仿宋" w:eastAsia="仿宋" w:cs="仿宋"/>
          <w:bCs/>
          <w:color w:val="000000"/>
          <w:sz w:val="24"/>
          <w:highlight w:val="none"/>
        </w:rPr>
      </w:pPr>
      <w:r>
        <w:rPr>
          <w:rFonts w:hint="eastAsia" w:ascii="仿宋" w:hAnsi="仿宋" w:eastAsia="仿宋" w:cs="仿宋"/>
          <w:bCs/>
          <w:color w:val="000000"/>
          <w:sz w:val="24"/>
          <w:highlight w:val="none"/>
        </w:rPr>
        <w:t>4、履约验收：严格按照《财政部关于进一步加强政府采购需求和履约验收管理的指导意见》（财库〔2016〕205号）等政府采购相关法律法规的要求，招标文件的要求和响应文件的承诺与合同约定的内容进行验收。根据国家相关规定及行业验收规范、标准执行。</w:t>
      </w:r>
    </w:p>
    <w:p>
      <w:pPr>
        <w:pStyle w:val="4"/>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★三、技术、服务要求</w:t>
      </w:r>
    </w:p>
    <w:p>
      <w:pPr>
        <w:spacing w:line="360" w:lineRule="auto"/>
        <w:rPr>
          <w:rFonts w:ascii="仿宋" w:hAnsi="仿宋" w:eastAsia="仿宋" w:cs="仿宋"/>
          <w:color w:val="000000"/>
          <w:sz w:val="24"/>
          <w:highlight w:val="none"/>
        </w:rPr>
      </w:pPr>
      <w:r>
        <w:rPr>
          <w:rFonts w:hint="eastAsia" w:ascii="仿宋" w:hAnsi="仿宋" w:eastAsia="仿宋" w:cs="仿宋"/>
          <w:b/>
          <w:bCs/>
          <w:color w:val="000000"/>
          <w:sz w:val="24"/>
          <w:highlight w:val="none"/>
        </w:rPr>
        <w:t>（一）服务范围：</w:t>
      </w:r>
      <w:r>
        <w:rPr>
          <w:rFonts w:hint="eastAsia" w:ascii="仿宋" w:hAnsi="仿宋" w:eastAsia="仿宋" w:cs="仿宋"/>
          <w:color w:val="000000"/>
          <w:sz w:val="24"/>
          <w:highlight w:val="none"/>
          <w:lang w:val="en-US" w:eastAsia="zh-CN"/>
        </w:rPr>
        <w:t>研究</w:t>
      </w:r>
      <w:r>
        <w:rPr>
          <w:rFonts w:hint="eastAsia" w:ascii="仿宋" w:hAnsi="仿宋" w:eastAsia="仿宋" w:cs="仿宋"/>
          <w:color w:val="000000"/>
          <w:sz w:val="24"/>
          <w:highlight w:val="none"/>
        </w:rPr>
        <w:t>范围为未来科技城</w:t>
      </w:r>
      <w:r>
        <w:rPr>
          <w:rFonts w:hint="eastAsia" w:ascii="仿宋" w:hAnsi="仿宋" w:eastAsia="仿宋" w:cs="仿宋"/>
          <w:color w:val="000000"/>
          <w:sz w:val="24"/>
          <w:highlight w:val="none"/>
          <w:lang w:val="en-US" w:eastAsia="zh-CN"/>
        </w:rPr>
        <w:t>全</w:t>
      </w:r>
      <w:r>
        <w:rPr>
          <w:rFonts w:hint="eastAsia" w:ascii="仿宋" w:hAnsi="仿宋" w:eastAsia="仿宋" w:cs="仿宋"/>
          <w:color w:val="000000"/>
          <w:sz w:val="24"/>
          <w:highlight w:val="none"/>
        </w:rPr>
        <w:t>域，规划</w:t>
      </w:r>
      <w:r>
        <w:rPr>
          <w:rFonts w:hint="eastAsia" w:ascii="仿宋" w:hAnsi="仿宋" w:eastAsia="仿宋" w:cs="仿宋"/>
          <w:color w:val="000000"/>
          <w:sz w:val="24"/>
          <w:highlight w:val="none"/>
          <w:lang w:val="en-US" w:eastAsia="zh-CN"/>
        </w:rPr>
        <w:t>范围为未来科技城南片区</w:t>
      </w:r>
      <w:r>
        <w:rPr>
          <w:rFonts w:hint="eastAsia" w:ascii="仿宋" w:hAnsi="仿宋" w:eastAsia="仿宋" w:cs="仿宋"/>
          <w:color w:val="000000"/>
          <w:sz w:val="24"/>
          <w:highlight w:val="none"/>
        </w:rPr>
        <w:t>约15.6平方公里。</w:t>
      </w:r>
    </w:p>
    <w:p>
      <w:pPr>
        <w:spacing w:line="360" w:lineRule="auto"/>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（二）服务要求</w:t>
      </w:r>
    </w:p>
    <w:p>
      <w:pPr>
        <w:spacing w:line="360" w:lineRule="auto"/>
        <w:ind w:firstLine="482" w:firstLineChars="200"/>
        <w:rPr>
          <w:rFonts w:ascii="仿宋" w:hAnsi="仿宋" w:eastAsia="仿宋" w:cs="仿宋"/>
          <w:color w:val="000000"/>
          <w:sz w:val="24"/>
          <w:highlight w:val="none"/>
        </w:rPr>
      </w:pPr>
      <w:r>
        <w:rPr>
          <w:rFonts w:hint="eastAsia" w:ascii="仿宋" w:hAnsi="仿宋" w:eastAsia="仿宋" w:cs="仿宋"/>
          <w:b/>
          <w:bCs/>
          <w:color w:val="000000"/>
          <w:sz w:val="24"/>
          <w:highlight w:val="none"/>
        </w:rPr>
        <w:t>1、总体要求</w:t>
      </w:r>
      <w:r>
        <w:rPr>
          <w:rFonts w:hint="eastAsia" w:ascii="仿宋" w:hAnsi="仿宋" w:eastAsia="仿宋" w:cs="仿宋"/>
          <w:color w:val="000000"/>
          <w:sz w:val="24"/>
          <w:highlight w:val="none"/>
        </w:rPr>
        <w:t>：规划成果的内容、深度和数量应深度参照现有零碳园区规划文本，形成发展目标、管控指标和重点建设项目的导则性内容。</w:t>
      </w:r>
    </w:p>
    <w:p>
      <w:pPr>
        <w:spacing w:line="360" w:lineRule="auto"/>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2、工作依据及内容</w:t>
      </w:r>
    </w:p>
    <w:p>
      <w:pPr>
        <w:spacing w:line="360" w:lineRule="auto"/>
        <w:ind w:firstLine="482" w:firstLineChars="200"/>
        <w:rPr>
          <w:rFonts w:ascii="仿宋" w:hAnsi="仿宋" w:eastAsia="仿宋" w:cs="仿宋"/>
          <w:color w:val="000000"/>
          <w:sz w:val="24"/>
          <w:highlight w:val="none"/>
        </w:rPr>
      </w:pPr>
      <w:r>
        <w:rPr>
          <w:rFonts w:hint="eastAsia" w:ascii="仿宋" w:hAnsi="仿宋" w:eastAsia="仿宋" w:cs="仿宋"/>
          <w:b/>
          <w:bCs/>
          <w:color w:val="000000"/>
          <w:sz w:val="24"/>
          <w:highlight w:val="none"/>
        </w:rPr>
        <w:t>1、工作依据：</w:t>
      </w:r>
      <w:r>
        <w:rPr>
          <w:rFonts w:hint="eastAsia" w:ascii="仿宋" w:hAnsi="仿宋" w:eastAsia="仿宋" w:cs="仿宋"/>
          <w:color w:val="000000"/>
          <w:sz w:val="24"/>
          <w:highlight w:val="none"/>
        </w:rPr>
        <w:t>以构建未来科技城零碳示范片区目标，在现有理论基础、政策支撑、本底资源的梳理和综合评估的基础上，对标国内外先进案例，梳理现有标准规范，借鉴实践经验，秉持绿色低碳发展理念，结合未来科技城本底特色资源，提出管控指标体系和项目建设引导，在空间上结合绿色低碳发展理念优化重点项目的发展路径，与上位规划相衔接，提出未来科技城零碳示范片区建设发展路径建议。</w:t>
      </w:r>
    </w:p>
    <w:p>
      <w:pPr>
        <w:spacing w:line="360" w:lineRule="auto"/>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2、工作内容（包括但不限于以下内容）</w:t>
      </w:r>
    </w:p>
    <w:p>
      <w:pPr>
        <w:spacing w:line="360" w:lineRule="auto"/>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2.1基础梳理与总体思路:</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2.1.1主要包括基础认知、总体定位，功能布局优化方案等。</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2.1.2在充分理解项目背景和发展诉求的基础上，针对片区的区域特征、零碳发展潜力资源本底、绿色空间生态本底、产业发展状况、用地功能布局等方面进行系统梳理，找准片区的核心发展优势和特色，而后提出项目的总体发展定位和零碳片区打造发展思路。</w:t>
      </w:r>
    </w:p>
    <w:p>
      <w:pPr>
        <w:spacing w:line="360" w:lineRule="auto"/>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2.2零碳示范片区打造策略:</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2.2.1主要包括案例经验借鉴和打造策略。</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2.2.2借鉴零碳片区打造案例中节能减排、空间营造、能源创新等方面的方法策略和建设经验，结合本项目现状基础条件，提出支撑零碳示范片区营造的打造策略，包括清洁能源输入创新、节能减排措施和碳汇比例提高等策略，并在专项规划中提出具体管控指标和实施的重点项目清单。</w:t>
      </w:r>
    </w:p>
    <w:p>
      <w:pPr>
        <w:spacing w:line="360" w:lineRule="auto"/>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2.3片区双碳专项规划导则:</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以最新国家和四川、成都相关政策文件为基准，基于片区整体规划情况以及建设进度，依据地区气候特征进行分析，从总体布局、能源、交通、水系统、固废、建筑、自然生态和人工碳汇、产业、智慧管理等方面进行双碳专项规划，以达到未来科技城片区的低碳化。</w:t>
      </w:r>
    </w:p>
    <w:p>
      <w:pPr>
        <w:spacing w:line="360" w:lineRule="auto"/>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2.4 福田TOD低碳策划:</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对福田TOD项目已有设计及建设情况进行分析与评估，制定具有针对性的低碳设计、改造策划和减碳目标，从热工性能优化、被动技术应用潜力分析、建筑供能系统优化、室内环境品质提升等方面出发，提出优选适用的低碳技术建议工具包，并估算低碳优化后的造价增量投入及对应的碳排效益。</w:t>
      </w:r>
    </w:p>
    <w:p>
      <w:pPr>
        <w:spacing w:line="360" w:lineRule="auto"/>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2.5园区低碳指标体系建立：</w:t>
      </w:r>
    </w:p>
    <w:p>
      <w:pPr>
        <w:spacing w:line="360" w:lineRule="auto"/>
        <w:ind w:firstLine="480" w:firstLineChars="200"/>
        <w:rPr>
          <w:rFonts w:ascii="仿宋" w:hAnsi="仿宋" w:eastAsia="仿宋" w:cs="仿宋"/>
          <w:b/>
          <w:bCs/>
          <w:color w:val="000000"/>
          <w:sz w:val="24"/>
          <w:highlight w:val="none"/>
        </w:rPr>
      </w:pPr>
      <w:r>
        <w:rPr>
          <w:rFonts w:hint="eastAsia" w:ascii="仿宋" w:hAnsi="仿宋" w:eastAsia="仿宋" w:cs="仿宋"/>
          <w:color w:val="000000"/>
          <w:sz w:val="24"/>
          <w:highlight w:val="none"/>
        </w:rPr>
        <w:t>在对未来科技城片区各级控制单元双碳潜力分析的基础上，将总体目标逐级分解，科学确定低碳园区发展管理分区和控制单元的强制性控制指标和弹性引导指标。指标标准制定在国家、四川和成都市现有标准的基础上，适当作出优化提升，形成可以推广应</w:t>
      </w:r>
      <w:r>
        <w:rPr>
          <w:rFonts w:hint="eastAsia" w:ascii="仿宋" w:hAnsi="仿宋" w:eastAsia="仿宋" w:cs="仿宋"/>
          <w:b/>
          <w:bCs/>
          <w:color w:val="000000"/>
          <w:sz w:val="24"/>
          <w:highlight w:val="none"/>
        </w:rPr>
        <w:t>用的未来科技城全域管控指标体系。</w:t>
      </w:r>
    </w:p>
    <w:p>
      <w:pPr>
        <w:spacing w:line="360" w:lineRule="auto"/>
        <w:ind w:firstLine="482" w:firstLineChars="200"/>
        <w:rPr>
          <w:rFonts w:ascii="仿宋" w:hAnsi="仿宋" w:eastAsia="仿宋" w:cs="仿宋"/>
          <w:color w:val="000000"/>
          <w:sz w:val="24"/>
          <w:highlight w:val="none"/>
        </w:rPr>
      </w:pPr>
      <w:r>
        <w:rPr>
          <w:rFonts w:hint="eastAsia" w:ascii="仿宋" w:hAnsi="仿宋" w:eastAsia="仿宋" w:cs="仿宋"/>
          <w:b/>
          <w:bCs/>
          <w:color w:val="000000"/>
          <w:sz w:val="24"/>
          <w:highlight w:val="none"/>
        </w:rPr>
        <w:t>3、成果要求</w:t>
      </w:r>
      <w:r>
        <w:rPr>
          <w:rFonts w:hint="eastAsia" w:ascii="仿宋" w:hAnsi="仿宋" w:eastAsia="仿宋" w:cs="仿宋"/>
          <w:color w:val="000000"/>
          <w:sz w:val="24"/>
          <w:highlight w:val="none"/>
        </w:rPr>
        <w:t>（本项目规划成果应当包括规策划本一个部分，具体技术成果内容包括但不限于）：</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3.1成果内容：</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（1）未来科技城零碳示范片区管控指标体系表</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（2）未来科技城零碳示范片区低碳技术清单表</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（3）未来科技城零碳示范片区规划建设项目表</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3.2提交成果形式：</w:t>
      </w:r>
    </w:p>
    <w:p>
      <w:pPr>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 xml:space="preserve">3.2.1 </w:t>
      </w:r>
      <w:r>
        <w:rPr>
          <w:rFonts w:hint="eastAsia" w:ascii="仿宋" w:hAnsi="仿宋" w:eastAsia="仿宋" w:cs="仿宋"/>
          <w:color w:val="000000"/>
          <w:sz w:val="24"/>
          <w:highlight w:val="none"/>
        </w:rPr>
        <w:t>PPT文本一套</w:t>
      </w:r>
    </w:p>
    <w:p>
      <w:pPr>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3.2.3</w:t>
      </w:r>
      <w:r>
        <w:rPr>
          <w:rFonts w:hint="eastAsia" w:ascii="仿宋" w:hAnsi="仿宋" w:eastAsia="仿宋" w:cs="仿宋"/>
          <w:color w:val="000000"/>
          <w:sz w:val="24"/>
          <w:highlight w:val="none"/>
        </w:rPr>
        <w:t>正式成果提交纸质文本6套、电子文件光盘2套；各阶段成果提交形式及标准以该阶段负责审核部门要求为准。</w:t>
      </w:r>
    </w:p>
    <w:p>
      <w:pPr>
        <w:pStyle w:val="2"/>
        <w:rPr>
          <w:rFonts w:hint="default" w:eastAsia="仿宋"/>
          <w:lang w:val="en-US" w:eastAsia="zh-CN"/>
        </w:rPr>
      </w:pPr>
      <w:r>
        <w:rPr>
          <w:rFonts w:hint="eastAsia" w:ascii="仿宋" w:hAnsi="仿宋" w:eastAsia="仿宋" w:cs="仿宋"/>
          <w:b/>
          <w:bCs/>
          <w:color w:val="000000"/>
          <w:sz w:val="24"/>
          <w:highlight w:val="none"/>
          <w:lang w:val="en-US" w:eastAsia="zh-CN"/>
        </w:rPr>
        <w:t>4、人员要求：</w:t>
      </w:r>
      <w:r>
        <w:rPr>
          <w:rFonts w:hint="eastAsia" w:ascii="仿宋" w:hAnsi="仿宋" w:eastAsia="仿宋" w:cs="仿宋"/>
          <w:color w:val="000000"/>
          <w:sz w:val="24"/>
          <w:highlight w:val="none"/>
          <w:lang w:val="en-US" w:eastAsia="zh-CN"/>
        </w:rPr>
        <w:t>需为本项目成立项目工作组。</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ZjA3YTBiZWNkOTQ0OGQyZTM2ZjcxOThmN2E5MDMifQ=="/>
  </w:docVars>
  <w:rsids>
    <w:rsidRoot w:val="79300C7F"/>
    <w:rsid w:val="7930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5">
    <w:name w:val="Normal Indent"/>
    <w:basedOn w:val="1"/>
    <w:qFormat/>
    <w:uiPriority w:val="0"/>
    <w:pPr>
      <w:ind w:firstLine="200" w:firstLineChars="200"/>
    </w:p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2023-02-03T02:33:00Z</dcterms:created>
  <dc:creator>Tender.</dc:creator>
  <cp:lastModifiedBy>Tender.</cp:lastModifiedBy>
  <dcterms:modified xsi:type="dcterms:W3CDTF">2023-02-03T02:34:18Z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7CA8E1F5EE18466688CFC404D807AA68</vt:lpwstr>
  </property>
</Properties>
</file>