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rPr>
          <w:rFonts w:hint="eastAsia" w:eastAsiaTheme="minorEastAsia"/>
          <w:lang w:eastAsia="zh-CN"/>
        </w:rPr>
      </w:pPr>
      <w:r>
        <w:rPr>
          <w:rFonts w:hint="eastAsia"/>
          <w:b/>
          <w:sz w:val="36"/>
          <w:lang w:eastAsia="zh-CN"/>
        </w:rPr>
        <w:t>采购需求</w:t>
      </w:r>
    </w:p>
    <w:p>
      <w:pPr>
        <w:pStyle w:val="4"/>
        <w:ind w:firstLine="480"/>
      </w:pPr>
      <w:r>
        <w:t xml:space="preserve"> （带“★”的参数需求为实质性要求，供应商必须响应并满足的参数需求，采购人、采购代理机构应当根据项目实际需求合理设定，并明确具体要求。）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pPr>
      <w:r>
        <w:t>富顺县2022年省级财政以粮为主粮经统筹试点县建设项目农用物资（农药）</w:t>
      </w:r>
    </w:p>
    <w:p>
      <w:pPr>
        <w:pStyle w:val="4"/>
        <w:outlineLvl w:val="2"/>
      </w:pPr>
      <w:r>
        <w:rPr>
          <w:b/>
          <w:sz w:val="28"/>
        </w:rPr>
        <w:t>3.2、采购内容</w:t>
      </w:r>
      <w:bookmarkStart w:id="0" w:name="_GoBack"/>
      <w:bookmarkEnd w:id="0"/>
    </w:p>
    <w:p>
      <w:pPr>
        <w:pStyle w:val="4"/>
        <w:outlineLvl w:val="3"/>
      </w:pPr>
      <w:r>
        <w:rPr>
          <w:b/>
          <w:sz w:val="24"/>
        </w:rPr>
        <w:t>3.2.1标的清单</w:t>
      </w:r>
    </w:p>
    <w:p>
      <w:pPr>
        <w:pStyle w:val="4"/>
      </w:pPr>
      <w:r>
        <w:t>采购包1：</w:t>
      </w:r>
    </w:p>
    <w:p>
      <w:pPr>
        <w:pStyle w:val="4"/>
      </w:pPr>
      <w:r>
        <w:t>采购包预算金额（元）: 875,000.00</w:t>
      </w:r>
    </w:p>
    <w:p>
      <w:pPr>
        <w:pStyle w:val="4"/>
      </w:pPr>
      <w:r>
        <w:t>采购包最高限价（元）: 875,000.00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2"/>
        <w:gridCol w:w="1253"/>
        <w:gridCol w:w="1128"/>
        <w:gridCol w:w="1351"/>
        <w:gridCol w:w="672"/>
        <w:gridCol w:w="672"/>
        <w:gridCol w:w="589"/>
        <w:gridCol w:w="672"/>
        <w:gridCol w:w="673"/>
        <w:gridCol w:w="84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联苯肼酯</w:t>
            </w:r>
          </w:p>
        </w:tc>
        <w:tc>
          <w:tcPr>
            <w:tcW w:w="848" w:type="dxa"/>
          </w:tcPr>
          <w:p>
            <w:pPr>
              <w:pStyle w:val="4"/>
              <w:jc w:val="right"/>
            </w:pPr>
            <w:r>
              <w:t>8,000.00</w:t>
            </w:r>
          </w:p>
        </w:tc>
        <w:tc>
          <w:tcPr>
            <w:tcW w:w="1356" w:type="dxa"/>
          </w:tcPr>
          <w:p>
            <w:pPr>
              <w:pStyle w:val="4"/>
              <w:jc w:val="right"/>
            </w:pPr>
            <w:r>
              <w:t>144,000.00</w:t>
            </w:r>
          </w:p>
        </w:tc>
        <w:tc>
          <w:tcPr>
            <w:tcW w:w="678" w:type="dxa"/>
          </w:tcPr>
          <w:p>
            <w:pPr>
              <w:pStyle w:val="4"/>
            </w:pPr>
            <w:r>
              <w:t>包</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w:t>
            </w:r>
          </w:p>
        </w:tc>
        <w:tc>
          <w:tcPr>
            <w:tcW w:w="1271" w:type="dxa"/>
          </w:tcPr>
          <w:p>
            <w:pPr>
              <w:pStyle w:val="4"/>
            </w:pPr>
            <w:r>
              <w:t>辛硫磷</w:t>
            </w:r>
          </w:p>
        </w:tc>
        <w:tc>
          <w:tcPr>
            <w:tcW w:w="848" w:type="dxa"/>
          </w:tcPr>
          <w:p>
            <w:pPr>
              <w:pStyle w:val="4"/>
              <w:jc w:val="right"/>
            </w:pPr>
            <w:r>
              <w:t>31,500.00</w:t>
            </w:r>
          </w:p>
        </w:tc>
        <w:tc>
          <w:tcPr>
            <w:tcW w:w="1356" w:type="dxa"/>
          </w:tcPr>
          <w:p>
            <w:pPr>
              <w:pStyle w:val="4"/>
              <w:jc w:val="right"/>
            </w:pPr>
            <w:r>
              <w:t>315,000.00</w:t>
            </w:r>
          </w:p>
        </w:tc>
        <w:tc>
          <w:tcPr>
            <w:tcW w:w="678" w:type="dxa"/>
          </w:tcPr>
          <w:p>
            <w:pPr>
              <w:pStyle w:val="4"/>
            </w:pPr>
            <w:r>
              <w:t>包</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w:t>
            </w:r>
          </w:p>
        </w:tc>
        <w:tc>
          <w:tcPr>
            <w:tcW w:w="1271" w:type="dxa"/>
          </w:tcPr>
          <w:p>
            <w:pPr>
              <w:pStyle w:val="4"/>
            </w:pPr>
            <w:r>
              <w:t>氟啶胺</w:t>
            </w:r>
          </w:p>
        </w:tc>
        <w:tc>
          <w:tcPr>
            <w:tcW w:w="848" w:type="dxa"/>
          </w:tcPr>
          <w:p>
            <w:pPr>
              <w:pStyle w:val="4"/>
              <w:jc w:val="right"/>
            </w:pPr>
            <w:r>
              <w:t>8,000.00</w:t>
            </w:r>
          </w:p>
        </w:tc>
        <w:tc>
          <w:tcPr>
            <w:tcW w:w="1356" w:type="dxa"/>
          </w:tcPr>
          <w:p>
            <w:pPr>
              <w:pStyle w:val="4"/>
              <w:jc w:val="right"/>
            </w:pPr>
            <w:r>
              <w:t>168,000.00</w:t>
            </w:r>
          </w:p>
        </w:tc>
        <w:tc>
          <w:tcPr>
            <w:tcW w:w="678" w:type="dxa"/>
          </w:tcPr>
          <w:p>
            <w:pPr>
              <w:pStyle w:val="4"/>
            </w:pPr>
            <w:r>
              <w:t>包</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w:t>
            </w:r>
          </w:p>
        </w:tc>
        <w:tc>
          <w:tcPr>
            <w:tcW w:w="1271" w:type="dxa"/>
          </w:tcPr>
          <w:p>
            <w:pPr>
              <w:pStyle w:val="4"/>
            </w:pPr>
            <w:r>
              <w:t>高效氯氟氰菊酯</w:t>
            </w:r>
          </w:p>
        </w:tc>
        <w:tc>
          <w:tcPr>
            <w:tcW w:w="848" w:type="dxa"/>
          </w:tcPr>
          <w:p>
            <w:pPr>
              <w:pStyle w:val="4"/>
              <w:jc w:val="right"/>
            </w:pPr>
            <w:r>
              <w:t>16,000.00</w:t>
            </w:r>
          </w:p>
        </w:tc>
        <w:tc>
          <w:tcPr>
            <w:tcW w:w="1356" w:type="dxa"/>
          </w:tcPr>
          <w:p>
            <w:pPr>
              <w:pStyle w:val="4"/>
              <w:jc w:val="right"/>
            </w:pPr>
            <w:r>
              <w:t>104,000.00</w:t>
            </w:r>
          </w:p>
        </w:tc>
        <w:tc>
          <w:tcPr>
            <w:tcW w:w="678" w:type="dxa"/>
          </w:tcPr>
          <w:p>
            <w:pPr>
              <w:pStyle w:val="4"/>
            </w:pPr>
            <w:r>
              <w:t>包</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w:t>
            </w:r>
          </w:p>
        </w:tc>
        <w:tc>
          <w:tcPr>
            <w:tcW w:w="1271" w:type="dxa"/>
          </w:tcPr>
          <w:p>
            <w:pPr>
              <w:pStyle w:val="4"/>
            </w:pPr>
            <w:r>
              <w:t>啶虫脒</w:t>
            </w:r>
          </w:p>
        </w:tc>
        <w:tc>
          <w:tcPr>
            <w:tcW w:w="848" w:type="dxa"/>
          </w:tcPr>
          <w:p>
            <w:pPr>
              <w:pStyle w:val="4"/>
              <w:jc w:val="right"/>
            </w:pPr>
            <w:r>
              <w:t>144,000.00</w:t>
            </w:r>
          </w:p>
        </w:tc>
        <w:tc>
          <w:tcPr>
            <w:tcW w:w="1356" w:type="dxa"/>
          </w:tcPr>
          <w:p>
            <w:pPr>
              <w:pStyle w:val="4"/>
              <w:jc w:val="right"/>
            </w:pPr>
            <w:r>
              <w:t>72,000.00</w:t>
            </w:r>
          </w:p>
        </w:tc>
        <w:tc>
          <w:tcPr>
            <w:tcW w:w="678" w:type="dxa"/>
          </w:tcPr>
          <w:p>
            <w:pPr>
              <w:pStyle w:val="4"/>
            </w:pPr>
            <w:r>
              <w:t>包</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w:t>
            </w:r>
          </w:p>
        </w:tc>
        <w:tc>
          <w:tcPr>
            <w:tcW w:w="1271" w:type="dxa"/>
          </w:tcPr>
          <w:p>
            <w:pPr>
              <w:pStyle w:val="4"/>
            </w:pPr>
            <w:r>
              <w:t>苯醚甲环唑</w:t>
            </w:r>
          </w:p>
        </w:tc>
        <w:tc>
          <w:tcPr>
            <w:tcW w:w="848" w:type="dxa"/>
          </w:tcPr>
          <w:p>
            <w:pPr>
              <w:pStyle w:val="4"/>
              <w:jc w:val="right"/>
            </w:pPr>
            <w:r>
              <w:t>8,000.00</w:t>
            </w:r>
          </w:p>
        </w:tc>
        <w:tc>
          <w:tcPr>
            <w:tcW w:w="1356" w:type="dxa"/>
          </w:tcPr>
          <w:p>
            <w:pPr>
              <w:pStyle w:val="4"/>
              <w:jc w:val="right"/>
            </w:pPr>
            <w:r>
              <w:t>72,000.00</w:t>
            </w:r>
          </w:p>
        </w:tc>
        <w:tc>
          <w:tcPr>
            <w:tcW w:w="678" w:type="dxa"/>
          </w:tcPr>
          <w:p>
            <w:pPr>
              <w:pStyle w:val="4"/>
            </w:pPr>
            <w:r>
              <w:t>包</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bl>
    <w:p>
      <w:pPr>
        <w:pStyle w:val="4"/>
        <w:outlineLvl w:val="2"/>
      </w:pPr>
      <w:r>
        <w:rPr>
          <w:b/>
          <w:sz w:val="28"/>
        </w:rPr>
        <w:t>3.3、技术参数及要求</w:t>
      </w:r>
    </w:p>
    <w:p>
      <w:pPr>
        <w:pStyle w:val="4"/>
      </w:pPr>
      <w:r>
        <w:t>采购包1：</w:t>
      </w:r>
    </w:p>
    <w:p>
      <w:pPr>
        <w:pStyle w:val="4"/>
      </w:pPr>
      <w:r>
        <w:t>标的名称：联苯肼酯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宋体" w:hAnsi="宋体" w:eastAsia="宋体" w:cs="宋体"/>
                <w:color w:val="000000"/>
                <w:sz w:val="24"/>
              </w:rPr>
              <w:t xml:space="preserve">1.有效成分含量：43%；                    </w:t>
            </w:r>
          </w:p>
          <w:p>
            <w:pPr>
              <w:pStyle w:val="4"/>
              <w:jc w:val="left"/>
            </w:pPr>
            <w:r>
              <w:rPr>
                <w:rFonts w:ascii="宋体" w:hAnsi="宋体" w:eastAsia="宋体" w:cs="宋体"/>
                <w:color w:val="000000"/>
                <w:sz w:val="24"/>
              </w:rPr>
              <w:t xml:space="preserve">2.剂型：悬浮剂；                  </w:t>
            </w:r>
          </w:p>
          <w:p>
            <w:pPr>
              <w:pStyle w:val="4"/>
              <w:jc w:val="left"/>
            </w:pPr>
            <w:r>
              <w:rPr>
                <w:rFonts w:ascii="宋体" w:hAnsi="宋体" w:eastAsia="宋体" w:cs="宋体"/>
                <w:color w:val="000000"/>
                <w:sz w:val="24"/>
              </w:rPr>
              <w:t xml:space="preserve">3.规格：100g/瓶；                 </w:t>
            </w:r>
          </w:p>
          <w:p>
            <w:pPr>
              <w:pStyle w:val="4"/>
              <w:jc w:val="both"/>
            </w:pPr>
            <w:r>
              <w:rPr>
                <w:rFonts w:ascii="宋体" w:hAnsi="宋体" w:eastAsia="宋体" w:cs="宋体"/>
                <w:color w:val="000000"/>
                <w:sz w:val="24"/>
              </w:rPr>
              <w:t>4.登记作物：柑橘。</w:t>
            </w:r>
          </w:p>
        </w:tc>
      </w:tr>
    </w:tbl>
    <w:p>
      <w:pPr>
        <w:pStyle w:val="4"/>
      </w:pPr>
      <w:r>
        <w:t>标的名称：辛硫磷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宋体" w:hAnsi="宋体" w:eastAsia="宋体" w:cs="宋体"/>
                <w:color w:val="000000"/>
                <w:sz w:val="24"/>
              </w:rPr>
              <w:t xml:space="preserve">1.有效成分含量：40%；               </w:t>
            </w:r>
          </w:p>
          <w:p>
            <w:pPr>
              <w:pStyle w:val="4"/>
              <w:jc w:val="left"/>
            </w:pPr>
            <w:r>
              <w:rPr>
                <w:rFonts w:ascii="宋体" w:hAnsi="宋体" w:eastAsia="宋体" w:cs="宋体"/>
                <w:color w:val="000000"/>
                <w:sz w:val="24"/>
              </w:rPr>
              <w:t xml:space="preserve">2.剂型：乳油；                  </w:t>
            </w:r>
          </w:p>
          <w:p>
            <w:pPr>
              <w:pStyle w:val="4"/>
              <w:jc w:val="left"/>
            </w:pPr>
            <w:r>
              <w:rPr>
                <w:rFonts w:ascii="宋体" w:hAnsi="宋体" w:eastAsia="宋体" w:cs="宋体"/>
                <w:color w:val="000000"/>
                <w:sz w:val="24"/>
              </w:rPr>
              <w:t xml:space="preserve">3.规格：300（ml）/瓶；             </w:t>
            </w:r>
          </w:p>
          <w:p>
            <w:pPr>
              <w:pStyle w:val="4"/>
              <w:jc w:val="both"/>
            </w:pPr>
            <w:r>
              <w:rPr>
                <w:rFonts w:ascii="宋体" w:hAnsi="宋体" w:eastAsia="宋体" w:cs="宋体"/>
                <w:color w:val="000000"/>
                <w:sz w:val="21"/>
              </w:rPr>
              <w:t>4.登记作物：桑树。</w:t>
            </w:r>
          </w:p>
        </w:tc>
      </w:tr>
    </w:tbl>
    <w:p>
      <w:pPr>
        <w:pStyle w:val="4"/>
      </w:pPr>
      <w:r>
        <w:t>标的名称：氟啶胺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宋体" w:hAnsi="宋体" w:eastAsia="宋体" w:cs="宋体"/>
                <w:color w:val="000000"/>
                <w:sz w:val="24"/>
              </w:rPr>
              <w:t xml:space="preserve">1.有效成分含量：500克/升；     </w:t>
            </w:r>
          </w:p>
          <w:p>
            <w:pPr>
              <w:pStyle w:val="4"/>
              <w:jc w:val="left"/>
            </w:pPr>
            <w:r>
              <w:rPr>
                <w:rFonts w:ascii="宋体" w:hAnsi="宋体" w:eastAsia="宋体" w:cs="宋体"/>
                <w:color w:val="000000"/>
                <w:sz w:val="24"/>
              </w:rPr>
              <w:t xml:space="preserve">2.剂型：悬浮剂；                  </w:t>
            </w:r>
          </w:p>
          <w:p>
            <w:pPr>
              <w:pStyle w:val="4"/>
              <w:jc w:val="left"/>
            </w:pPr>
            <w:r>
              <w:rPr>
                <w:rFonts w:ascii="宋体" w:hAnsi="宋体" w:eastAsia="宋体" w:cs="宋体"/>
                <w:color w:val="000000"/>
                <w:sz w:val="24"/>
              </w:rPr>
              <w:t xml:space="preserve">3.规格：100g/瓶；                 </w:t>
            </w:r>
          </w:p>
          <w:p>
            <w:pPr>
              <w:pStyle w:val="4"/>
              <w:jc w:val="both"/>
            </w:pPr>
            <w:r>
              <w:rPr>
                <w:rFonts w:ascii="宋体" w:hAnsi="宋体" w:eastAsia="宋体" w:cs="宋体"/>
                <w:color w:val="000000"/>
                <w:sz w:val="21"/>
              </w:rPr>
              <w:t>4.登记作物：柑橘。</w:t>
            </w:r>
          </w:p>
        </w:tc>
      </w:tr>
    </w:tbl>
    <w:p>
      <w:pPr>
        <w:pStyle w:val="4"/>
      </w:pPr>
      <w:r>
        <w:t>标的名称：高效氯氟氰菊酯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宋体" w:hAnsi="宋体" w:eastAsia="宋体" w:cs="宋体"/>
                <w:color w:val="000000"/>
                <w:sz w:val="24"/>
              </w:rPr>
              <w:t xml:space="preserve">1.有效成分含量：25克/升；             </w:t>
            </w:r>
          </w:p>
          <w:p>
            <w:pPr>
              <w:pStyle w:val="4"/>
              <w:jc w:val="left"/>
            </w:pPr>
            <w:r>
              <w:rPr>
                <w:rFonts w:ascii="宋体" w:hAnsi="宋体" w:eastAsia="宋体" w:cs="宋体"/>
                <w:color w:val="000000"/>
                <w:sz w:val="24"/>
              </w:rPr>
              <w:t xml:space="preserve">2.剂型：乳油；                  </w:t>
            </w:r>
          </w:p>
          <w:p>
            <w:pPr>
              <w:pStyle w:val="4"/>
              <w:jc w:val="left"/>
            </w:pPr>
            <w:r>
              <w:rPr>
                <w:rFonts w:ascii="宋体" w:hAnsi="宋体" w:eastAsia="宋体" w:cs="宋体"/>
                <w:color w:val="000000"/>
                <w:sz w:val="24"/>
              </w:rPr>
              <w:t xml:space="preserve">3.规格：100ml/瓶；                    </w:t>
            </w:r>
          </w:p>
          <w:p>
            <w:pPr>
              <w:pStyle w:val="4"/>
              <w:jc w:val="both"/>
            </w:pPr>
            <w:r>
              <w:rPr>
                <w:rFonts w:ascii="宋体" w:hAnsi="宋体" w:eastAsia="宋体" w:cs="宋体"/>
                <w:color w:val="000000"/>
                <w:sz w:val="21"/>
              </w:rPr>
              <w:t>4.登记作物：柑橘。</w:t>
            </w:r>
          </w:p>
        </w:tc>
      </w:tr>
    </w:tbl>
    <w:p>
      <w:pPr>
        <w:pStyle w:val="4"/>
      </w:pPr>
      <w:r>
        <w:t>标的名称：啶虫脒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宋体" w:hAnsi="宋体" w:eastAsia="宋体" w:cs="宋体"/>
                <w:color w:val="000000"/>
                <w:sz w:val="24"/>
              </w:rPr>
              <w:t xml:space="preserve">1.有效成分含量：5%；               </w:t>
            </w:r>
          </w:p>
          <w:p>
            <w:pPr>
              <w:pStyle w:val="4"/>
              <w:jc w:val="left"/>
            </w:pPr>
            <w:r>
              <w:rPr>
                <w:rFonts w:ascii="宋体" w:hAnsi="宋体" w:eastAsia="宋体" w:cs="宋体"/>
                <w:color w:val="000000"/>
                <w:sz w:val="24"/>
              </w:rPr>
              <w:t xml:space="preserve">2.剂型：可湿性粉剂；                  </w:t>
            </w:r>
          </w:p>
          <w:p>
            <w:pPr>
              <w:pStyle w:val="4"/>
              <w:jc w:val="left"/>
            </w:pPr>
            <w:r>
              <w:rPr>
                <w:rFonts w:ascii="宋体" w:hAnsi="宋体" w:eastAsia="宋体" w:cs="宋体"/>
                <w:color w:val="000000"/>
                <w:sz w:val="24"/>
              </w:rPr>
              <w:t xml:space="preserve">3.规格：10g/袋；             </w:t>
            </w:r>
          </w:p>
          <w:p>
            <w:pPr>
              <w:pStyle w:val="4"/>
              <w:jc w:val="both"/>
            </w:pPr>
            <w:r>
              <w:rPr>
                <w:rFonts w:ascii="宋体" w:hAnsi="宋体" w:eastAsia="宋体" w:cs="宋体"/>
                <w:color w:val="000000"/>
                <w:sz w:val="21"/>
              </w:rPr>
              <w:t>4.登记作物：柑橘。</w:t>
            </w:r>
          </w:p>
        </w:tc>
      </w:tr>
    </w:tbl>
    <w:p>
      <w:pPr>
        <w:pStyle w:val="4"/>
      </w:pPr>
      <w:r>
        <w:t>标的名称：苯醚甲环唑</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宋体" w:hAnsi="宋体" w:eastAsia="宋体" w:cs="宋体"/>
                <w:color w:val="000000"/>
                <w:sz w:val="24"/>
              </w:rPr>
              <w:t xml:space="preserve">1.有效成分含量：10%；               </w:t>
            </w:r>
          </w:p>
          <w:p>
            <w:pPr>
              <w:pStyle w:val="4"/>
              <w:jc w:val="left"/>
            </w:pPr>
            <w:r>
              <w:rPr>
                <w:rFonts w:ascii="宋体" w:hAnsi="宋体" w:eastAsia="宋体" w:cs="宋体"/>
                <w:color w:val="000000"/>
                <w:sz w:val="24"/>
              </w:rPr>
              <w:t xml:space="preserve">2.剂型：水分散粒剂；                  </w:t>
            </w:r>
          </w:p>
          <w:p>
            <w:pPr>
              <w:pStyle w:val="4"/>
              <w:jc w:val="left"/>
            </w:pPr>
            <w:r>
              <w:rPr>
                <w:rFonts w:ascii="宋体" w:hAnsi="宋体" w:eastAsia="宋体" w:cs="宋体"/>
                <w:color w:val="000000"/>
                <w:sz w:val="24"/>
              </w:rPr>
              <w:t xml:space="preserve">3.规格：100g/袋；             </w:t>
            </w:r>
          </w:p>
          <w:p>
            <w:pPr>
              <w:pStyle w:val="4"/>
              <w:jc w:val="both"/>
            </w:pPr>
            <w:r>
              <w:rPr>
                <w:rFonts w:ascii="宋体" w:hAnsi="宋体" w:eastAsia="宋体" w:cs="宋体"/>
                <w:color w:val="000000"/>
                <w:sz w:val="21"/>
              </w:rPr>
              <w:t>4.登记作物：柑橘。</w:t>
            </w:r>
          </w:p>
        </w:tc>
      </w:tr>
    </w:tbl>
    <w:p>
      <w:pPr>
        <w:pStyle w:val="4"/>
        <w:outlineLvl w:val="2"/>
      </w:pPr>
      <w:r>
        <w:rPr>
          <w:b/>
          <w:sz w:val="28"/>
        </w:rPr>
        <w:t>3.4、商务要求</w:t>
      </w:r>
    </w:p>
    <w:p>
      <w:pPr>
        <w:pStyle w:val="4"/>
        <w:outlineLvl w:val="3"/>
      </w:pPr>
      <w:r>
        <w:rPr>
          <w:b/>
          <w:sz w:val="24"/>
        </w:rPr>
        <w:t>3.4.1交货时间</w:t>
      </w:r>
    </w:p>
    <w:p>
      <w:pPr>
        <w:pStyle w:val="4"/>
      </w:pPr>
      <w:r>
        <w:t>采购包1：</w:t>
      </w:r>
    </w:p>
    <w:p>
      <w:pPr>
        <w:pStyle w:val="4"/>
      </w:pPr>
      <w:r>
        <w:t xml:space="preserve"> 自合同签订之日起20日</w:t>
      </w:r>
    </w:p>
    <w:p>
      <w:pPr>
        <w:pStyle w:val="4"/>
        <w:outlineLvl w:val="3"/>
      </w:pPr>
      <w:r>
        <w:rPr>
          <w:b/>
          <w:sz w:val="24"/>
        </w:rPr>
        <w:t>3.4.2交货地点和方式</w:t>
      </w:r>
    </w:p>
    <w:p>
      <w:pPr>
        <w:pStyle w:val="4"/>
      </w:pPr>
      <w:r>
        <w:t>采购包1：</w:t>
      </w:r>
    </w:p>
    <w:p>
      <w:pPr>
        <w:pStyle w:val="4"/>
      </w:pPr>
      <w:r>
        <w:t>在签订合同后10日内，将本项目所有响应产品运送到富顺县内的暂存场所，验收合格后10日内配送发放至釆购人指定的项目实施乡镇（街道）政府所在地，并且配合镇乡（街道）将农药发放到种植户。</w:t>
      </w:r>
    </w:p>
    <w:p>
      <w:pPr>
        <w:pStyle w:val="4"/>
        <w:outlineLvl w:val="3"/>
      </w:pPr>
      <w:r>
        <w:rPr>
          <w:b/>
          <w:sz w:val="24"/>
        </w:rPr>
        <w:t>3.4.3支付方式</w:t>
      </w:r>
    </w:p>
    <w:p>
      <w:pPr>
        <w:pStyle w:val="4"/>
      </w:pPr>
      <w:r>
        <w:t>采购包1：</w:t>
      </w:r>
    </w:p>
    <w:p>
      <w:pPr>
        <w:pStyle w:val="4"/>
      </w:pPr>
      <w:r>
        <w:t>分期付款</w:t>
      </w:r>
    </w:p>
    <w:p>
      <w:pPr>
        <w:pStyle w:val="4"/>
        <w:outlineLvl w:val="3"/>
      </w:pPr>
      <w:r>
        <w:rPr>
          <w:b/>
          <w:sz w:val="24"/>
        </w:rPr>
        <w:t>3.4.4支付约定</w:t>
      </w:r>
    </w:p>
    <w:p>
      <w:pPr>
        <w:pStyle w:val="4"/>
      </w:pPr>
      <w:r>
        <w:t>采购包1： 付款条件说明： 合同生效以及具备实施条件后（供应商应按合同金额的40%提供预付款保函） ，达到付款条件起 14 日内，支付合同总金额的 40.00%。</w:t>
      </w:r>
    </w:p>
    <w:p>
      <w:pPr>
        <w:pStyle w:val="4"/>
      </w:pPr>
      <w:r>
        <w:t>采购包1： 付款条件说明： 完成合同约定的全部任务，履约验收合格且相关部门审核通过后 ，达到付款条件起 14 日内，支付合同总金额的 60.00%。</w:t>
      </w:r>
    </w:p>
    <w:p>
      <w:pPr>
        <w:pStyle w:val="4"/>
        <w:outlineLvl w:val="3"/>
      </w:pPr>
      <w:r>
        <w:rPr>
          <w:b/>
          <w:sz w:val="24"/>
        </w:rPr>
        <w:t>3.4.5验收标准和方法</w:t>
      </w:r>
    </w:p>
    <w:p>
      <w:pPr>
        <w:pStyle w:val="4"/>
      </w:pPr>
      <w:r>
        <w:t>采购包1：</w:t>
      </w:r>
    </w:p>
    <w:p>
      <w:pPr>
        <w:pStyle w:val="4"/>
      </w:pPr>
      <w:r>
        <w:t>本项目的验收标准为国家或行业现行相关规定、采购文件的技术要求、采购人提出的技术服务要求、供应商响应文件及承诺、合同约定。双方如对质量要求和技术指标的约定标准有相互抵触或异议的事项，由采购人在竞争性谈判文件与响应文件中按质量要求和技术指标比较优胜的原则确定该项的约定标准进行验收。验收时如发现所交付的货物有短装、次品、损坏或其它不符合标准及本合同规定之情形者，采购人应做出详尽的现场记录，或由甲乙双方签署备忘录，此现场记录或备忘录可用作补充、缺失和更换损坏部件的有效证据，由此产生的时间延误与有关费用由供应商承担，验收期限相应顺延。如质量验收合格，签署质量验收报告。货物供货完成10日内，采购人无故不进行验收工作并已使用货物的，视同已完成并验收合格。其他未尽事宜应严格按照《财政部关于进一步加强政府采购需求和履约验收管理的指导意见》（财库〔2016〕205 号）的要求组织验收。</w:t>
      </w:r>
    </w:p>
    <w:p>
      <w:pPr>
        <w:pStyle w:val="4"/>
        <w:outlineLvl w:val="3"/>
      </w:pPr>
      <w:r>
        <w:rPr>
          <w:b/>
          <w:sz w:val="24"/>
        </w:rPr>
        <w:t>3.4.6包装方式及运输</w:t>
      </w: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r>
        <w:t>采购包1：</w:t>
      </w:r>
    </w:p>
    <w:p>
      <w:pPr>
        <w:pStyle w:val="4"/>
      </w:pPr>
      <w:r>
        <w:t>1.供应商应保证响应产品的包装和使用安全。产品有效期需在2024年12月30日之后。 2.采购人有权对供应商配送到富顺县的响应产品进行抽样，送有资质的第三方检测机构检测，检测费用由供应商承担，响应产品的检测结果应符合本项目所采购产品的技术参数要求。 3.供应商在成交公示结束后及时与采购人签订政府采购合同。签订合同后，采购人对响应文件中涉及的包括但不限于检测报告、“农药二证一标准”等所有相关文件、材料，有权要求成交供应商提供原件查验。成交供应商不能提供或者提供的相关文件、材料与响应文件不一致，采购人有权报告财政监管部门，并按虚假响应谋求中标处理。（单独另行提供承诺函，否则评审小组将否决其投标） 4.供应商在签订合同后应及时准备出厂检验合格的响应产品，在规定时间内将所有响应产品运送到富顺县内的暂存场所。供应商在供货时应提供配送到富顺县的响应产品同批次的出厂检测报告复印件及合格证明。（单独另行提供承诺函，否则评审小组将否决其投标）</w:t>
      </w:r>
    </w:p>
    <w:p>
      <w:pPr>
        <w:pStyle w:val="4"/>
        <w:outlineLvl w:val="3"/>
      </w:pPr>
      <w:r>
        <w:rPr>
          <w:b/>
          <w:sz w:val="24"/>
        </w:rPr>
        <w:t>3.4.8违约责任及解决争议的方法</w:t>
      </w:r>
    </w:p>
    <w:p>
      <w:pPr>
        <w:pStyle w:val="4"/>
      </w:pPr>
      <w:r>
        <w:t>采购包1：</w:t>
      </w:r>
    </w:p>
    <w:p>
      <w:pPr>
        <w:pStyle w:val="4"/>
      </w:pPr>
      <w:r>
        <w:t>一、违约责任 1.采购人违约责任 （1）采购人无正当理由拒收货物的，采购人应偿付合同总价百分之0.5的违约金； （2）采购人应按合同约定支付货款，非采购人原因不能及时拨付货款等特殊情况及不可抗力因素导致货款支付逾期的不作为违约情形； （3）采购人偿付的违约金不足以弥补供应商损失的，还应按供应商损失尚未弥补的部分，支付赔偿金给供应商。 2.供应商违约责任 （1）供应商交付的货物质量不符合合同规定的，供应商应向采购人支付合同总价的百分之5的违约金，并须在合同规定的交货时间内更换合格的货物给采购人，否则，视作供应商不能交付货物而违约，按本条本款下述第“（2）”项规定由供应商偿付违约赔偿金给采购人。 （2）供应商不能交付货物或逾期交付货物而违约的，除应及时交足货物外，应向采购人偿付逾期交货部分货款总额的百分之0.5/天的违约金；逾期交货超过10天，采购人有权终止合同，供应商则应按合同总价的百分之5的款额向采购人偿付赔偿金，并须全额退还采购人已经付给供应商的货款及其利息。 （3）供应商货物经采购人送交具有法定资格条件的质量技术监督机构检测后，如检测结果认定货物质量不符合本合同规定标准的，则视为供应商没有按时交货而违约，供应商须在一个月内无条件更换合格的货物，如逾期不能更换合格的货物，采购人有权终止本合同，供应商应另付合同总价的百分之5的赔偿金给采购人。 （4）供应商保证本合同货物的权利无瑕疵，包括货物所有权及知识产权等权利无瑕疵。如任何第三方经法院（或仲裁机构）裁决有权对上述货物主张权利或国家机关依法对货物进行没收查处的，供应商除应向采购人返还已收款项外，还应另按合同总价的百分之10向采购人支付违约金并赔偿因此给采购人造成的一切损失。 （5）供应商偿付的违约金不足以弥补采购人损失的，还应按采购人损失尚未弥补的部分，支付赔偿金给采购人。 二、争议解决办法 1.因货物的质量问题发生争议，由质量技术监督部门或其指定的质量鉴定机构进行质量鉴定。货物符合标准的，鉴定费由采购人承担；货物不符合质量标准的，鉴定费由供应商承担。 2.合同履行期间,若双方发生争议，可协商或由有关部门调解解决，协商或调解不成的，由当事人依法维护其合法权益，并由合同履行地富顺县人民法院起诉。</w:t>
      </w:r>
    </w:p>
    <w:p>
      <w:pPr>
        <w:pStyle w:val="4"/>
        <w:jc w:val="left"/>
        <w:outlineLvl w:val="3"/>
      </w:pPr>
      <w:r>
        <w:rPr>
          <w:b/>
          <w:sz w:val="24"/>
        </w:rPr>
        <w:t>3.5其他要求</w:t>
      </w:r>
    </w:p>
    <w:p>
      <w:pPr>
        <w:pStyle w:val="4"/>
      </w:pPr>
      <w:r>
        <w:t>采购包1：</w:t>
      </w:r>
    </w:p>
    <w:p>
      <w:r>
        <w:t>1.供应商负责农药生产、包装、检测、仓储、转运、上下车、保险、发放、培训、税费等等所有费用的支付。未尽事宜在合同中约定。 2.供应商所供货物应由响应产品的生产企业生产，不得委托其它企业生产加工。 3.本章节3.2、3.3、3.4、3.5均为实质性要求，供应商必须全部满足。 4.因一体化平台限制，本项目全部产品的计量单位以技术参数及要求中的规格型号为准。产品1-4为瓶，5-6为袋。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1Mzc4N2QyOTBiMzA5NmQ1MmNkMjZkOTc3MGEyNDQifQ=="/>
  </w:docVars>
  <w:rsids>
    <w:rsidRoot w:val="28645F73"/>
    <w:rsid w:val="28645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2023-12-05T01:47:00Z</dcterms:created>
  <dc:creator>闹够了没有</dc:creator>
  <cp:lastModifiedBy>闹够了没有</cp:lastModifiedBy>
  <dcterms:modified xsi:type="dcterms:W3CDTF">2023-12-05T01:47:23Z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490B9AEA104A49629D987978A7C85157_11</vt:lpwstr>
  </property>
</Properties>
</file>