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rPr>
          <w:rFonts w:hint="eastAsia" w:eastAsiaTheme="minorEastAsia"/>
          <w:lang w:eastAsia="zh-CN"/>
        </w:rPr>
      </w:pPr>
      <w:r>
        <w:rPr>
          <w:rFonts w:hint="eastAsia"/>
          <w:b/>
          <w:sz w:val="36"/>
          <w:lang w:eastAsia="zh-CN"/>
        </w:rPr>
        <w:t>采购需求</w:t>
      </w:r>
    </w:p>
    <w:p>
      <w:pPr>
        <w:pStyle w:val="4"/>
        <w:ind w:firstLine="480"/>
      </w:pPr>
      <w:r>
        <w:t xml:space="preserve"> （带“★”的参数需求为实质性要求，供应商必须响应并满足的参数需求，采购人、采购代理机构应当根据项目实际需求合理设定，并明确具体要求。）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bookmarkStart w:id="0" w:name="_GoBack"/>
      <w:bookmarkEnd w:id="0"/>
    </w:p>
    <w:p>
      <w:pPr>
        <w:pStyle w:val="4"/>
        <w:ind w:firstLine="480"/>
      </w:pPr>
    </w:p>
    <w:p>
      <w:pPr>
        <w:pStyle w:val="4"/>
      </w:pPr>
    </w:p>
    <w:p>
      <w:pPr>
        <w:pStyle w:val="4"/>
      </w:pPr>
      <w:r>
        <w:t>根据《富顺县2022年现代竹产业基地建设项目实施方案》和《富顺县2022年现代竹产业基地建设及林业园区建设项目实施方案》建设内容，按照富顺县人民政府关于2022年现代竹产业基地建设项目、富顺县2022年现代竹产业基地建设及林业园区建设项目资金使用的批复精神，对项目建设中麻竹林基地丰产示范肥料进行采购。</w:t>
      </w:r>
    </w:p>
    <w:p>
      <w:pPr>
        <w:pStyle w:val="4"/>
        <w:outlineLvl w:val="2"/>
      </w:pPr>
      <w:r>
        <w:rPr>
          <w:b/>
          <w:sz w:val="28"/>
        </w:rPr>
        <w:t>3.2、采购内容</w:t>
      </w:r>
    </w:p>
    <w:p>
      <w:pPr>
        <w:pStyle w:val="4"/>
        <w:outlineLvl w:val="3"/>
      </w:pPr>
      <w:r>
        <w:rPr>
          <w:b/>
          <w:sz w:val="24"/>
        </w:rPr>
        <w:t>3.2.1标的清单</w:t>
      </w:r>
    </w:p>
    <w:p>
      <w:pPr>
        <w:pStyle w:val="4"/>
      </w:pPr>
    </w:p>
    <w:p>
      <w:pPr>
        <w:pStyle w:val="4"/>
      </w:pPr>
    </w:p>
    <w:p>
      <w:pPr>
        <w:pStyle w:val="4"/>
      </w:pPr>
      <w:r>
        <w:t>采购包1：</w:t>
      </w:r>
    </w:p>
    <w:p>
      <w:pPr>
        <w:pStyle w:val="4"/>
      </w:pPr>
      <w:r>
        <w:t>采购包预算金额（元）: 1,121,895.00</w:t>
      </w:r>
    </w:p>
    <w:p>
      <w:pPr>
        <w:pStyle w:val="4"/>
      </w:pPr>
      <w:r>
        <w:t>采购包最高限价（元）: 1,121,895.00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复合肥（麻竹专用肥）</w:t>
            </w:r>
          </w:p>
        </w:tc>
        <w:tc>
          <w:tcPr>
            <w:tcW w:w="848" w:type="dxa"/>
          </w:tcPr>
          <w:p>
            <w:pPr>
              <w:pStyle w:val="4"/>
              <w:jc w:val="right"/>
            </w:pPr>
            <w:r>
              <w:t>321.00</w:t>
            </w:r>
          </w:p>
        </w:tc>
        <w:tc>
          <w:tcPr>
            <w:tcW w:w="1356" w:type="dxa"/>
          </w:tcPr>
          <w:p>
            <w:pPr>
              <w:pStyle w:val="4"/>
              <w:jc w:val="right"/>
            </w:pPr>
            <w:r>
              <w:t>1,121,895.00</w:t>
            </w:r>
          </w:p>
        </w:tc>
        <w:tc>
          <w:tcPr>
            <w:tcW w:w="678" w:type="dxa"/>
          </w:tcPr>
          <w:p>
            <w:pPr>
              <w:pStyle w:val="4"/>
            </w:pPr>
            <w:r>
              <w:t>吨</w:t>
            </w:r>
          </w:p>
        </w:tc>
        <w:tc>
          <w:tcPr>
            <w:tcW w:w="678" w:type="dxa"/>
          </w:tcPr>
          <w:p>
            <w:pPr>
              <w:pStyle w:val="4"/>
            </w:pPr>
            <w:r>
              <w:t>工业</w:t>
            </w:r>
          </w:p>
        </w:tc>
        <w:tc>
          <w:tcPr>
            <w:tcW w:w="593" w:type="dxa"/>
          </w:tcPr>
          <w:p>
            <w:pPr>
              <w:pStyle w:val="4"/>
            </w:pPr>
            <w:r>
              <w:t>是</w:t>
            </w:r>
          </w:p>
        </w:tc>
        <w:tc>
          <w:tcPr>
            <w:tcW w:w="678" w:type="dxa"/>
          </w:tcPr>
          <w:p>
            <w:pPr>
              <w:pStyle w:val="4"/>
            </w:pPr>
            <w:r>
              <w:t>否</w:t>
            </w:r>
          </w:p>
        </w:tc>
        <w:tc>
          <w:tcPr>
            <w:tcW w:w="678" w:type="dxa"/>
          </w:tcPr>
          <w:p>
            <w:pPr>
              <w:pStyle w:val="4"/>
            </w:pPr>
            <w:r>
              <w:t>是</w:t>
            </w:r>
          </w:p>
        </w:tc>
        <w:tc>
          <w:tcPr>
            <w:tcW w:w="848" w:type="dxa"/>
          </w:tcPr>
          <w:p>
            <w:pPr>
              <w:pStyle w:val="4"/>
            </w:pPr>
            <w:r>
              <w:t>是</w:t>
            </w:r>
          </w:p>
        </w:tc>
      </w:tr>
    </w:tbl>
    <w:p>
      <w:pPr>
        <w:pStyle w:val="4"/>
        <w:outlineLvl w:val="2"/>
      </w:pPr>
      <w:r>
        <w:rPr>
          <w:b/>
          <w:sz w:val="28"/>
        </w:rPr>
        <w:t>3.3、技术参数及要求</w:t>
      </w:r>
    </w:p>
    <w:p>
      <w:pPr>
        <w:pStyle w:val="4"/>
      </w:pPr>
    </w:p>
    <w:p>
      <w:pPr>
        <w:pStyle w:val="4"/>
      </w:pPr>
    </w:p>
    <w:p>
      <w:pPr>
        <w:pStyle w:val="4"/>
      </w:pPr>
    </w:p>
    <w:p>
      <w:pPr>
        <w:pStyle w:val="4"/>
      </w:pPr>
      <w:r>
        <w:t>采购包1：</w:t>
      </w:r>
    </w:p>
    <w:p>
      <w:pPr>
        <w:pStyle w:val="4"/>
      </w:pPr>
    </w:p>
    <w:p>
      <w:pPr>
        <w:pStyle w:val="4"/>
      </w:pPr>
      <w:r>
        <w:t>标的名称：复合肥（麻竹专用肥）</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224"/>
        <w:gridCol w:w="900"/>
        <w:gridCol w:w="639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4" w:type="dxa"/>
          </w:tcPr>
          <w:p>
            <w:pPr>
              <w:pStyle w:val="4"/>
            </w:pPr>
            <w:r>
              <w:t xml:space="preserve"> 参数性质</w:t>
            </w:r>
          </w:p>
        </w:tc>
        <w:tc>
          <w:tcPr>
            <w:tcW w:w="900" w:type="dxa"/>
          </w:tcPr>
          <w:p>
            <w:pPr>
              <w:pStyle w:val="4"/>
            </w:pPr>
            <w:r>
              <w:t xml:space="preserve"> 序号</w:t>
            </w:r>
          </w:p>
        </w:tc>
        <w:tc>
          <w:tcPr>
            <w:tcW w:w="6398"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1224" w:type="dxa"/>
          </w:tcPr>
          <w:p>
            <w:pPr>
              <w:pStyle w:val="4"/>
            </w:pPr>
            <w:r>
              <w:t>★</w:t>
            </w:r>
          </w:p>
        </w:tc>
        <w:tc>
          <w:tcPr>
            <w:tcW w:w="900" w:type="dxa"/>
          </w:tcPr>
          <w:p>
            <w:pPr>
              <w:pStyle w:val="4"/>
            </w:pPr>
            <w:r>
              <w:t>1</w:t>
            </w:r>
          </w:p>
        </w:tc>
        <w:tc>
          <w:tcPr>
            <w:tcW w:w="6398" w:type="dxa"/>
          </w:tcPr>
          <w:p>
            <w:pPr>
              <w:pStyle w:val="4"/>
            </w:pPr>
            <w:r>
              <w:rPr>
                <w:rFonts w:ascii="宋体" w:hAnsi="宋体" w:eastAsia="宋体" w:cs="宋体"/>
                <w:color w:val="000000"/>
                <w:sz w:val="28"/>
              </w:rPr>
              <w:t>1.麻竹专用肥（硫基型）总养分N：P205：K20≥40%、;多肽含量≥0.25%；游离氨基酸≥0.1%。中量元素：有效钙≥1%；有效镁≥1%；硫≥2%；微量元素：锌≥0.002%。（提供第三方检测机构出具的带CMA或CNAS标识的检验报告复印件）</w:t>
            </w:r>
          </w:p>
          <w:p>
            <w:pPr>
              <w:pStyle w:val="4"/>
            </w:pPr>
            <w:r>
              <w:rPr>
                <w:rFonts w:ascii="宋体" w:hAnsi="宋体" w:eastAsia="宋体" w:cs="宋体"/>
                <w:color w:val="000000"/>
                <w:sz w:val="28"/>
              </w:rPr>
              <w:t>2.N:P205:K20=20:12:8。（提供第三方检测机构出具的带CMA或CNAS标识的检验报告复印件）</w:t>
            </w:r>
          </w:p>
          <w:p>
            <w:pPr>
              <w:pStyle w:val="4"/>
            </w:pPr>
            <w:r>
              <w:rPr>
                <w:rFonts w:ascii="宋体" w:hAnsi="宋体" w:eastAsia="宋体" w:cs="宋体"/>
                <w:color w:val="000000"/>
                <w:sz w:val="28"/>
              </w:rPr>
              <w:t>3.水溶性磷占有效磷百分率≥60%。（提供第三方检测机构出具的带CMA或CNAS标识的检验报告复印件）</w:t>
            </w:r>
          </w:p>
          <w:p>
            <w:pPr>
              <w:pStyle w:val="4"/>
            </w:pPr>
            <w:r>
              <w:rPr>
                <w:rFonts w:ascii="宋体" w:hAnsi="宋体" w:eastAsia="宋体" w:cs="宋体"/>
                <w:color w:val="000000"/>
                <w:sz w:val="28"/>
              </w:rPr>
              <w:t>4.硫酸钾型氯离子的质量分数≤3.0%。（提供第三方检测机构出具的带CMA或CNAS标识的检验报告复印件）</w:t>
            </w:r>
          </w:p>
          <w:p>
            <w:pPr>
              <w:pStyle w:val="4"/>
              <w:jc w:val="left"/>
            </w:pPr>
            <w:r>
              <w:rPr>
                <w:rFonts w:ascii="宋体" w:hAnsi="宋体" w:eastAsia="宋体" w:cs="宋体"/>
                <w:color w:val="000000"/>
                <w:sz w:val="28"/>
              </w:rPr>
              <w:t>5.产品粒状，新型轧辊造粒，生产过程无“三废”排放，无“缩二脲”产生，满足配方调整与中微量元素添加的需求膨化造粒，原装正品。（提供相关技术及工艺证明材料）</w:t>
            </w:r>
          </w:p>
          <w:p>
            <w:pPr>
              <w:pStyle w:val="4"/>
            </w:pPr>
            <w:r>
              <w:rPr>
                <w:rFonts w:ascii="宋体" w:hAnsi="宋体" w:eastAsia="宋体" w:cs="宋体"/>
                <w:color w:val="000000"/>
                <w:sz w:val="28"/>
              </w:rPr>
              <w:t>6.水分(H2O)的质量分数≤2.0%。（提供第三方检测机构出具的带CMA或CNAS标识的检验报告复印件）</w:t>
            </w:r>
          </w:p>
          <w:p>
            <w:pPr>
              <w:pStyle w:val="4"/>
            </w:pPr>
            <w:r>
              <w:rPr>
                <w:rFonts w:ascii="宋体" w:hAnsi="宋体" w:eastAsia="宋体" w:cs="宋体"/>
                <w:color w:val="000000"/>
                <w:sz w:val="28"/>
              </w:rPr>
              <w:t>7.其余参数按照 GB/T15063-2020 标准执行。</w:t>
            </w:r>
          </w:p>
          <w:p>
            <w:pPr>
              <w:pStyle w:val="4"/>
            </w:pPr>
            <w:r>
              <w:rPr>
                <w:rFonts w:ascii="宋体" w:hAnsi="宋体" w:eastAsia="宋体" w:cs="宋体"/>
                <w:color w:val="000000"/>
                <w:sz w:val="28"/>
              </w:rPr>
              <w:t>8.规格型号:25kg/袋(颗粒)。</w:t>
            </w:r>
          </w:p>
          <w:p>
            <w:pPr>
              <w:pStyle w:val="4"/>
              <w:jc w:val="both"/>
            </w:pPr>
            <w:r>
              <w:rPr>
                <w:rFonts w:ascii="宋体" w:hAnsi="宋体" w:eastAsia="宋体" w:cs="宋体"/>
                <w:color w:val="000000"/>
                <w:sz w:val="28"/>
              </w:rPr>
              <w:t>9.包装袋上印有“麻竹专用肥”。</w:t>
            </w:r>
          </w:p>
        </w:tc>
      </w:tr>
    </w:tbl>
    <w:p>
      <w:pPr>
        <w:pStyle w:val="4"/>
        <w:outlineLvl w:val="2"/>
      </w:pPr>
      <w:r>
        <w:rPr>
          <w:b/>
          <w:sz w:val="28"/>
        </w:rPr>
        <w:t>3.4、商务要求</w:t>
      </w:r>
    </w:p>
    <w:p>
      <w:pPr>
        <w:pStyle w:val="4"/>
        <w:outlineLvl w:val="3"/>
      </w:pPr>
      <w:r>
        <w:rPr>
          <w:b/>
          <w:sz w:val="24"/>
        </w:rPr>
        <w:t>3.4.1交货时间</w:t>
      </w:r>
    </w:p>
    <w:p>
      <w:pPr>
        <w:pStyle w:val="4"/>
      </w:pPr>
    </w:p>
    <w:p>
      <w:pPr>
        <w:pStyle w:val="4"/>
      </w:pPr>
    </w:p>
    <w:p>
      <w:pPr>
        <w:pStyle w:val="4"/>
      </w:pPr>
    </w:p>
    <w:p>
      <w:pPr>
        <w:pStyle w:val="4"/>
      </w:pPr>
      <w:r>
        <w:t>采购包1：</w:t>
      </w:r>
    </w:p>
    <w:p>
      <w:pPr>
        <w:pStyle w:val="4"/>
      </w:pPr>
      <w:r>
        <w:t xml:space="preserve"> 自合同签订之日起40日</w:t>
      </w:r>
    </w:p>
    <w:p>
      <w:pPr>
        <w:pStyle w:val="4"/>
        <w:outlineLvl w:val="3"/>
      </w:pPr>
      <w:r>
        <w:rPr>
          <w:b/>
          <w:sz w:val="24"/>
        </w:rPr>
        <w:t>3.4.2交货地点和方式</w:t>
      </w:r>
    </w:p>
    <w:p>
      <w:pPr>
        <w:pStyle w:val="4"/>
      </w:pPr>
    </w:p>
    <w:p>
      <w:pPr>
        <w:pStyle w:val="4"/>
      </w:pPr>
    </w:p>
    <w:p>
      <w:pPr>
        <w:pStyle w:val="4"/>
      </w:pPr>
    </w:p>
    <w:p>
      <w:pPr>
        <w:pStyle w:val="4"/>
      </w:pPr>
      <w:r>
        <w:t>采购包1：</w:t>
      </w:r>
    </w:p>
    <w:p>
      <w:pPr>
        <w:pStyle w:val="4"/>
      </w:pPr>
      <w:r>
        <w:t>富顺县自然资源和规划局指定地点</w:t>
      </w:r>
    </w:p>
    <w:p>
      <w:pPr>
        <w:pStyle w:val="4"/>
        <w:outlineLvl w:val="3"/>
      </w:pPr>
      <w:r>
        <w:rPr>
          <w:b/>
          <w:sz w:val="24"/>
        </w:rPr>
        <w:t>3.4.3支付方式</w:t>
      </w:r>
    </w:p>
    <w:p>
      <w:pPr>
        <w:pStyle w:val="4"/>
      </w:pPr>
    </w:p>
    <w:p>
      <w:pPr>
        <w:pStyle w:val="4"/>
      </w:pPr>
    </w:p>
    <w:p>
      <w:pPr>
        <w:pStyle w:val="4"/>
      </w:pPr>
    </w:p>
    <w:p>
      <w:pPr>
        <w:pStyle w:val="4"/>
      </w:pPr>
      <w:r>
        <w:t>采购包1：</w:t>
      </w:r>
    </w:p>
    <w:p>
      <w:pPr>
        <w:pStyle w:val="4"/>
      </w:pPr>
      <w:r>
        <w:t>分期付款</w:t>
      </w:r>
    </w:p>
    <w:p>
      <w:pPr>
        <w:pStyle w:val="4"/>
        <w:outlineLvl w:val="3"/>
      </w:pPr>
      <w:r>
        <w:rPr>
          <w:b/>
          <w:sz w:val="24"/>
        </w:rPr>
        <w:t>3.4.4支付约定</w:t>
      </w:r>
    </w:p>
    <w:p>
      <w:pPr>
        <w:pStyle w:val="4"/>
      </w:pPr>
    </w:p>
    <w:p>
      <w:pPr>
        <w:pStyle w:val="4"/>
      </w:pPr>
    </w:p>
    <w:p>
      <w:pPr>
        <w:pStyle w:val="4"/>
      </w:pPr>
    </w:p>
    <w:p>
      <w:pPr>
        <w:pStyle w:val="4"/>
      </w:pPr>
      <w:r>
        <w:t>采购包1： 付款条件说明： 签订合同且收到成交供应商预付款发票后 ，达到付款条件起 14 日内，支付合同总金额的 40.00%。</w:t>
      </w:r>
    </w:p>
    <w:p>
      <w:pPr>
        <w:pStyle w:val="4"/>
      </w:pPr>
      <w:r>
        <w:t>采购包1： 付款条件说明： 交货验收并经抽验合格后 ，达到付款条件起 14 日内，支付合同总金额的 60.00%。</w:t>
      </w:r>
    </w:p>
    <w:p>
      <w:pPr>
        <w:pStyle w:val="4"/>
        <w:outlineLvl w:val="3"/>
      </w:pPr>
      <w:r>
        <w:rPr>
          <w:b/>
          <w:sz w:val="24"/>
        </w:rPr>
        <w:t>3.4.5验收标准和方法</w:t>
      </w:r>
    </w:p>
    <w:p>
      <w:pPr>
        <w:pStyle w:val="4"/>
      </w:pPr>
    </w:p>
    <w:p>
      <w:pPr>
        <w:pStyle w:val="4"/>
      </w:pPr>
    </w:p>
    <w:p>
      <w:pPr>
        <w:pStyle w:val="4"/>
      </w:pPr>
    </w:p>
    <w:p>
      <w:pPr>
        <w:pStyle w:val="4"/>
      </w:pPr>
      <w:r>
        <w:t>采购包1：</w:t>
      </w:r>
    </w:p>
    <w:p>
      <w:pPr>
        <w:pStyle w:val="4"/>
      </w:pPr>
      <w:r>
        <w:t>按照政府采购相关法律法规以及《财政部关于进一步加强政府采购需求和履约验收管理的指导意见》财库〔2016〕205号的要求、谈判文件规定的要求和响应文件及合同约定的内容进行验收。</w:t>
      </w:r>
    </w:p>
    <w:p>
      <w:pPr>
        <w:pStyle w:val="4"/>
        <w:outlineLvl w:val="3"/>
      </w:pPr>
      <w:r>
        <w:rPr>
          <w:b/>
          <w:sz w:val="24"/>
        </w:rPr>
        <w:t>3.4.6包装方式及运输</w:t>
      </w:r>
    </w:p>
    <w:p>
      <w:pPr>
        <w:pStyle w:val="4"/>
      </w:pPr>
    </w:p>
    <w:p>
      <w:pPr>
        <w:pStyle w:val="4"/>
      </w:pPr>
    </w:p>
    <w:p>
      <w:pPr>
        <w:pStyle w:val="4"/>
      </w:pP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outlineLvl w:val="3"/>
      </w:pPr>
      <w:r>
        <w:rPr>
          <w:b/>
          <w:sz w:val="24"/>
        </w:rPr>
        <w:t>3.4.7质量保修范围和保修期</w:t>
      </w:r>
    </w:p>
    <w:p>
      <w:pPr>
        <w:pStyle w:val="4"/>
      </w:pPr>
    </w:p>
    <w:p>
      <w:pPr>
        <w:pStyle w:val="4"/>
      </w:pPr>
    </w:p>
    <w:p>
      <w:pPr>
        <w:pStyle w:val="4"/>
      </w:pPr>
    </w:p>
    <w:p>
      <w:pPr>
        <w:pStyle w:val="4"/>
      </w:pPr>
      <w:r>
        <w:t>采购包1：</w:t>
      </w:r>
    </w:p>
    <w:p>
      <w:pPr>
        <w:pStyle w:val="4"/>
      </w:pPr>
      <w:r>
        <w:t>1.质保期：1年（即质保期自采购人验收合格之日起计算），在质保期内出现质量问题，供应商在接到通知后2 小时内响应，并在 48 小时内负责退换事宜。对造成的损失采购人保留索赔的权利，更换费用由供应商承担。 2.产品质量标准：供应商须保证投标产品符合国家相关行业规范及标准要求。采购人将对供应商配送到富顺县的投标产品进行抽样，送有资质的第三方检测机构检测，检测费用由供应商支付。投标产品的检测结果应符合本项目所采购产品的技术参数要求。</w:t>
      </w:r>
    </w:p>
    <w:p>
      <w:pPr>
        <w:pStyle w:val="4"/>
        <w:outlineLvl w:val="3"/>
      </w:pPr>
      <w:r>
        <w:rPr>
          <w:b/>
          <w:sz w:val="24"/>
        </w:rPr>
        <w:t>3.4.8违约责任及解决争议的方法</w:t>
      </w:r>
    </w:p>
    <w:p>
      <w:pPr>
        <w:pStyle w:val="4"/>
      </w:pPr>
    </w:p>
    <w:p>
      <w:pPr>
        <w:pStyle w:val="4"/>
      </w:pPr>
    </w:p>
    <w:p>
      <w:pPr>
        <w:pStyle w:val="4"/>
      </w:pPr>
    </w:p>
    <w:p>
      <w:pPr>
        <w:pStyle w:val="4"/>
      </w:pPr>
      <w:r>
        <w:t>采购包1：</w:t>
      </w:r>
    </w:p>
    <w:p>
      <w:pPr>
        <w:pStyle w:val="4"/>
      </w:pPr>
      <w:r>
        <w:t>1.甲方违约责任 （1）甲方无正当理由拒收货物的，甲方应偿付合同总价百分之0.5的违约金； （2）甲方应按合同约定支付货款，特殊情况及不可抗力因素导致货款支付逾期的不作为违约情形； （3）甲方偿付的违约金不足以弥补乙方损失的，还应按乙方损失尚未弥补的部分，支付赔偿金给乙方。 2.乙方违约责任 （1）乙方交付的货物质量不符合合同规定的，乙方应向甲方支付合同总价的百分之5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百分之0.5/天的违约金；逾期交货超过10天，甲方有权终止合同，乙方则应按合同总价的百分之5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一个月内无条件更换合格的货物，如逾期不能更换合格的货物，甲方有权终止本合同，乙方应另付合同总价的百分之5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10向甲方支付违约金并赔偿因此给甲方造成的一切损失。 （5）乙方偿付的违约金不足以弥补甲方损失的，还应按甲方损失尚未弥补的部分，支付赔偿金给甲方。</w:t>
      </w:r>
    </w:p>
    <w:p>
      <w:pPr>
        <w:pStyle w:val="4"/>
        <w:jc w:val="left"/>
        <w:outlineLvl w:val="3"/>
      </w:pPr>
      <w:r>
        <w:rPr>
          <w:b/>
          <w:sz w:val="24"/>
        </w:rPr>
        <w:t>3.5其他要求</w:t>
      </w:r>
    </w:p>
    <w:p>
      <w:pPr>
        <w:pStyle w:val="4"/>
      </w:pPr>
    </w:p>
    <w:p>
      <w:pPr>
        <w:pStyle w:val="4"/>
      </w:pPr>
    </w:p>
    <w:p>
      <w:pPr>
        <w:pStyle w:val="4"/>
      </w:pPr>
    </w:p>
    <w:p>
      <w:pPr>
        <w:pStyle w:val="4"/>
      </w:pPr>
      <w:r>
        <w:t>采购包1：</w:t>
      </w:r>
    </w:p>
    <w:p>
      <w:r>
        <w:t>本章3.2、3.3、3.4均为实质性要求，供应商必须全部满足。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1Mzc4N2QyOTBiMzA5NmQ1MmNkMjZkOTc3MGEyNDQifQ=="/>
  </w:docVars>
  <w:rsids>
    <w:rsidRoot w:val="11883505"/>
    <w:rsid w:val="11883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2023-12-05T06:31:00Z</dcterms:created>
  <dc:creator>闹够了没有</dc:creator>
  <cp:lastModifiedBy>闹够了没有</cp:lastModifiedBy>
  <dcterms:modified xsi:type="dcterms:W3CDTF">2023-12-05T06:32:09Z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925A9C7188254E45883129D1C36FDF09_11</vt:lpwstr>
  </property>
</Properties>
</file>