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480"/>
        <w:jc w:val="center"/>
        <w:outlineLvl w:val="1"/>
      </w:pPr>
      <w:r>
        <w:rPr>
          <w:b/>
          <w:sz w:val="36"/>
        </w:rPr>
        <w:t>磋商项目技术、服务、商务及其他要求</w:t>
      </w:r>
    </w:p>
    <w:p>
      <w:pPr>
        <w:pStyle w:val="4"/>
        <w:ind w:firstLine="480"/>
        <w:jc w:val="left"/>
      </w:pPr>
      <w:r>
        <w:t>（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jc w:val="left"/>
        <w:outlineLvl w:val="2"/>
      </w:pPr>
      <w:r>
        <w:rPr>
          <w:b/>
          <w:sz w:val="28"/>
        </w:rPr>
        <w:t>3.1、采购项目概况</w:t>
      </w:r>
    </w:p>
    <w:p>
      <w:pPr>
        <w:pStyle w:val="4"/>
        <w:jc w:val="left"/>
      </w:pPr>
    </w:p>
    <w:p>
      <w:pPr>
        <w:pStyle w:val="4"/>
        <w:jc w:val="left"/>
      </w:pPr>
      <w:r>
        <w:t>目前，我校没有一套办公自动化综合管理平台，仅基于学校办事大厅的事务平台搭建了公文处理流程。简单的事务流程与办公自动化存在根本的不同，事务只能满足文件的简单处理需求，与综合办公管理平台应具备的事务、事件的计划性及跟踪、控制能力相距甚远。根据学校“十四五”事业规划,结合四川省“双高计划”任务要求，经2022年10月学校第148次党委常委会研究，决定建设一套满足学校信息化、智慧化办公的综合办公管理平台。</w:t>
      </w:r>
    </w:p>
    <w:p>
      <w:pPr>
        <w:pStyle w:val="4"/>
        <w:ind w:firstLine="480"/>
        <w:jc w:val="left"/>
        <w:outlineLvl w:val="2"/>
      </w:pPr>
      <w:r>
        <w:rPr>
          <w:b/>
          <w:sz w:val="28"/>
        </w:rPr>
        <w:t>3.2、服务内容及服务要求</w:t>
      </w:r>
    </w:p>
    <w:p>
      <w:pPr>
        <w:pStyle w:val="4"/>
        <w:ind w:firstLine="480"/>
        <w:jc w:val="left"/>
        <w:outlineLvl w:val="3"/>
      </w:pPr>
      <w:r>
        <w:rPr>
          <w:b/>
          <w:sz w:val="24"/>
        </w:rPr>
        <w:t>3.2.1服务内容</w:t>
      </w:r>
    </w:p>
    <w:p>
      <w:pPr>
        <w:pStyle w:val="4"/>
        <w:jc w:val="left"/>
      </w:pPr>
    </w:p>
    <w:p>
      <w:pPr>
        <w:pStyle w:val="4"/>
        <w:jc w:val="left"/>
      </w:pPr>
    </w:p>
    <w:p>
      <w:pPr>
        <w:pStyle w:val="4"/>
        <w:jc w:val="left"/>
      </w:pPr>
    </w:p>
    <w:p>
      <w:pPr>
        <w:pStyle w:val="4"/>
        <w:jc w:val="left"/>
      </w:pPr>
      <w:r>
        <w:t>采购包1：</w:t>
      </w:r>
    </w:p>
    <w:p>
      <w:pPr>
        <w:pStyle w:val="4"/>
        <w:jc w:val="left"/>
      </w:pPr>
      <w:r>
        <w:t>采购包预算金额（元）: 526,500.00</w:t>
      </w:r>
    </w:p>
    <w:p>
      <w:pPr>
        <w:pStyle w:val="4"/>
        <w:jc w:val="left"/>
      </w:pPr>
      <w:r>
        <w:t>采购包最高限价（元）: 526,500.00</w:t>
      </w:r>
    </w:p>
    <w:p>
      <w:pPr>
        <w:pStyle w:val="4"/>
        <w:jc w:val="left"/>
      </w:pPr>
      <w:r>
        <w:t>供应商报价不允许超过标的金额</w:t>
      </w:r>
    </w:p>
    <w:p>
      <w:pPr>
        <w:pStyle w:val="4"/>
        <w:jc w:val="left"/>
      </w:pPr>
      <w:r>
        <w:t>（招单价的）供应商报价不允许超过标的单价</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21"/>
        <w:gridCol w:w="821"/>
        <w:gridCol w:w="825"/>
        <w:gridCol w:w="1128"/>
        <w:gridCol w:w="821"/>
        <w:gridCol w:w="821"/>
        <w:gridCol w:w="821"/>
        <w:gridCol w:w="821"/>
        <w:gridCol w:w="821"/>
        <w:gridCol w:w="8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left"/>
            </w:pPr>
            <w:r>
              <w:t>序号</w:t>
            </w:r>
          </w:p>
        </w:tc>
        <w:tc>
          <w:tcPr>
            <w:tcW w:w="831" w:type="dxa"/>
          </w:tcPr>
          <w:p>
            <w:pPr>
              <w:pStyle w:val="4"/>
              <w:jc w:val="left"/>
            </w:pPr>
            <w:r>
              <w:t>标的名称</w:t>
            </w:r>
          </w:p>
        </w:tc>
        <w:tc>
          <w:tcPr>
            <w:tcW w:w="831" w:type="dxa"/>
          </w:tcPr>
          <w:p>
            <w:pPr>
              <w:pStyle w:val="4"/>
              <w:jc w:val="left"/>
            </w:pPr>
            <w:r>
              <w:t>数量</w:t>
            </w:r>
          </w:p>
        </w:tc>
        <w:tc>
          <w:tcPr>
            <w:tcW w:w="831" w:type="dxa"/>
          </w:tcPr>
          <w:p>
            <w:pPr>
              <w:pStyle w:val="4"/>
              <w:jc w:val="left"/>
            </w:pPr>
            <w:r>
              <w:t>标的金额 （元）</w:t>
            </w:r>
          </w:p>
        </w:tc>
        <w:tc>
          <w:tcPr>
            <w:tcW w:w="831" w:type="dxa"/>
          </w:tcPr>
          <w:p>
            <w:pPr>
              <w:pStyle w:val="4"/>
              <w:jc w:val="left"/>
            </w:pPr>
            <w:r>
              <w:t>计量单位</w:t>
            </w:r>
          </w:p>
        </w:tc>
        <w:tc>
          <w:tcPr>
            <w:tcW w:w="831" w:type="dxa"/>
          </w:tcPr>
          <w:p>
            <w:pPr>
              <w:pStyle w:val="4"/>
              <w:jc w:val="left"/>
            </w:pPr>
            <w:r>
              <w:t>所属行业</w:t>
            </w:r>
          </w:p>
        </w:tc>
        <w:tc>
          <w:tcPr>
            <w:tcW w:w="831" w:type="dxa"/>
          </w:tcPr>
          <w:p>
            <w:pPr>
              <w:pStyle w:val="4"/>
              <w:jc w:val="left"/>
            </w:pPr>
            <w:r>
              <w:t>是否核心产品</w:t>
            </w:r>
          </w:p>
        </w:tc>
        <w:tc>
          <w:tcPr>
            <w:tcW w:w="831" w:type="dxa"/>
          </w:tcPr>
          <w:p>
            <w:pPr>
              <w:pStyle w:val="4"/>
              <w:jc w:val="left"/>
            </w:pPr>
            <w:r>
              <w:t>是否允许进口产品</w:t>
            </w:r>
          </w:p>
        </w:tc>
        <w:tc>
          <w:tcPr>
            <w:tcW w:w="831" w:type="dxa"/>
          </w:tcPr>
          <w:p>
            <w:pPr>
              <w:pStyle w:val="4"/>
              <w:jc w:val="left"/>
            </w:pPr>
            <w:r>
              <w:t>是否属于节能产品</w:t>
            </w:r>
          </w:p>
        </w:tc>
        <w:tc>
          <w:tcPr>
            <w:tcW w:w="831" w:type="dxa"/>
          </w:tcPr>
          <w:p>
            <w:pPr>
              <w:pStyle w:val="4"/>
              <w:jc w:val="left"/>
            </w:pPr>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left"/>
            </w:pPr>
            <w:r>
              <w:t>1</w:t>
            </w:r>
          </w:p>
        </w:tc>
        <w:tc>
          <w:tcPr>
            <w:tcW w:w="831" w:type="dxa"/>
          </w:tcPr>
          <w:p>
            <w:pPr>
              <w:pStyle w:val="4"/>
              <w:jc w:val="left"/>
            </w:pPr>
            <w:r>
              <w:t>综合办公管理平台</w:t>
            </w:r>
          </w:p>
        </w:tc>
        <w:tc>
          <w:tcPr>
            <w:tcW w:w="831" w:type="dxa"/>
          </w:tcPr>
          <w:p>
            <w:pPr>
              <w:pStyle w:val="4"/>
              <w:jc w:val="right"/>
            </w:pPr>
            <w:r>
              <w:t>1.00</w:t>
            </w:r>
          </w:p>
        </w:tc>
        <w:tc>
          <w:tcPr>
            <w:tcW w:w="831" w:type="dxa"/>
          </w:tcPr>
          <w:p>
            <w:pPr>
              <w:pStyle w:val="4"/>
              <w:jc w:val="right"/>
            </w:pPr>
            <w:r>
              <w:t>526,500.00</w:t>
            </w:r>
          </w:p>
        </w:tc>
        <w:tc>
          <w:tcPr>
            <w:tcW w:w="831" w:type="dxa"/>
          </w:tcPr>
          <w:p>
            <w:pPr>
              <w:pStyle w:val="4"/>
              <w:jc w:val="left"/>
            </w:pPr>
            <w:r>
              <w:t>套</w:t>
            </w:r>
          </w:p>
        </w:tc>
        <w:tc>
          <w:tcPr>
            <w:tcW w:w="831" w:type="dxa"/>
          </w:tcPr>
          <w:p>
            <w:pPr>
              <w:pStyle w:val="4"/>
              <w:jc w:val="left"/>
            </w:pPr>
            <w:r>
              <w:t>软件和信息技术服务业</w:t>
            </w:r>
          </w:p>
        </w:tc>
        <w:tc>
          <w:tcPr>
            <w:tcW w:w="831" w:type="dxa"/>
          </w:tcPr>
          <w:p>
            <w:pPr>
              <w:pStyle w:val="4"/>
              <w:jc w:val="left"/>
            </w:pPr>
            <w:r>
              <w:t>否</w:t>
            </w:r>
          </w:p>
        </w:tc>
        <w:tc>
          <w:tcPr>
            <w:tcW w:w="831" w:type="dxa"/>
          </w:tcPr>
          <w:p>
            <w:pPr>
              <w:pStyle w:val="4"/>
              <w:jc w:val="left"/>
            </w:pPr>
            <w:r>
              <w:t>否</w:t>
            </w:r>
          </w:p>
        </w:tc>
        <w:tc>
          <w:tcPr>
            <w:tcW w:w="831" w:type="dxa"/>
          </w:tcPr>
          <w:p>
            <w:pPr>
              <w:pStyle w:val="4"/>
              <w:jc w:val="left"/>
            </w:pPr>
            <w:r>
              <w:t>否</w:t>
            </w:r>
          </w:p>
        </w:tc>
        <w:tc>
          <w:tcPr>
            <w:tcW w:w="831" w:type="dxa"/>
          </w:tcPr>
          <w:p>
            <w:pPr>
              <w:pStyle w:val="4"/>
              <w:jc w:val="left"/>
            </w:pPr>
            <w:r>
              <w:t>否</w:t>
            </w:r>
          </w:p>
        </w:tc>
      </w:tr>
    </w:tbl>
    <w:p>
      <w:pPr>
        <w:pStyle w:val="4"/>
        <w:ind w:firstLine="480"/>
        <w:jc w:val="left"/>
        <w:outlineLvl w:val="2"/>
      </w:pPr>
      <w:r>
        <w:rPr>
          <w:b/>
          <w:sz w:val="28"/>
        </w:rPr>
        <w:t>3.2.2服务要求</w:t>
      </w:r>
    </w:p>
    <w:p>
      <w:pPr>
        <w:pStyle w:val="4"/>
        <w:jc w:val="left"/>
      </w:pPr>
    </w:p>
    <w:p>
      <w:pPr>
        <w:pStyle w:val="4"/>
        <w:jc w:val="left"/>
      </w:pPr>
    </w:p>
    <w:p>
      <w:pPr>
        <w:pStyle w:val="4"/>
        <w:jc w:val="left"/>
      </w:pPr>
    </w:p>
    <w:p>
      <w:pPr>
        <w:pStyle w:val="4"/>
        <w:jc w:val="left"/>
      </w:pPr>
      <w:r>
        <w:t>采购包1：</w:t>
      </w:r>
    </w:p>
    <w:p>
      <w:pPr>
        <w:pStyle w:val="4"/>
        <w:jc w:val="left"/>
      </w:pPr>
    </w:p>
    <w:p>
      <w:pPr>
        <w:pStyle w:val="4"/>
        <w:jc w:val="left"/>
      </w:pPr>
      <w:r>
        <w:t>标的名称：综合办公管理平台</w:t>
      </w:r>
    </w:p>
    <w:tbl>
      <w:tblPr>
        <w:tblStyle w:val="2"/>
        <w:tblW w:w="8542"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41"/>
        <w:gridCol w:w="635"/>
        <w:gridCol w:w="696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67" w:type="dxa"/>
          </w:tcPr>
          <w:p>
            <w:pPr>
              <w:pStyle w:val="4"/>
              <w:jc w:val="left"/>
            </w:pPr>
            <w:r>
              <w:t>参数性质</w:t>
            </w:r>
          </w:p>
        </w:tc>
        <w:tc>
          <w:tcPr>
            <w:tcW w:w="688" w:type="dxa"/>
          </w:tcPr>
          <w:p>
            <w:pPr>
              <w:pStyle w:val="4"/>
              <w:jc w:val="left"/>
            </w:pPr>
            <w:r>
              <w:t>序号</w:t>
            </w:r>
          </w:p>
        </w:tc>
        <w:tc>
          <w:tcPr>
            <w:tcW w:w="6787" w:type="dxa"/>
          </w:tcPr>
          <w:p>
            <w:pPr>
              <w:pStyle w:val="4"/>
              <w:jc w:val="left"/>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67" w:type="dxa"/>
          </w:tcPr>
          <w:p>
            <w:pPr>
              <w:pStyle w:val="4"/>
              <w:jc w:val="left"/>
            </w:pPr>
            <w:r>
              <w:t>★</w:t>
            </w:r>
          </w:p>
        </w:tc>
        <w:tc>
          <w:tcPr>
            <w:tcW w:w="688" w:type="dxa"/>
          </w:tcPr>
          <w:p>
            <w:pPr>
              <w:pStyle w:val="4"/>
              <w:jc w:val="left"/>
            </w:pPr>
            <w:r>
              <w:t>1</w:t>
            </w:r>
          </w:p>
        </w:tc>
        <w:tc>
          <w:tcPr>
            <w:tcW w:w="6787" w:type="dxa"/>
          </w:tcPr>
          <w:tbl>
            <w:tblPr>
              <w:tblStyle w:val="2"/>
              <w:tblW w:w="6750" w:type="dxa"/>
              <w:tblInd w:w="-88"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199"/>
              <w:gridCol w:w="555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tcBorders>
                    <w:top w:val="single" w:color="000000" w:sz="4" w:space="0"/>
                    <w:left w:val="single" w:color="000000" w:sz="4" w:space="0"/>
                    <w:bottom w:val="single" w:color="000000" w:sz="4" w:space="0"/>
                    <w:right w:val="single" w:color="000000" w:sz="4" w:space="0"/>
                  </w:tcBorders>
                  <w:tcMar>
                    <w:top w:w="0" w:type="dxa"/>
                    <w:left w:w="120" w:type="dxa"/>
                    <w:bottom w:w="0" w:type="dxa"/>
                    <w:right w:w="120" w:type="dxa"/>
                  </w:tcMar>
                </w:tcPr>
                <w:p>
                  <w:pPr>
                    <w:pStyle w:val="4"/>
                    <w:jc w:val="both"/>
                  </w:pPr>
                  <w:r>
                    <w:rPr>
                      <w:rFonts w:ascii="宋体" w:hAnsi="宋体" w:eastAsia="宋体" w:cs="宋体"/>
                      <w:b/>
                      <w:sz w:val="24"/>
                    </w:rPr>
                    <w:t>名称</w:t>
                  </w:r>
                </w:p>
              </w:tc>
              <w:tc>
                <w:tcPr>
                  <w:tcW w:w="5551" w:type="dxa"/>
                  <w:tcBorders>
                    <w:top w:val="single" w:color="000000" w:sz="4" w:space="0"/>
                    <w:left w:val="nil"/>
                    <w:bottom w:val="single" w:color="000000" w:sz="4" w:space="0"/>
                    <w:right w:val="single" w:color="000000" w:sz="4" w:space="0"/>
                  </w:tcBorders>
                  <w:tcMar>
                    <w:top w:w="0" w:type="dxa"/>
                    <w:left w:w="120" w:type="dxa"/>
                    <w:bottom w:w="0" w:type="dxa"/>
                    <w:right w:w="120" w:type="dxa"/>
                  </w:tcMar>
                </w:tcPr>
                <w:p>
                  <w:pPr>
                    <w:pStyle w:val="4"/>
                    <w:ind w:firstLine="482"/>
                    <w:jc w:val="center"/>
                  </w:pPr>
                  <w:r>
                    <w:rPr>
                      <w:rFonts w:ascii="宋体" w:hAnsi="宋体" w:eastAsia="宋体" w:cs="宋体"/>
                      <w:b/>
                      <w:sz w:val="24"/>
                    </w:rPr>
                    <w:t>详细技术参数及要求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tcBorders>
                    <w:top w:val="nil"/>
                    <w:left w:val="single" w:color="000000" w:sz="4" w:space="0"/>
                    <w:bottom w:val="single" w:color="000000" w:sz="4" w:space="0"/>
                    <w:right w:val="single" w:color="000000" w:sz="4" w:space="0"/>
                  </w:tcBorders>
                  <w:tcMar>
                    <w:top w:w="0" w:type="dxa"/>
                    <w:left w:w="120" w:type="dxa"/>
                    <w:bottom w:w="0" w:type="dxa"/>
                    <w:right w:w="120" w:type="dxa"/>
                  </w:tcMar>
                </w:tcPr>
                <w:p>
                  <w:pPr>
                    <w:pStyle w:val="4"/>
                    <w:jc w:val="both"/>
                  </w:pPr>
                  <w:r>
                    <w:rPr>
                      <w:rFonts w:ascii="宋体" w:hAnsi="宋体" w:eastAsia="宋体" w:cs="宋体"/>
                      <w:sz w:val="24"/>
                    </w:rPr>
                    <w:t>基础平台</w:t>
                  </w:r>
                </w:p>
              </w:tc>
              <w:tc>
                <w:tcPr>
                  <w:tcW w:w="5551" w:type="dxa"/>
                  <w:tcBorders>
                    <w:top w:val="nil"/>
                    <w:left w:val="nil"/>
                    <w:bottom w:val="single" w:color="000000" w:sz="4" w:space="0"/>
                    <w:right w:val="single" w:color="000000" w:sz="4" w:space="0"/>
                  </w:tcBorders>
                  <w:tcMar>
                    <w:top w:w="0" w:type="dxa"/>
                    <w:left w:w="120" w:type="dxa"/>
                    <w:bottom w:w="0" w:type="dxa"/>
                    <w:right w:w="120" w:type="dxa"/>
                  </w:tcMar>
                </w:tcPr>
                <w:p>
                  <w:pPr>
                    <w:pStyle w:val="4"/>
                    <w:ind w:firstLine="240"/>
                    <w:jc w:val="both"/>
                  </w:pPr>
                  <w:r>
                    <w:rPr>
                      <w:rFonts w:ascii="宋体" w:hAnsi="宋体" w:eastAsia="宋体" w:cs="宋体"/>
                      <w:sz w:val="24"/>
                    </w:rPr>
                    <w:t>1、综合办公管理平台应具备开发平台、集成平台、动态建模平台、数据可视化分析、数据处理平台和运行平台功能；</w:t>
                  </w:r>
                </w:p>
                <w:p>
                  <w:pPr>
                    <w:pStyle w:val="4"/>
                    <w:ind w:firstLine="240"/>
                    <w:jc w:val="both"/>
                  </w:pPr>
                  <w:r>
                    <w:rPr>
                      <w:rFonts w:ascii="宋体" w:hAnsi="宋体" w:eastAsia="宋体" w:cs="宋体"/>
                      <w:sz w:val="24"/>
                    </w:rPr>
                    <w:t>2、系统需为成熟产品，系统架构采用MVC模式，采用B/S结构设计，服务器端支持Windows、Linux操作系统及MYSQL、国产数据库等数据库；客户端应支持firefox、chrome等多浏览器；</w:t>
                  </w:r>
                </w:p>
                <w:p>
                  <w:pPr>
                    <w:pStyle w:val="4"/>
                    <w:ind w:firstLine="240"/>
                    <w:jc w:val="both"/>
                  </w:pPr>
                  <w:r>
                    <w:rPr>
                      <w:rFonts w:ascii="宋体" w:hAnsi="宋体" w:eastAsia="宋体" w:cs="宋体"/>
                      <w:sz w:val="24"/>
                    </w:rPr>
                    <w:t>★3、平台满足本校区和南校区各部门、各二级学院在统一的平台协作办公，并支持PC、移动端办公，电脑端并发许可不低于100手机端并发许可不低于40；供应商需出具承诺函原件；</w:t>
                  </w:r>
                </w:p>
                <w:p>
                  <w:pPr>
                    <w:pStyle w:val="4"/>
                    <w:ind w:firstLine="240"/>
                    <w:jc w:val="both"/>
                  </w:pPr>
                  <w:r>
                    <w:rPr>
                      <w:rFonts w:ascii="宋体" w:hAnsi="宋体" w:eastAsia="宋体" w:cs="宋体"/>
                      <w:sz w:val="24"/>
                    </w:rPr>
                    <w:t>4、支持IPV6访问；</w:t>
                  </w:r>
                </w:p>
                <w:p>
                  <w:pPr>
                    <w:pStyle w:val="4"/>
                    <w:ind w:firstLine="240"/>
                    <w:jc w:val="both"/>
                  </w:pPr>
                  <w:r>
                    <w:rPr>
                      <w:rFonts w:ascii="宋体" w:hAnsi="宋体" w:eastAsia="宋体" w:cs="宋体"/>
                      <w:sz w:val="24"/>
                    </w:rPr>
                    <w:t>★5、为确保本次项目建设保留原有系统的历史数据，必须在系统建设过程中，将原有系统历史数据梳理入库，供应商需出具承诺函原件；</w:t>
                  </w:r>
                </w:p>
                <w:p>
                  <w:pPr>
                    <w:pStyle w:val="4"/>
                    <w:ind w:firstLine="240"/>
                    <w:jc w:val="both"/>
                  </w:pPr>
                  <w:r>
                    <w:rPr>
                      <w:rFonts w:ascii="宋体" w:hAnsi="宋体" w:eastAsia="宋体" w:cs="宋体"/>
                      <w:sz w:val="24"/>
                    </w:rPr>
                    <w:t>★6、平台具有开放接口，应用集成和平台接口，提供开放、统一的数据接口，明确系统内部的数据通讯协议，系统之间的数据交换标准，支持与第三方软件做好数据接口等；制定统一标准接口和规范，通过接口实现与第三方系统等对接；</w:t>
                  </w:r>
                </w:p>
                <w:p>
                  <w:pPr>
                    <w:pStyle w:val="4"/>
                    <w:ind w:firstLine="240"/>
                    <w:jc w:val="both"/>
                  </w:pPr>
                  <w:r>
                    <w:rPr>
                      <w:rFonts w:ascii="宋体" w:hAnsi="宋体" w:eastAsia="宋体" w:cs="宋体"/>
                      <w:sz w:val="24"/>
                    </w:rPr>
                    <w:t>▲7、必须要求有独立的移动端APP，系统应支持在Android、IOS系统的移动终端上运行；供应商需出具移动应用具备独立APP证明材料；</w:t>
                  </w:r>
                </w:p>
                <w:p>
                  <w:pPr>
                    <w:pStyle w:val="4"/>
                    <w:ind w:firstLine="240"/>
                    <w:jc w:val="both"/>
                  </w:pPr>
                  <w:r>
                    <w:rPr>
                      <w:rFonts w:ascii="宋体" w:hAnsi="宋体" w:eastAsia="宋体" w:cs="宋体"/>
                      <w:sz w:val="24"/>
                    </w:rPr>
                    <w:t>8、手机端支持图形手势密码，可与电脑端同时登录；支持快捷地新建，填写标题，虚拟键盘或者语音，拍照录入，拖动选人，发起文件；</w:t>
                  </w:r>
                </w:p>
                <w:p>
                  <w:pPr>
                    <w:pStyle w:val="4"/>
                    <w:ind w:firstLine="240"/>
                    <w:jc w:val="both"/>
                  </w:pPr>
                  <w:r>
                    <w:rPr>
                      <w:rFonts w:ascii="宋体" w:hAnsi="宋体" w:eastAsia="宋体" w:cs="宋体"/>
                      <w:sz w:val="24"/>
                    </w:rPr>
                    <w:t>9、支持手机上签批公文，提供产品功能截图并加盖供应商鲜章；</w:t>
                  </w:r>
                </w:p>
                <w:p>
                  <w:pPr>
                    <w:pStyle w:val="4"/>
                    <w:ind w:firstLine="240"/>
                    <w:jc w:val="both"/>
                  </w:pPr>
                  <w:r>
                    <w:rPr>
                      <w:rFonts w:ascii="宋体" w:hAnsi="宋体" w:eastAsia="宋体" w:cs="宋体"/>
                      <w:sz w:val="24"/>
                    </w:rPr>
                    <w:t>10、在移动终端上应能发起、转交、处理工作流程，支持手机手写,语音审批；</w:t>
                  </w:r>
                </w:p>
                <w:p>
                  <w:pPr>
                    <w:pStyle w:val="4"/>
                    <w:ind w:firstLine="240"/>
                    <w:jc w:val="both"/>
                  </w:pPr>
                  <w:r>
                    <w:rPr>
                      <w:rFonts w:ascii="宋体" w:hAnsi="宋体" w:eastAsia="宋体" w:cs="宋体"/>
                      <w:sz w:val="24"/>
                    </w:rPr>
                    <w:t>11、移动终端应用能方便、及时处理相关公文、会议及其他政务事务，查看各种发布信息；具有消息发送、信息推送、日程安排提醒、会议助理等功能；支持手机端操作与PC端操作的过程一致性。</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vMerge w:val="restart"/>
                  <w:tcBorders>
                    <w:top w:val="nil"/>
                    <w:left w:val="single" w:color="000000" w:sz="4" w:space="0"/>
                    <w:bottom w:val="single" w:color="000000" w:sz="4" w:space="0"/>
                    <w:right w:val="single" w:color="000000" w:sz="4" w:space="0"/>
                  </w:tcBorders>
                  <w:tcMar>
                    <w:top w:w="0" w:type="dxa"/>
                    <w:left w:w="120" w:type="dxa"/>
                    <w:bottom w:w="0" w:type="dxa"/>
                    <w:right w:w="120" w:type="dxa"/>
                  </w:tcMar>
                </w:tcPr>
                <w:p>
                  <w:pPr>
                    <w:pStyle w:val="4"/>
                    <w:jc w:val="both"/>
                  </w:pPr>
                  <w:r>
                    <w:rPr>
                      <w:rFonts w:ascii="宋体" w:hAnsi="宋体" w:eastAsia="宋体" w:cs="宋体"/>
                      <w:sz w:val="24"/>
                    </w:rPr>
                    <w:t>行政办公管理</w:t>
                  </w:r>
                </w:p>
              </w:tc>
              <w:tc>
                <w:tcPr>
                  <w:tcW w:w="5551" w:type="dxa"/>
                  <w:tcBorders>
                    <w:top w:val="nil"/>
                    <w:left w:val="nil"/>
                    <w:bottom w:val="single" w:color="000000" w:sz="4" w:space="0"/>
                    <w:right w:val="single" w:color="000000" w:sz="4" w:space="0"/>
                  </w:tcBorders>
                  <w:tcMar>
                    <w:top w:w="0" w:type="dxa"/>
                    <w:left w:w="120" w:type="dxa"/>
                    <w:bottom w:w="0" w:type="dxa"/>
                    <w:right w:w="120" w:type="dxa"/>
                  </w:tcMar>
                </w:tcPr>
                <w:p>
                  <w:pPr>
                    <w:pStyle w:val="4"/>
                    <w:ind w:firstLine="240"/>
                    <w:jc w:val="both"/>
                  </w:pPr>
                  <w:r>
                    <w:rPr>
                      <w:rFonts w:ascii="宋体" w:hAnsi="宋体" w:eastAsia="宋体" w:cs="宋体"/>
                      <w:sz w:val="24"/>
                    </w:rPr>
                    <w:t>一、组织架构</w:t>
                  </w:r>
                </w:p>
                <w:p>
                  <w:pPr>
                    <w:pStyle w:val="4"/>
                    <w:ind w:firstLine="240"/>
                    <w:jc w:val="both"/>
                  </w:pPr>
                  <w:r>
                    <w:rPr>
                      <w:rFonts w:ascii="宋体" w:hAnsi="宋体" w:eastAsia="宋体" w:cs="宋体"/>
                      <w:sz w:val="24"/>
                    </w:rPr>
                    <w:t>1、组织架构上下级关系通过配置实现，组织架构和法人主体及核算主体间松耦合，通过建立彼此关系，以满足多层次、多维度的组织机构关系及数据权限和统计分析。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vMerge w:val="continue"/>
                  <w:tcBorders>
                    <w:top w:val="nil"/>
                    <w:left w:val="single" w:color="000000" w:sz="4" w:space="0"/>
                    <w:bottom w:val="single" w:color="000000" w:sz="4" w:space="0"/>
                    <w:right w:val="single" w:color="000000" w:sz="4" w:space="0"/>
                  </w:tcBorders>
                </w:tcPr>
                <w:p/>
              </w:tc>
              <w:tc>
                <w:tcPr>
                  <w:tcW w:w="5551" w:type="dxa"/>
                  <w:tcBorders>
                    <w:top w:val="nil"/>
                    <w:left w:val="nil"/>
                    <w:bottom w:val="single" w:color="000000" w:sz="4" w:space="0"/>
                    <w:right w:val="single" w:color="000000" w:sz="4" w:space="0"/>
                  </w:tcBorders>
                  <w:tcMar>
                    <w:top w:w="0" w:type="dxa"/>
                    <w:left w:w="120" w:type="dxa"/>
                    <w:bottom w:w="0" w:type="dxa"/>
                    <w:right w:w="120" w:type="dxa"/>
                  </w:tcMar>
                </w:tcPr>
                <w:p>
                  <w:pPr>
                    <w:pStyle w:val="4"/>
                    <w:ind w:firstLine="240"/>
                    <w:jc w:val="both"/>
                  </w:pPr>
                  <w:r>
                    <w:rPr>
                      <w:rFonts w:ascii="宋体" w:hAnsi="宋体" w:eastAsia="宋体" w:cs="宋体"/>
                      <w:sz w:val="24"/>
                    </w:rPr>
                    <w:t>二、门户管理</w:t>
                  </w:r>
                </w:p>
                <w:p>
                  <w:pPr>
                    <w:pStyle w:val="4"/>
                    <w:ind w:firstLine="240"/>
                    <w:jc w:val="both"/>
                  </w:pPr>
                  <w:r>
                    <w:rPr>
                      <w:rFonts w:ascii="宋体" w:hAnsi="宋体" w:eastAsia="宋体" w:cs="宋体"/>
                      <w:sz w:val="24"/>
                    </w:rPr>
                    <w:t>1、支持门户定制功能，实现多门户多空间，构建从登录前门户到大屏，从系统主门户到业务门户/职能门户，为学校定制一套完整的门户系统；</w:t>
                  </w:r>
                </w:p>
                <w:p>
                  <w:pPr>
                    <w:pStyle w:val="4"/>
                    <w:ind w:firstLine="240"/>
                    <w:jc w:val="both"/>
                  </w:pPr>
                  <w:r>
                    <w:rPr>
                      <w:rFonts w:ascii="宋体" w:hAnsi="宋体" w:eastAsia="宋体" w:cs="宋体"/>
                      <w:sz w:val="24"/>
                    </w:rPr>
                    <w:t xml:space="preserve">▲2、可根据组织类型（决策层、管理层、项目负责人、个人等）、业务类型（党建工作、项目管理、会议管理、合同管理、资产管理、人事管理等）、移动应用门户要求支持配置，需求进行个性化门户设置，提供产品功能截图并加盖投标人鲜章；                  </w:t>
                  </w:r>
                </w:p>
                <w:p>
                  <w:pPr>
                    <w:pStyle w:val="4"/>
                    <w:ind w:firstLine="240"/>
                    <w:jc w:val="both"/>
                  </w:pPr>
                  <w:r>
                    <w:rPr>
                      <w:rFonts w:ascii="宋体" w:hAnsi="宋体" w:eastAsia="宋体" w:cs="宋体"/>
                      <w:sz w:val="24"/>
                    </w:rPr>
                    <w:t>▲3、在门户空间可以接入和整合各类办公应用以及各类资源与服务，提供标准化展现模板和个性化布局；</w:t>
                  </w:r>
                </w:p>
                <w:p>
                  <w:pPr>
                    <w:pStyle w:val="4"/>
                    <w:ind w:firstLine="240"/>
                    <w:jc w:val="both"/>
                  </w:pPr>
                  <w:r>
                    <w:rPr>
                      <w:rFonts w:ascii="宋体" w:hAnsi="宋体" w:eastAsia="宋体" w:cs="宋体"/>
                      <w:sz w:val="24"/>
                    </w:rPr>
                    <w:t>4、支持提供多终端门户设计器配置化门户搭建，无需代码，无需开发人员介入；支持自定义各项栏目的标题和内容及图片新闻、公文、公告、调查、文档、图表等多种信息类型。</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vMerge w:val="continue"/>
                  <w:tcBorders>
                    <w:top w:val="nil"/>
                    <w:left w:val="single" w:color="000000" w:sz="4" w:space="0"/>
                    <w:bottom w:val="single" w:color="000000" w:sz="4" w:space="0"/>
                    <w:right w:val="single" w:color="000000" w:sz="4" w:space="0"/>
                  </w:tcBorders>
                </w:tcPr>
                <w:p/>
              </w:tc>
              <w:tc>
                <w:tcPr>
                  <w:tcW w:w="5551" w:type="dxa"/>
                  <w:tcBorders>
                    <w:top w:val="nil"/>
                    <w:left w:val="nil"/>
                    <w:bottom w:val="single" w:color="000000" w:sz="4" w:space="0"/>
                    <w:right w:val="single" w:color="000000" w:sz="4" w:space="0"/>
                  </w:tcBorders>
                  <w:tcMar>
                    <w:top w:w="0" w:type="dxa"/>
                    <w:left w:w="120" w:type="dxa"/>
                    <w:bottom w:w="0" w:type="dxa"/>
                    <w:right w:w="120" w:type="dxa"/>
                  </w:tcMar>
                </w:tcPr>
                <w:p>
                  <w:pPr>
                    <w:pStyle w:val="4"/>
                    <w:ind w:firstLine="240"/>
                    <w:jc w:val="both"/>
                  </w:pPr>
                  <w:r>
                    <w:rPr>
                      <w:rFonts w:ascii="宋体" w:hAnsi="宋体" w:eastAsia="宋体" w:cs="宋体"/>
                      <w:sz w:val="24"/>
                    </w:rPr>
                    <w:t>三、公文管理</w:t>
                  </w:r>
                </w:p>
                <w:p>
                  <w:pPr>
                    <w:pStyle w:val="4"/>
                    <w:ind w:firstLine="240"/>
                    <w:jc w:val="both"/>
                  </w:pPr>
                  <w:r>
                    <w:rPr>
                      <w:rFonts w:ascii="宋体" w:hAnsi="宋体" w:eastAsia="宋体" w:cs="宋体"/>
                      <w:sz w:val="24"/>
                    </w:rPr>
                    <w:t>1、公文流转和交换，公文下发、上报和水平发送的公文交换，完整的签报系统，完善的公文档案共享，公文发起单位从文件的草拟、审批到文件的签发和封发并通过公文交换实现组织内部公文的传达，同时可以通过交换中心实现公文的对外的交换，使得公文安全准确地传递到收文单位，公文接收者可以通过公文的签收和登记，进行文件的办理和承办；公文管理涵盖了收文、发文、签报、转发、交换的全部过程；</w:t>
                  </w:r>
                </w:p>
                <w:p>
                  <w:pPr>
                    <w:pStyle w:val="4"/>
                    <w:ind w:firstLine="240"/>
                    <w:jc w:val="both"/>
                  </w:pPr>
                  <w:r>
                    <w:rPr>
                      <w:rFonts w:ascii="宋体" w:hAnsi="宋体" w:eastAsia="宋体" w:cs="宋体"/>
                      <w:sz w:val="24"/>
                    </w:rPr>
                    <w:t>2、具有收发文处理流程功能，可以进行收发监察、督办、催办；可以实现收发文流转的效率分析，办理时间效率情况分析；可以实现单位收文后转发文、阅件转办件流程；</w:t>
                  </w:r>
                </w:p>
                <w:p>
                  <w:pPr>
                    <w:pStyle w:val="4"/>
                    <w:ind w:firstLine="240"/>
                    <w:jc w:val="both"/>
                  </w:pPr>
                  <w:r>
                    <w:rPr>
                      <w:rFonts w:ascii="宋体" w:hAnsi="宋体" w:eastAsia="宋体" w:cs="宋体"/>
                      <w:sz w:val="24"/>
                    </w:rPr>
                    <w:t>3、支持公文电子流转，完成审批、填写意见、修改文件、审核留痕、文件归档功能，发文支持手写签批，支持公文签收跟踪、催收、统计；支持按固定流程和临时流程两种方式进行流转；</w:t>
                  </w:r>
                </w:p>
                <w:p>
                  <w:pPr>
                    <w:pStyle w:val="4"/>
                    <w:ind w:firstLine="240"/>
                    <w:jc w:val="both"/>
                  </w:pPr>
                  <w:r>
                    <w:rPr>
                      <w:rFonts w:ascii="宋体" w:hAnsi="宋体" w:eastAsia="宋体" w:cs="宋体"/>
                      <w:sz w:val="24"/>
                    </w:rPr>
                    <w:t>▲4、对正文的每次修改，要求保留原稿的修改痕迹，支持手写和触摸修改原痕迹留痕，文档有严格的版本控制；对于公文处理过程，多种批示方式：支持如电子签名,手写签批，要求保留日志记录，可以清楚查阅到该公文的审批过程记录,提供产品功能截图并加盖供应商鲜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vMerge w:val="continue"/>
                  <w:tcBorders>
                    <w:top w:val="nil"/>
                    <w:left w:val="single" w:color="000000" w:sz="4" w:space="0"/>
                    <w:bottom w:val="single" w:color="000000" w:sz="4" w:space="0"/>
                    <w:right w:val="single" w:color="000000" w:sz="4" w:space="0"/>
                  </w:tcBorders>
                </w:tcPr>
                <w:p/>
              </w:tc>
              <w:tc>
                <w:tcPr>
                  <w:tcW w:w="5551" w:type="dxa"/>
                  <w:tcBorders>
                    <w:top w:val="nil"/>
                    <w:left w:val="nil"/>
                    <w:bottom w:val="single" w:color="000000" w:sz="4" w:space="0"/>
                    <w:right w:val="single" w:color="000000" w:sz="4" w:space="0"/>
                  </w:tcBorders>
                  <w:tcMar>
                    <w:top w:w="0" w:type="dxa"/>
                    <w:left w:w="120" w:type="dxa"/>
                    <w:bottom w:w="0" w:type="dxa"/>
                    <w:right w:w="120" w:type="dxa"/>
                  </w:tcMar>
                </w:tcPr>
                <w:p>
                  <w:pPr>
                    <w:pStyle w:val="4"/>
                    <w:ind w:firstLine="240"/>
                    <w:jc w:val="both"/>
                  </w:pPr>
                  <w:r>
                    <w:rPr>
                      <w:rFonts w:ascii="宋体" w:hAnsi="宋体" w:eastAsia="宋体" w:cs="宋体"/>
                      <w:sz w:val="24"/>
                    </w:rPr>
                    <w:t>四、表单管理</w:t>
                  </w:r>
                </w:p>
                <w:p>
                  <w:pPr>
                    <w:pStyle w:val="4"/>
                    <w:ind w:firstLine="240"/>
                    <w:jc w:val="both"/>
                  </w:pPr>
                  <w:r>
                    <w:rPr>
                      <w:rFonts w:ascii="宋体" w:hAnsi="宋体" w:eastAsia="宋体" w:cs="宋体"/>
                      <w:sz w:val="24"/>
                    </w:rPr>
                    <w:t>1、具有灵活可配的表单工具，无需本地安装软件和插件，支持单据的在线编辑，修改后保存立即生效；</w:t>
                  </w:r>
                </w:p>
                <w:p>
                  <w:pPr>
                    <w:pStyle w:val="4"/>
                    <w:ind w:firstLine="240"/>
                    <w:jc w:val="both"/>
                  </w:pPr>
                  <w:r>
                    <w:rPr>
                      <w:rFonts w:ascii="宋体" w:hAnsi="宋体" w:eastAsia="宋体" w:cs="宋体"/>
                      <w:sz w:val="24"/>
                    </w:rPr>
                    <w:t>▲2、具有可视化编辑功能，表单内容在数据库里面以字段形式存储，单据设计智能化，具有内嵌内控制度和相关规则的功能，提供产品功能截图并加盖供应商鲜章；</w:t>
                  </w:r>
                </w:p>
                <w:p>
                  <w:pPr>
                    <w:pStyle w:val="4"/>
                    <w:ind w:firstLine="240"/>
                    <w:jc w:val="both"/>
                  </w:pPr>
                  <w:r>
                    <w:rPr>
                      <w:rFonts w:ascii="宋体" w:hAnsi="宋体" w:eastAsia="宋体" w:cs="宋体"/>
                      <w:sz w:val="24"/>
                    </w:rPr>
                    <w:t>3、具体表单控件、公式函数、流程权限、关联触发等核心引擎；</w:t>
                  </w:r>
                </w:p>
                <w:p>
                  <w:pPr>
                    <w:pStyle w:val="4"/>
                    <w:ind w:firstLine="240"/>
                    <w:jc w:val="both"/>
                  </w:pPr>
                  <w:r>
                    <w:rPr>
                      <w:rFonts w:ascii="宋体" w:hAnsi="宋体" w:eastAsia="宋体" w:cs="宋体"/>
                      <w:sz w:val="24"/>
                    </w:rPr>
                    <w:t>▲4、具体自动生成编码规则，自动生成二维码，提供产品功能截图并加盖供应商鲜章；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vMerge w:val="continue"/>
                  <w:tcBorders>
                    <w:top w:val="nil"/>
                    <w:left w:val="single" w:color="000000" w:sz="4" w:space="0"/>
                    <w:bottom w:val="single" w:color="000000" w:sz="4" w:space="0"/>
                    <w:right w:val="single" w:color="000000" w:sz="4" w:space="0"/>
                  </w:tcBorders>
                </w:tcPr>
                <w:p/>
              </w:tc>
              <w:tc>
                <w:tcPr>
                  <w:tcW w:w="5551" w:type="dxa"/>
                  <w:tcBorders>
                    <w:top w:val="nil"/>
                    <w:left w:val="nil"/>
                    <w:bottom w:val="single" w:color="000000" w:sz="4" w:space="0"/>
                    <w:right w:val="single" w:color="000000" w:sz="4" w:space="0"/>
                  </w:tcBorders>
                  <w:tcMar>
                    <w:top w:w="0" w:type="dxa"/>
                    <w:left w:w="120" w:type="dxa"/>
                    <w:bottom w:w="0" w:type="dxa"/>
                    <w:right w:w="120" w:type="dxa"/>
                  </w:tcMar>
                </w:tcPr>
                <w:p>
                  <w:pPr>
                    <w:pStyle w:val="4"/>
                    <w:ind w:firstLine="240"/>
                    <w:jc w:val="both"/>
                  </w:pPr>
                  <w:r>
                    <w:rPr>
                      <w:rFonts w:ascii="宋体" w:hAnsi="宋体" w:eastAsia="宋体" w:cs="宋体"/>
                      <w:sz w:val="24"/>
                    </w:rPr>
                    <w:t>五、应用定制</w:t>
                  </w:r>
                </w:p>
                <w:p>
                  <w:pPr>
                    <w:pStyle w:val="4"/>
                    <w:ind w:firstLine="240"/>
                    <w:jc w:val="both"/>
                  </w:pPr>
                  <w:r>
                    <w:rPr>
                      <w:rFonts w:ascii="宋体" w:hAnsi="宋体" w:eastAsia="宋体" w:cs="宋体"/>
                      <w:sz w:val="24"/>
                    </w:rPr>
                    <w:t>▲1、要求办公平台具备0代码、配置级、一体化、可视化的应用定制平台工具，提供产品功能截图并加盖供应商鲜章；</w:t>
                  </w:r>
                </w:p>
                <w:p>
                  <w:pPr>
                    <w:pStyle w:val="4"/>
                    <w:ind w:firstLine="240"/>
                    <w:jc w:val="both"/>
                  </w:pPr>
                  <w:r>
                    <w:rPr>
                      <w:rFonts w:ascii="宋体" w:hAnsi="宋体" w:eastAsia="宋体" w:cs="宋体"/>
                      <w:sz w:val="24"/>
                    </w:rPr>
                    <w:t>2、具有设计能力、业务展现能力、可维护性、规模交付能力、扩展开发能力、数据联通能力、增强应用特性等；</w:t>
                  </w:r>
                </w:p>
                <w:p>
                  <w:pPr>
                    <w:pStyle w:val="4"/>
                    <w:ind w:firstLine="240"/>
                    <w:jc w:val="both"/>
                  </w:pPr>
                  <w:r>
                    <w:rPr>
                      <w:rFonts w:ascii="宋体" w:hAnsi="宋体" w:eastAsia="宋体" w:cs="宋体"/>
                      <w:sz w:val="24"/>
                    </w:rPr>
                    <w:t>▲3、支持工作台、设计中心、运维中心、监测中心，应用可定制、可调整、可维护、可监测，提供产品功能截图并加盖供应商鲜章；</w:t>
                  </w:r>
                </w:p>
                <w:p>
                  <w:pPr>
                    <w:pStyle w:val="4"/>
                    <w:ind w:firstLine="240"/>
                    <w:jc w:val="both"/>
                  </w:pPr>
                  <w:r>
                    <w:rPr>
                      <w:rFonts w:ascii="宋体" w:hAnsi="宋体" w:eastAsia="宋体" w:cs="宋体"/>
                      <w:sz w:val="24"/>
                    </w:rPr>
                    <w:t>4、支持自定义业务单据、卡片、权限控制、数据字段等，灵活定义数据之间的约束关系、关联关系、回写，基于业务规则的数据计算、函数计算，使得系统的灵活性、表单的运算处理能力可以满足自定义业务流程的实现；</w:t>
                  </w:r>
                </w:p>
                <w:p>
                  <w:pPr>
                    <w:pStyle w:val="4"/>
                    <w:ind w:firstLine="240"/>
                    <w:jc w:val="both"/>
                  </w:pPr>
                  <w:r>
                    <w:rPr>
                      <w:rFonts w:ascii="宋体" w:hAnsi="宋体" w:eastAsia="宋体" w:cs="宋体"/>
                      <w:sz w:val="24"/>
                    </w:rPr>
                    <w:t>5、支持跨业务单据的自有报表分析；</w:t>
                  </w:r>
                </w:p>
                <w:p>
                  <w:pPr>
                    <w:pStyle w:val="4"/>
                    <w:ind w:firstLine="240"/>
                    <w:jc w:val="both"/>
                  </w:pPr>
                  <w:r>
                    <w:rPr>
                      <w:rFonts w:ascii="宋体" w:hAnsi="宋体" w:eastAsia="宋体" w:cs="宋体"/>
                      <w:sz w:val="24"/>
                    </w:rPr>
                    <w:t>6、支持开放式的平台扩展能力，及自定义控件、自定义模板等扩展开发机制，支持基于数据连接和打通能力。</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vMerge w:val="continue"/>
                  <w:tcBorders>
                    <w:top w:val="nil"/>
                    <w:left w:val="single" w:color="000000" w:sz="4" w:space="0"/>
                    <w:bottom w:val="single" w:color="000000" w:sz="4" w:space="0"/>
                    <w:right w:val="single" w:color="000000" w:sz="4" w:space="0"/>
                  </w:tcBorders>
                </w:tcPr>
                <w:p/>
              </w:tc>
              <w:tc>
                <w:tcPr>
                  <w:tcW w:w="5551" w:type="dxa"/>
                  <w:tcBorders>
                    <w:top w:val="nil"/>
                    <w:left w:val="nil"/>
                    <w:bottom w:val="single" w:color="000000" w:sz="4" w:space="0"/>
                    <w:right w:val="single" w:color="000000" w:sz="4" w:space="0"/>
                  </w:tcBorders>
                  <w:tcMar>
                    <w:top w:w="0" w:type="dxa"/>
                    <w:left w:w="120" w:type="dxa"/>
                    <w:bottom w:w="0" w:type="dxa"/>
                    <w:right w:w="120" w:type="dxa"/>
                  </w:tcMar>
                </w:tcPr>
                <w:p>
                  <w:pPr>
                    <w:pStyle w:val="4"/>
                    <w:ind w:firstLine="240"/>
                    <w:jc w:val="both"/>
                  </w:pPr>
                  <w:r>
                    <w:rPr>
                      <w:rFonts w:ascii="宋体" w:hAnsi="宋体" w:eastAsia="宋体" w:cs="宋体"/>
                      <w:sz w:val="24"/>
                    </w:rPr>
                    <w:t>六、工作流引擎</w:t>
                  </w:r>
                </w:p>
                <w:p>
                  <w:pPr>
                    <w:pStyle w:val="4"/>
                    <w:ind w:firstLine="240"/>
                    <w:jc w:val="both"/>
                  </w:pPr>
                  <w:r>
                    <w:rPr>
                      <w:rFonts w:ascii="宋体" w:hAnsi="宋体" w:eastAsia="宋体" w:cs="宋体"/>
                      <w:sz w:val="24"/>
                    </w:rPr>
                    <w:t>1、工作流管理可根据角色、分工和条件的不同，自定义配置业务流程，包括流程的节点管理、流向管理、条件设置、流程样例管理等。具备定义各种工作流程，包括分支、汇总和循环等流程，支持回退、会签、加签等功能，并且可以随意定义工作流程；自动消息提醒，并可根据实际情况进行处理权限的设置；应具备可视化程度较高的流程引擎；可以设置督办时间，实现流程的效率分析，效率报表，图形化的流程可以看到流程的办理状态，办理耗时等；</w:t>
                  </w:r>
                </w:p>
                <w:p>
                  <w:pPr>
                    <w:pStyle w:val="4"/>
                    <w:ind w:firstLine="240"/>
                    <w:jc w:val="both"/>
                  </w:pPr>
                  <w:r>
                    <w:rPr>
                      <w:rFonts w:ascii="宋体" w:hAnsi="宋体" w:eastAsia="宋体" w:cs="宋体"/>
                      <w:sz w:val="24"/>
                    </w:rPr>
                    <w:t>▲2、要求具备固化及自建流程，实现添加、修改、删除等功能，完成文件直传、工作安排、交流、汇报、确认等事务；处理人可以实现以下操作意见填写, 意见常用语, 意见隐藏, 意见震荡回复,加签,减签, 修改正文，修改附件，回退终止等一系列操作,并可根据实际情况进行处理权限的设置，需出具具备固化及自建工作流证明材料并加盖供应商鲜章；</w:t>
                  </w:r>
                </w:p>
                <w:p>
                  <w:pPr>
                    <w:pStyle w:val="4"/>
                    <w:ind w:firstLine="240"/>
                    <w:jc w:val="both"/>
                  </w:pPr>
                  <w:r>
                    <w:rPr>
                      <w:rFonts w:ascii="宋体" w:hAnsi="宋体" w:eastAsia="宋体" w:cs="宋体"/>
                      <w:sz w:val="24"/>
                    </w:rPr>
                    <w:t>▲3、支持附件文件批量上传、下载，提供产品功能截图并加盖供应商鲜章；</w:t>
                  </w:r>
                </w:p>
                <w:p>
                  <w:pPr>
                    <w:pStyle w:val="4"/>
                    <w:ind w:firstLine="240"/>
                    <w:jc w:val="both"/>
                  </w:pPr>
                  <w:r>
                    <w:rPr>
                      <w:rFonts w:ascii="宋体" w:hAnsi="宋体" w:eastAsia="宋体" w:cs="宋体"/>
                      <w:sz w:val="24"/>
                    </w:rPr>
                    <w:t>4、支持工作代办，流程的代理需要明细到代理哪类具体的工作，可勾选，代理有明确的授权期限，可以提前收回流程代理，代理人处理要显示是由谁代理处理的，当事人收回代理后需要再次确认代理人审批的结果；</w:t>
                  </w:r>
                </w:p>
                <w:p>
                  <w:pPr>
                    <w:pStyle w:val="4"/>
                    <w:ind w:firstLine="240"/>
                    <w:jc w:val="both"/>
                  </w:pPr>
                  <w:r>
                    <w:rPr>
                      <w:rFonts w:ascii="宋体" w:hAnsi="宋体" w:eastAsia="宋体" w:cs="宋体"/>
                      <w:sz w:val="24"/>
                    </w:rPr>
                    <w:t>5、工作流具有一键检测节点或分支异常，人员离职、部门调整时及时调整流程，缩短实施周期、降低上线风险。</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vMerge w:val="continue"/>
                  <w:tcBorders>
                    <w:top w:val="nil"/>
                    <w:left w:val="single" w:color="000000" w:sz="4" w:space="0"/>
                    <w:bottom w:val="single" w:color="000000" w:sz="4" w:space="0"/>
                    <w:right w:val="single" w:color="000000" w:sz="4" w:space="0"/>
                  </w:tcBorders>
                </w:tcPr>
                <w:p/>
              </w:tc>
              <w:tc>
                <w:tcPr>
                  <w:tcW w:w="5551" w:type="dxa"/>
                  <w:tcBorders>
                    <w:top w:val="nil"/>
                    <w:left w:val="nil"/>
                    <w:bottom w:val="single" w:color="000000" w:sz="4" w:space="0"/>
                    <w:right w:val="single" w:color="000000" w:sz="4" w:space="0"/>
                  </w:tcBorders>
                  <w:tcMar>
                    <w:top w:w="0" w:type="dxa"/>
                    <w:left w:w="120" w:type="dxa"/>
                    <w:bottom w:w="0" w:type="dxa"/>
                    <w:right w:w="120" w:type="dxa"/>
                  </w:tcMar>
                </w:tcPr>
                <w:p>
                  <w:pPr>
                    <w:pStyle w:val="4"/>
                    <w:ind w:firstLine="240"/>
                    <w:jc w:val="both"/>
                  </w:pPr>
                  <w:r>
                    <w:rPr>
                      <w:rFonts w:ascii="宋体" w:hAnsi="宋体" w:eastAsia="宋体" w:cs="宋体"/>
                      <w:sz w:val="24"/>
                    </w:rPr>
                    <w:t>七、报表中心</w:t>
                  </w:r>
                </w:p>
                <w:p>
                  <w:pPr>
                    <w:pStyle w:val="4"/>
                    <w:ind w:firstLine="240"/>
                    <w:jc w:val="both"/>
                  </w:pPr>
                  <w:r>
                    <w:rPr>
                      <w:rFonts w:ascii="宋体" w:hAnsi="宋体" w:eastAsia="宋体" w:cs="宋体"/>
                      <w:sz w:val="24"/>
                    </w:rPr>
                    <w:t>▲1、要求提供表单报表、Excel数据报表、文件报表、空间组合报表，支持26种报表样式在报表中心统一查看，可依据校内需求自定义统计报表，提供产品功能截图并加盖供应商鲜章。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vMerge w:val="continue"/>
                  <w:tcBorders>
                    <w:top w:val="nil"/>
                    <w:left w:val="single" w:color="000000" w:sz="4" w:space="0"/>
                    <w:bottom w:val="single" w:color="000000" w:sz="4" w:space="0"/>
                    <w:right w:val="single" w:color="000000" w:sz="4" w:space="0"/>
                  </w:tcBorders>
                </w:tcPr>
                <w:p/>
              </w:tc>
              <w:tc>
                <w:tcPr>
                  <w:tcW w:w="5551" w:type="dxa"/>
                  <w:tcBorders>
                    <w:top w:val="nil"/>
                    <w:left w:val="nil"/>
                    <w:bottom w:val="single" w:color="000000" w:sz="4" w:space="0"/>
                    <w:right w:val="single" w:color="000000" w:sz="4" w:space="0"/>
                  </w:tcBorders>
                  <w:tcMar>
                    <w:top w:w="0" w:type="dxa"/>
                    <w:left w:w="120" w:type="dxa"/>
                    <w:bottom w:w="0" w:type="dxa"/>
                    <w:right w:w="120" w:type="dxa"/>
                  </w:tcMar>
                </w:tcPr>
                <w:p>
                  <w:pPr>
                    <w:pStyle w:val="4"/>
                    <w:ind w:firstLine="240"/>
                    <w:jc w:val="both"/>
                  </w:pPr>
                  <w:r>
                    <w:rPr>
                      <w:rFonts w:ascii="宋体" w:hAnsi="宋体" w:eastAsia="宋体" w:cs="宋体"/>
                      <w:sz w:val="24"/>
                    </w:rPr>
                    <w:t>八、通知公告</w:t>
                  </w:r>
                </w:p>
                <w:p>
                  <w:pPr>
                    <w:pStyle w:val="4"/>
                    <w:ind w:firstLine="240"/>
                    <w:jc w:val="both"/>
                  </w:pPr>
                  <w:r>
                    <w:rPr>
                      <w:rFonts w:ascii="宋体" w:hAnsi="宋体" w:eastAsia="宋体" w:cs="宋体"/>
                      <w:sz w:val="24"/>
                    </w:rPr>
                    <w:t>1、提供院内新闻、通知公告、调查、讨论应用，实现院内信息发布、图文共享；</w:t>
                  </w:r>
                </w:p>
                <w:p>
                  <w:pPr>
                    <w:pStyle w:val="4"/>
                    <w:ind w:firstLine="240"/>
                    <w:jc w:val="both"/>
                  </w:pPr>
                  <w:r>
                    <w:rPr>
                      <w:rFonts w:ascii="宋体" w:hAnsi="宋体" w:eastAsia="宋体" w:cs="宋体"/>
                      <w:sz w:val="24"/>
                    </w:rPr>
                    <w:t>▲2、支持公告审核通过后发布，支持公文审核通过后直接转通知公告，提供产品功能截图并加盖供应商鲜章。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vMerge w:val="continue"/>
                  <w:tcBorders>
                    <w:top w:val="nil"/>
                    <w:left w:val="single" w:color="000000" w:sz="4" w:space="0"/>
                    <w:bottom w:val="single" w:color="000000" w:sz="4" w:space="0"/>
                    <w:right w:val="single" w:color="000000" w:sz="4" w:space="0"/>
                  </w:tcBorders>
                </w:tcPr>
                <w:p/>
              </w:tc>
              <w:tc>
                <w:tcPr>
                  <w:tcW w:w="5551" w:type="dxa"/>
                  <w:tcBorders>
                    <w:top w:val="nil"/>
                    <w:left w:val="nil"/>
                    <w:bottom w:val="single" w:color="000000" w:sz="4" w:space="0"/>
                    <w:right w:val="single" w:color="000000" w:sz="4" w:space="0"/>
                  </w:tcBorders>
                  <w:tcMar>
                    <w:top w:w="0" w:type="dxa"/>
                    <w:left w:w="120" w:type="dxa"/>
                    <w:bottom w:w="0" w:type="dxa"/>
                    <w:right w:w="120" w:type="dxa"/>
                  </w:tcMar>
                </w:tcPr>
                <w:p>
                  <w:pPr>
                    <w:pStyle w:val="4"/>
                    <w:ind w:firstLine="240"/>
                    <w:jc w:val="both"/>
                  </w:pPr>
                  <w:r>
                    <w:rPr>
                      <w:rFonts w:ascii="宋体" w:hAnsi="宋体" w:eastAsia="宋体" w:cs="宋体"/>
                      <w:sz w:val="24"/>
                    </w:rPr>
                    <w:t>九、日程安排</w:t>
                  </w:r>
                </w:p>
                <w:p>
                  <w:pPr>
                    <w:pStyle w:val="4"/>
                    <w:ind w:firstLine="240"/>
                    <w:jc w:val="both"/>
                  </w:pPr>
                  <w:r>
                    <w:rPr>
                      <w:rFonts w:ascii="宋体" w:hAnsi="宋体" w:eastAsia="宋体" w:cs="宋体"/>
                      <w:sz w:val="24"/>
                    </w:rPr>
                    <w:t>1、基本功能要求：相当于个人工作台历，用于安排个人的工作、活动、计划等事项；可以在系统中制定个人或部门的日计划和周计划等；用户可设定日程共享公开的项目和范围；系统主页面主动提醒；</w:t>
                  </w:r>
                </w:p>
                <w:p>
                  <w:pPr>
                    <w:pStyle w:val="4"/>
                    <w:ind w:firstLine="240"/>
                    <w:jc w:val="both"/>
                  </w:pPr>
                  <w:r>
                    <w:rPr>
                      <w:rFonts w:ascii="宋体" w:hAnsi="宋体" w:eastAsia="宋体" w:cs="宋体"/>
                      <w:sz w:val="24"/>
                    </w:rPr>
                    <w:t>▲2、领导日程安排，可代为领导安排日程；领导一周动态，仅供有权限部门或个人查看，权限支持按需配置，也可形成日程表，向有关人员发放，提供产品功能截图并加盖供应商鲜章；</w:t>
                  </w:r>
                </w:p>
                <w:p>
                  <w:pPr>
                    <w:pStyle w:val="4"/>
                    <w:ind w:firstLine="240"/>
                    <w:jc w:val="both"/>
                  </w:pPr>
                  <w:r>
                    <w:rPr>
                      <w:rFonts w:ascii="宋体" w:hAnsi="宋体" w:eastAsia="宋体" w:cs="宋体"/>
                      <w:sz w:val="24"/>
                    </w:rPr>
                    <w:t>3、日程安排可以同步到手持终端（手机或pad设备）。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vMerge w:val="continue"/>
                  <w:tcBorders>
                    <w:top w:val="nil"/>
                    <w:left w:val="single" w:color="000000" w:sz="4" w:space="0"/>
                    <w:bottom w:val="single" w:color="000000" w:sz="4" w:space="0"/>
                    <w:right w:val="single" w:color="000000" w:sz="4" w:space="0"/>
                  </w:tcBorders>
                </w:tcPr>
                <w:p/>
              </w:tc>
              <w:tc>
                <w:tcPr>
                  <w:tcW w:w="5551" w:type="dxa"/>
                  <w:tcBorders>
                    <w:top w:val="nil"/>
                    <w:left w:val="nil"/>
                    <w:bottom w:val="single" w:color="000000" w:sz="4" w:space="0"/>
                    <w:right w:val="single" w:color="000000" w:sz="4" w:space="0"/>
                  </w:tcBorders>
                  <w:tcMar>
                    <w:top w:w="0" w:type="dxa"/>
                    <w:left w:w="120" w:type="dxa"/>
                    <w:bottom w:w="0" w:type="dxa"/>
                    <w:right w:w="120" w:type="dxa"/>
                  </w:tcMar>
                </w:tcPr>
                <w:p>
                  <w:pPr>
                    <w:pStyle w:val="4"/>
                    <w:ind w:firstLine="240"/>
                    <w:jc w:val="both"/>
                  </w:pPr>
                  <w:r>
                    <w:rPr>
                      <w:rFonts w:ascii="宋体" w:hAnsi="宋体" w:eastAsia="宋体" w:cs="宋体"/>
                      <w:sz w:val="24"/>
                    </w:rPr>
                    <w:t>十、文档中心</w:t>
                  </w:r>
                </w:p>
                <w:p>
                  <w:pPr>
                    <w:pStyle w:val="4"/>
                    <w:ind w:firstLine="240"/>
                    <w:jc w:val="both"/>
                  </w:pPr>
                  <w:r>
                    <w:rPr>
                      <w:rFonts w:ascii="宋体" w:hAnsi="宋体" w:eastAsia="宋体" w:cs="宋体"/>
                      <w:sz w:val="24"/>
                    </w:rPr>
                    <w:t>1、要求提供文档库管理、知识广场、知识地图、知识门户、知识检索、文档中心、知识积分管理，实现文档知识的上传、查看、下载、分享、收藏、互动等；</w:t>
                  </w:r>
                </w:p>
                <w:p>
                  <w:pPr>
                    <w:pStyle w:val="4"/>
                    <w:ind w:firstLine="240"/>
                    <w:jc w:val="both"/>
                  </w:pPr>
                  <w:r>
                    <w:rPr>
                      <w:rFonts w:ascii="宋体" w:hAnsi="宋体" w:eastAsia="宋体" w:cs="宋体"/>
                      <w:sz w:val="24"/>
                    </w:rPr>
                    <w:t>2、提供公文、流程表单、流程附件、新闻、公告等归档能力；</w:t>
                  </w:r>
                </w:p>
                <w:p>
                  <w:pPr>
                    <w:pStyle w:val="4"/>
                    <w:ind w:firstLine="240"/>
                    <w:jc w:val="both"/>
                  </w:pPr>
                  <w:r>
                    <w:rPr>
                      <w:rFonts w:ascii="宋体" w:hAnsi="宋体" w:eastAsia="宋体" w:cs="宋体"/>
                      <w:sz w:val="24"/>
                    </w:rPr>
                    <w:t>3、与BPM流程结合，提供知识审批能力，支持通过流程进行权限申请、文档修改、删除、上传的等管理，提供产品功能截图并加盖供应商鲜章。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vMerge w:val="continue"/>
                  <w:tcBorders>
                    <w:top w:val="nil"/>
                    <w:left w:val="single" w:color="000000" w:sz="4" w:space="0"/>
                    <w:bottom w:val="single" w:color="000000" w:sz="4" w:space="0"/>
                    <w:right w:val="single" w:color="000000" w:sz="4" w:space="0"/>
                  </w:tcBorders>
                </w:tcPr>
                <w:p/>
              </w:tc>
              <w:tc>
                <w:tcPr>
                  <w:tcW w:w="5551" w:type="dxa"/>
                  <w:tcBorders>
                    <w:top w:val="nil"/>
                    <w:left w:val="nil"/>
                    <w:bottom w:val="single" w:color="000000" w:sz="4" w:space="0"/>
                    <w:right w:val="single" w:color="000000" w:sz="4" w:space="0"/>
                  </w:tcBorders>
                  <w:tcMar>
                    <w:top w:w="0" w:type="dxa"/>
                    <w:left w:w="120" w:type="dxa"/>
                    <w:bottom w:w="0" w:type="dxa"/>
                    <w:right w:w="120" w:type="dxa"/>
                  </w:tcMar>
                </w:tcPr>
                <w:p>
                  <w:pPr>
                    <w:pStyle w:val="4"/>
                    <w:ind w:firstLine="240"/>
                    <w:jc w:val="both"/>
                  </w:pPr>
                  <w:r>
                    <w:rPr>
                      <w:rFonts w:ascii="宋体" w:hAnsi="宋体" w:eastAsia="宋体" w:cs="宋体"/>
                      <w:sz w:val="24"/>
                    </w:rPr>
                    <w:t>十一、会议管理</w:t>
                  </w:r>
                </w:p>
                <w:p>
                  <w:pPr>
                    <w:pStyle w:val="4"/>
                    <w:ind w:firstLine="240"/>
                    <w:jc w:val="both"/>
                  </w:pPr>
                  <w:r>
                    <w:rPr>
                      <w:rFonts w:ascii="宋体" w:hAnsi="宋体" w:eastAsia="宋体" w:cs="宋体"/>
                      <w:sz w:val="24"/>
                    </w:rPr>
                    <w:t>1、提供会议室预定→会议通知→回执→参会→会议纪要→会议任务等全过程管理，支持会议二维码（支持会议签到、会议室预订、外部会议邀请码），提供产品功能截图并加盖投标人鲜章；</w:t>
                  </w:r>
                </w:p>
                <w:p>
                  <w:pPr>
                    <w:pStyle w:val="4"/>
                    <w:ind w:firstLine="240"/>
                    <w:jc w:val="both"/>
                  </w:pPr>
                  <w:r>
                    <w:rPr>
                      <w:rFonts w:ascii="宋体" w:hAnsi="宋体" w:eastAsia="宋体" w:cs="宋体"/>
                      <w:sz w:val="24"/>
                    </w:rPr>
                    <w:t>2、提供会议审批能力：支持会议通知和会议纪流程审批后发布；</w:t>
                  </w:r>
                </w:p>
                <w:p>
                  <w:pPr>
                    <w:pStyle w:val="4"/>
                    <w:ind w:firstLine="240"/>
                    <w:jc w:val="both"/>
                  </w:pPr>
                  <w:r>
                    <w:rPr>
                      <w:rFonts w:ascii="宋体" w:hAnsi="宋体" w:eastAsia="宋体" w:cs="宋体"/>
                      <w:sz w:val="24"/>
                    </w:rPr>
                    <w:t>3、会议可以指定人员上传会议纪要，方便与会人员查阅、审定会议纪要；对收到的会议通知进行自动归集、提醒，提供产品功能截图并加盖供应商鲜章；</w:t>
                  </w:r>
                </w:p>
                <w:p>
                  <w:pPr>
                    <w:pStyle w:val="4"/>
                    <w:ind w:firstLine="240"/>
                    <w:jc w:val="both"/>
                  </w:pPr>
                  <w:r>
                    <w:rPr>
                      <w:rFonts w:ascii="宋体" w:hAnsi="宋体" w:eastAsia="宋体" w:cs="宋体"/>
                      <w:sz w:val="24"/>
                    </w:rPr>
                    <w:t>▲4、提供会议室预定，支持图型化会议室看板功能，提供产品功能截图并加盖供应商鲜章；</w:t>
                  </w:r>
                </w:p>
                <w:p>
                  <w:pPr>
                    <w:pStyle w:val="4"/>
                    <w:ind w:firstLine="240"/>
                    <w:jc w:val="both"/>
                  </w:pPr>
                  <w:r>
                    <w:rPr>
                      <w:rFonts w:ascii="宋体" w:hAnsi="宋体" w:eastAsia="宋体" w:cs="宋体"/>
                      <w:sz w:val="24"/>
                    </w:rPr>
                    <w:t>▲5、支持会议二维码（支持会议签到、会议室预订、外部会议邀请码），提供产品功能截图并加盖供应商鲜章。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vMerge w:val="continue"/>
                  <w:tcBorders>
                    <w:top w:val="nil"/>
                    <w:left w:val="single" w:color="000000" w:sz="4" w:space="0"/>
                    <w:bottom w:val="single" w:color="000000" w:sz="4" w:space="0"/>
                    <w:right w:val="single" w:color="000000" w:sz="4" w:space="0"/>
                  </w:tcBorders>
                </w:tcPr>
                <w:p/>
              </w:tc>
              <w:tc>
                <w:tcPr>
                  <w:tcW w:w="5551" w:type="dxa"/>
                  <w:tcBorders>
                    <w:top w:val="nil"/>
                    <w:left w:val="nil"/>
                    <w:bottom w:val="single" w:color="000000" w:sz="4" w:space="0"/>
                    <w:right w:val="single" w:color="000000" w:sz="4" w:space="0"/>
                  </w:tcBorders>
                  <w:tcMar>
                    <w:top w:w="0" w:type="dxa"/>
                    <w:left w:w="120" w:type="dxa"/>
                    <w:bottom w:w="0" w:type="dxa"/>
                    <w:right w:w="120" w:type="dxa"/>
                  </w:tcMar>
                </w:tcPr>
                <w:p>
                  <w:pPr>
                    <w:pStyle w:val="4"/>
                    <w:ind w:firstLine="240"/>
                    <w:jc w:val="both"/>
                  </w:pPr>
                  <w:r>
                    <w:rPr>
                      <w:rFonts w:ascii="宋体" w:hAnsi="宋体" w:eastAsia="宋体" w:cs="宋体"/>
                      <w:sz w:val="24"/>
                    </w:rPr>
                    <w:t>十二、日常事务中心</w:t>
                  </w:r>
                </w:p>
                <w:p>
                  <w:pPr>
                    <w:pStyle w:val="4"/>
                    <w:ind w:firstLine="240"/>
                    <w:jc w:val="both"/>
                  </w:pPr>
                  <w:r>
                    <w:rPr>
                      <w:rFonts w:ascii="宋体" w:hAnsi="宋体" w:eastAsia="宋体" w:cs="宋体"/>
                      <w:sz w:val="24"/>
                    </w:rPr>
                    <w:t>1、要求应包含公务接待管理、印章管理、合同会签管理等。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vMerge w:val="continue"/>
                  <w:tcBorders>
                    <w:top w:val="nil"/>
                    <w:left w:val="single" w:color="000000" w:sz="4" w:space="0"/>
                    <w:bottom w:val="single" w:color="000000" w:sz="4" w:space="0"/>
                    <w:right w:val="single" w:color="000000" w:sz="4" w:space="0"/>
                  </w:tcBorders>
                </w:tcPr>
                <w:p/>
              </w:tc>
              <w:tc>
                <w:tcPr>
                  <w:tcW w:w="5551" w:type="dxa"/>
                  <w:tcBorders>
                    <w:top w:val="nil"/>
                    <w:left w:val="nil"/>
                    <w:bottom w:val="single" w:color="000000" w:sz="4" w:space="0"/>
                    <w:right w:val="single" w:color="000000" w:sz="4" w:space="0"/>
                  </w:tcBorders>
                  <w:tcMar>
                    <w:top w:w="0" w:type="dxa"/>
                    <w:left w:w="120" w:type="dxa"/>
                    <w:bottom w:w="0" w:type="dxa"/>
                    <w:right w:w="120" w:type="dxa"/>
                  </w:tcMar>
                </w:tcPr>
                <w:p>
                  <w:pPr>
                    <w:pStyle w:val="4"/>
                    <w:ind w:firstLine="240"/>
                    <w:jc w:val="both"/>
                  </w:pPr>
                  <w:r>
                    <w:rPr>
                      <w:rFonts w:ascii="宋体" w:hAnsi="宋体" w:eastAsia="宋体" w:cs="宋体"/>
                      <w:sz w:val="24"/>
                    </w:rPr>
                    <w:t>十三、平台内文件检索</w:t>
                  </w:r>
                </w:p>
                <w:p>
                  <w:pPr>
                    <w:pStyle w:val="4"/>
                    <w:ind w:firstLine="240"/>
                    <w:jc w:val="both"/>
                  </w:pPr>
                  <w:r>
                    <w:rPr>
                      <w:rFonts w:ascii="宋体" w:hAnsi="宋体" w:eastAsia="宋体" w:cs="宋体"/>
                      <w:sz w:val="24"/>
                    </w:rPr>
                    <w:t>1、要求平台内检索公共共享、授权允许、个人收存等文档资料信息；</w:t>
                  </w:r>
                </w:p>
                <w:p>
                  <w:pPr>
                    <w:pStyle w:val="4"/>
                    <w:ind w:firstLine="240"/>
                    <w:jc w:val="both"/>
                  </w:pPr>
                  <w:r>
                    <w:rPr>
                      <w:rFonts w:ascii="宋体" w:hAnsi="宋体" w:eastAsia="宋体" w:cs="宋体"/>
                      <w:sz w:val="24"/>
                    </w:rPr>
                    <w:t>2、支持office、PDF附件中的正文检索，提供产品功能截图；</w:t>
                  </w:r>
                </w:p>
                <w:p>
                  <w:pPr>
                    <w:pStyle w:val="4"/>
                    <w:ind w:firstLine="240"/>
                    <w:jc w:val="both"/>
                  </w:pPr>
                  <w:r>
                    <w:rPr>
                      <w:rFonts w:ascii="宋体" w:hAnsi="宋体" w:eastAsia="宋体" w:cs="宋体"/>
                      <w:sz w:val="24"/>
                    </w:rPr>
                    <w:t>3、使用分布式全文检索引擎，基于人员权限，对系统数据进行检索，检索内容，智能检索支持问答式检索、热搜推荐、分类呈现，搜索结果按应用分类，并结构化呈现每项结果的信息，更便于快速识别信息。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vMerge w:val="restart"/>
                  <w:tcBorders>
                    <w:top w:val="nil"/>
                    <w:left w:val="single" w:color="000000" w:sz="4" w:space="0"/>
                    <w:bottom w:val="single" w:color="000000" w:sz="4" w:space="0"/>
                    <w:right w:val="single" w:color="000000" w:sz="4" w:space="0"/>
                  </w:tcBorders>
                  <w:tcMar>
                    <w:top w:w="0" w:type="dxa"/>
                    <w:left w:w="120" w:type="dxa"/>
                    <w:bottom w:w="0" w:type="dxa"/>
                    <w:right w:w="120" w:type="dxa"/>
                  </w:tcMar>
                </w:tcPr>
                <w:p>
                  <w:pPr>
                    <w:pStyle w:val="4"/>
                    <w:jc w:val="center"/>
                  </w:pPr>
                  <w:r>
                    <w:rPr>
                      <w:rFonts w:ascii="宋体" w:hAnsi="宋体" w:eastAsia="宋体" w:cs="宋体"/>
                      <w:sz w:val="24"/>
                    </w:rPr>
                    <w:t>业务管理</w:t>
                  </w:r>
                </w:p>
              </w:tc>
              <w:tc>
                <w:tcPr>
                  <w:tcW w:w="5551" w:type="dxa"/>
                  <w:tcBorders>
                    <w:top w:val="nil"/>
                    <w:left w:val="nil"/>
                    <w:bottom w:val="single" w:color="000000" w:sz="4" w:space="0"/>
                    <w:right w:val="single" w:color="000000" w:sz="4" w:space="0"/>
                  </w:tcBorders>
                  <w:tcMar>
                    <w:top w:w="0" w:type="dxa"/>
                    <w:left w:w="120" w:type="dxa"/>
                    <w:bottom w:w="0" w:type="dxa"/>
                    <w:right w:w="120" w:type="dxa"/>
                  </w:tcMar>
                </w:tcPr>
                <w:p>
                  <w:pPr>
                    <w:pStyle w:val="4"/>
                    <w:ind w:firstLine="240"/>
                    <w:jc w:val="both"/>
                  </w:pPr>
                  <w:r>
                    <w:rPr>
                      <w:rFonts w:ascii="宋体" w:hAnsi="宋体" w:eastAsia="宋体" w:cs="宋体"/>
                      <w:sz w:val="24"/>
                    </w:rPr>
                    <w:t>一、印章管理</w:t>
                  </w:r>
                </w:p>
                <w:p>
                  <w:pPr>
                    <w:pStyle w:val="4"/>
                    <w:ind w:firstLine="240"/>
                    <w:jc w:val="both"/>
                  </w:pPr>
                  <w:r>
                    <w:rPr>
                      <w:rFonts w:ascii="宋体" w:hAnsi="宋体" w:eastAsia="宋体" w:cs="宋体"/>
                      <w:sz w:val="24"/>
                    </w:rPr>
                    <w:t>教职工申请印章的使用，凡在流程结束后需要进行印章使用的，均可以由系统自动发起印章使用流程。</w:t>
                  </w:r>
                </w:p>
                <w:p>
                  <w:pPr>
                    <w:pStyle w:val="4"/>
                    <w:ind w:firstLine="240"/>
                    <w:jc w:val="both"/>
                  </w:pPr>
                  <w:r>
                    <w:rPr>
                      <w:rFonts w:ascii="宋体" w:hAnsi="宋体" w:eastAsia="宋体" w:cs="宋体"/>
                      <w:sz w:val="24"/>
                    </w:rPr>
                    <w:t>1、单次申请多个印章的使用，支持不同的印章管理员记录印章的实际使用情况；</w:t>
                  </w:r>
                </w:p>
                <w:p>
                  <w:pPr>
                    <w:pStyle w:val="4"/>
                    <w:ind w:firstLine="240"/>
                    <w:jc w:val="both"/>
                  </w:pPr>
                  <w:r>
                    <w:rPr>
                      <w:rFonts w:ascii="宋体" w:hAnsi="宋体" w:eastAsia="宋体" w:cs="宋体"/>
                      <w:sz w:val="24"/>
                    </w:rPr>
                    <w:t>2、支持由其他审批流程自动发起印章使用流程时，可简化审批，直接送达印章管理人员处；</w:t>
                  </w:r>
                </w:p>
                <w:p>
                  <w:pPr>
                    <w:pStyle w:val="4"/>
                    <w:ind w:firstLine="240"/>
                    <w:jc w:val="both"/>
                  </w:pPr>
                  <w:r>
                    <w:rPr>
                      <w:rFonts w:ascii="宋体" w:hAnsi="宋体" w:eastAsia="宋体" w:cs="宋体"/>
                      <w:sz w:val="24"/>
                    </w:rPr>
                    <w:t>3、支持由统计印章的使用情况汇总。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vMerge w:val="continue"/>
                  <w:tcBorders>
                    <w:top w:val="nil"/>
                    <w:left w:val="single" w:color="000000" w:sz="4" w:space="0"/>
                    <w:bottom w:val="single" w:color="000000" w:sz="4" w:space="0"/>
                    <w:right w:val="single" w:color="000000" w:sz="4" w:space="0"/>
                  </w:tcBorders>
                </w:tcPr>
                <w:p/>
              </w:tc>
              <w:tc>
                <w:tcPr>
                  <w:tcW w:w="5551" w:type="dxa"/>
                  <w:tcBorders>
                    <w:top w:val="nil"/>
                    <w:left w:val="nil"/>
                    <w:bottom w:val="single" w:color="000000" w:sz="4" w:space="0"/>
                    <w:right w:val="single" w:color="000000" w:sz="4" w:space="0"/>
                  </w:tcBorders>
                  <w:tcMar>
                    <w:top w:w="0" w:type="dxa"/>
                    <w:left w:w="120" w:type="dxa"/>
                    <w:bottom w:w="0" w:type="dxa"/>
                    <w:right w:w="120" w:type="dxa"/>
                  </w:tcMar>
                </w:tcPr>
                <w:p>
                  <w:pPr>
                    <w:pStyle w:val="4"/>
                    <w:ind w:firstLine="240"/>
                    <w:jc w:val="both"/>
                  </w:pPr>
                  <w:r>
                    <w:rPr>
                      <w:rFonts w:ascii="宋体" w:hAnsi="宋体" w:eastAsia="宋体" w:cs="宋体"/>
                      <w:sz w:val="24"/>
                    </w:rPr>
                    <w:t>二、督办管理</w:t>
                  </w:r>
                </w:p>
                <w:p>
                  <w:pPr>
                    <w:pStyle w:val="4"/>
                    <w:ind w:firstLine="240"/>
                    <w:jc w:val="both"/>
                  </w:pPr>
                  <w:r>
                    <w:rPr>
                      <w:rFonts w:ascii="宋体" w:hAnsi="宋体" w:eastAsia="宋体" w:cs="宋体"/>
                      <w:sz w:val="24"/>
                    </w:rPr>
                    <w:t>1、必须满足重大项目督办、系统发放督办通知；支持督办进度自动更新；</w:t>
                  </w:r>
                </w:p>
                <w:p>
                  <w:pPr>
                    <w:pStyle w:val="4"/>
                    <w:ind w:firstLine="240"/>
                    <w:jc w:val="both"/>
                  </w:pPr>
                  <w:r>
                    <w:rPr>
                      <w:rFonts w:ascii="宋体" w:hAnsi="宋体" w:eastAsia="宋体" w:cs="宋体"/>
                      <w:sz w:val="24"/>
                    </w:rPr>
                    <w:t>2、支持临期事项、预算使用预警提醒，事项超期提醒单由系统自动触发，超期事项多种反馈方式，且为必选，超期前阶段性提醒消息可穿透查看档案，保证超期必有反馈；</w:t>
                  </w:r>
                </w:p>
                <w:p>
                  <w:pPr>
                    <w:pStyle w:val="4"/>
                    <w:ind w:firstLine="240"/>
                    <w:jc w:val="both"/>
                  </w:pPr>
                  <w:r>
                    <w:rPr>
                      <w:rFonts w:ascii="宋体" w:hAnsi="宋体" w:eastAsia="宋体" w:cs="宋体"/>
                      <w:sz w:val="24"/>
                    </w:rPr>
                    <w:t>3、支持督办分类汇总功能；</w:t>
                  </w:r>
                </w:p>
                <w:p>
                  <w:pPr>
                    <w:pStyle w:val="4"/>
                    <w:ind w:firstLine="240"/>
                    <w:jc w:val="both"/>
                  </w:pPr>
                  <w:r>
                    <w:rPr>
                      <w:rFonts w:ascii="宋体" w:hAnsi="宋体" w:eastAsia="宋体" w:cs="宋体"/>
                      <w:sz w:val="24"/>
                    </w:rPr>
                    <w:t>4、通过统一工作门户进行督查督办事项处理，系统自动分权管理；</w:t>
                  </w:r>
                </w:p>
                <w:p>
                  <w:pPr>
                    <w:pStyle w:val="4"/>
                    <w:ind w:firstLine="240"/>
                    <w:jc w:val="both"/>
                  </w:pPr>
                  <w:r>
                    <w:rPr>
                      <w:rFonts w:ascii="宋体" w:hAnsi="宋体" w:eastAsia="宋体" w:cs="宋体"/>
                      <w:sz w:val="24"/>
                    </w:rPr>
                    <w:t>5、立项申请审批通过后，自动完成档案的建立，并触发任务分解单至主办人工作桌面，提供产品功能截图并加盖供应商鲜章；</w:t>
                  </w:r>
                </w:p>
                <w:p>
                  <w:pPr>
                    <w:pStyle w:val="4"/>
                    <w:ind w:firstLine="240"/>
                    <w:jc w:val="both"/>
                  </w:pPr>
                  <w:r>
                    <w:rPr>
                      <w:rFonts w:ascii="宋体" w:hAnsi="宋体" w:eastAsia="宋体" w:cs="宋体"/>
                      <w:sz w:val="24"/>
                    </w:rPr>
                    <w:t>6、跟踪频率联动反馈单自动触发周期，计划起止时间联动任务状态及超期提醒，提供产品功能截图并加盖供应商鲜章；</w:t>
                  </w:r>
                </w:p>
                <w:p>
                  <w:pPr>
                    <w:pStyle w:val="4"/>
                    <w:ind w:firstLine="240"/>
                    <w:jc w:val="both"/>
                  </w:pPr>
                  <w:r>
                    <w:rPr>
                      <w:rFonts w:ascii="宋体" w:hAnsi="宋体" w:eastAsia="宋体" w:cs="宋体"/>
                      <w:sz w:val="24"/>
                    </w:rPr>
                    <w:t>7、执行信息分段呈现，总体进展呈现事项进展情况 可以穿透查看事项第一次反馈、最后一次反馈、最新反馈情况，提供产品功能截图并加盖供应商鲜章；</w:t>
                  </w:r>
                </w:p>
                <w:p>
                  <w:pPr>
                    <w:pStyle w:val="4"/>
                    <w:ind w:firstLine="240"/>
                    <w:jc w:val="both"/>
                  </w:pPr>
                  <w:r>
                    <w:rPr>
                      <w:rFonts w:ascii="宋体" w:hAnsi="宋体" w:eastAsia="宋体" w:cs="宋体"/>
                      <w:sz w:val="24"/>
                    </w:rPr>
                    <w:t>8、事项信息由档案自动带入，系统根据事项的反馈频率要求和实际开始日期。定期将单据推送至主办人工作桌面，同时主办人也可手动发起，系统将自动筛选出属于登录人主办的且是未开始、进行中、超期状态的事项进行呈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vMerge w:val="continue"/>
                  <w:tcBorders>
                    <w:top w:val="nil"/>
                    <w:left w:val="single" w:color="000000" w:sz="4" w:space="0"/>
                    <w:bottom w:val="single" w:color="000000" w:sz="4" w:space="0"/>
                    <w:right w:val="single" w:color="000000" w:sz="4" w:space="0"/>
                  </w:tcBorders>
                </w:tcPr>
                <w:p/>
              </w:tc>
              <w:tc>
                <w:tcPr>
                  <w:tcW w:w="5551" w:type="dxa"/>
                  <w:tcBorders>
                    <w:top w:val="nil"/>
                    <w:left w:val="nil"/>
                    <w:bottom w:val="single" w:color="000000" w:sz="4" w:space="0"/>
                    <w:right w:val="single" w:color="000000" w:sz="4" w:space="0"/>
                  </w:tcBorders>
                  <w:tcMar>
                    <w:top w:w="0" w:type="dxa"/>
                    <w:left w:w="120" w:type="dxa"/>
                    <w:bottom w:w="0" w:type="dxa"/>
                    <w:right w:w="120" w:type="dxa"/>
                  </w:tcMar>
                </w:tcPr>
                <w:p>
                  <w:pPr>
                    <w:pStyle w:val="4"/>
                    <w:ind w:firstLine="240"/>
                    <w:jc w:val="both"/>
                  </w:pPr>
                  <w:r>
                    <w:rPr>
                      <w:rFonts w:ascii="宋体" w:hAnsi="宋体" w:eastAsia="宋体" w:cs="宋体"/>
                      <w:sz w:val="24"/>
                    </w:rPr>
                    <w:t>三、议题管理</w:t>
                  </w:r>
                </w:p>
                <w:p>
                  <w:pPr>
                    <w:pStyle w:val="4"/>
                    <w:ind w:firstLine="240"/>
                    <w:jc w:val="both"/>
                  </w:pPr>
                  <w:r>
                    <w:rPr>
                      <w:rFonts w:ascii="宋体" w:hAnsi="宋体" w:eastAsia="宋体" w:cs="宋体"/>
                      <w:sz w:val="24"/>
                    </w:rPr>
                    <w:t>1、要求满足议题申报区分校长、校领导办公会会议议题申报流程、专题会议、普通会议、校级大会和党委常委会议题申报流程，直观化呈现议题申报所需的支撑材料，领导可以在线随时随地查阅材料；</w:t>
                  </w:r>
                </w:p>
                <w:p>
                  <w:pPr>
                    <w:pStyle w:val="4"/>
                    <w:ind w:firstLine="240"/>
                    <w:jc w:val="both"/>
                  </w:pPr>
                  <w:r>
                    <w:rPr>
                      <w:rFonts w:ascii="宋体" w:hAnsi="宋体" w:eastAsia="宋体" w:cs="宋体"/>
                      <w:sz w:val="24"/>
                    </w:rPr>
                    <w:t>▲2、支持议题库支持通过不同的状态，独立存档形成不同的议题库，便于对不同状态议题进行管理，议题预审未通过或者校领导审批否定的议题可存放在独立的作废库，记录议题的基本信息，提供产品功能截图并加盖供应商鲜章；</w:t>
                  </w:r>
                </w:p>
                <w:p>
                  <w:pPr>
                    <w:pStyle w:val="4"/>
                    <w:ind w:firstLine="240"/>
                    <w:jc w:val="both"/>
                  </w:pPr>
                  <w:r>
                    <w:rPr>
                      <w:rFonts w:ascii="宋体" w:hAnsi="宋体" w:eastAsia="宋体" w:cs="宋体"/>
                      <w:sz w:val="24"/>
                    </w:rPr>
                    <w:t>3、支持议题呈送，支持工作人员调取预审议题库议题呈送校长上会审批，审批通过的议题自动进入终审议题库；</w:t>
                  </w:r>
                </w:p>
                <w:p>
                  <w:pPr>
                    <w:pStyle w:val="4"/>
                    <w:ind w:firstLine="240"/>
                    <w:jc w:val="both"/>
                  </w:pPr>
                  <w:r>
                    <w:rPr>
                      <w:rFonts w:ascii="宋体" w:hAnsi="宋体" w:eastAsia="宋体" w:cs="宋体"/>
                      <w:sz w:val="24"/>
                    </w:rPr>
                    <w:t>4、支持会议方案形成后分发会议资料，触发会议通知单，对收到的会议通知进行自动归集、提醒，会议回执会后形成纪要，支持按议题分发会议纪要；</w:t>
                  </w:r>
                </w:p>
                <w:p>
                  <w:pPr>
                    <w:pStyle w:val="4"/>
                    <w:ind w:firstLine="240"/>
                    <w:jc w:val="both"/>
                  </w:pPr>
                  <w:r>
                    <w:rPr>
                      <w:rFonts w:ascii="宋体" w:hAnsi="宋体" w:eastAsia="宋体" w:cs="宋体"/>
                      <w:sz w:val="24"/>
                    </w:rPr>
                    <w:t>▲5、支持会议申请关联多个议题，提供产品功能截图并加盖投标人鲜章。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tcBorders>
                    <w:top w:val="nil"/>
                    <w:left w:val="single" w:color="000000" w:sz="4" w:space="0"/>
                    <w:bottom w:val="single" w:color="000000" w:sz="4" w:space="0"/>
                    <w:right w:val="single" w:color="000000" w:sz="4" w:space="0"/>
                  </w:tcBorders>
                  <w:tcMar>
                    <w:top w:w="0" w:type="dxa"/>
                    <w:left w:w="120" w:type="dxa"/>
                    <w:bottom w:w="0" w:type="dxa"/>
                    <w:right w:w="120" w:type="dxa"/>
                  </w:tcMar>
                </w:tcPr>
                <w:p>
                  <w:pPr>
                    <w:pStyle w:val="4"/>
                    <w:jc w:val="center"/>
                  </w:pPr>
                  <w:r>
                    <w:rPr>
                      <w:rFonts w:ascii="宋体" w:hAnsi="宋体" w:eastAsia="宋体" w:cs="宋体"/>
                      <w:sz w:val="24"/>
                    </w:rPr>
                    <w:t>系统管理</w:t>
                  </w:r>
                </w:p>
              </w:tc>
              <w:tc>
                <w:tcPr>
                  <w:tcW w:w="5551" w:type="dxa"/>
                  <w:tcBorders>
                    <w:top w:val="nil"/>
                    <w:left w:val="nil"/>
                    <w:bottom w:val="single" w:color="000000" w:sz="4" w:space="0"/>
                    <w:right w:val="single" w:color="000000" w:sz="4" w:space="0"/>
                  </w:tcBorders>
                  <w:tcMar>
                    <w:top w:w="0" w:type="dxa"/>
                    <w:left w:w="120" w:type="dxa"/>
                    <w:bottom w:w="0" w:type="dxa"/>
                    <w:right w:w="120" w:type="dxa"/>
                  </w:tcMar>
                </w:tcPr>
                <w:p>
                  <w:pPr>
                    <w:pStyle w:val="4"/>
                    <w:ind w:firstLine="240"/>
                    <w:jc w:val="both"/>
                  </w:pPr>
                  <w:r>
                    <w:rPr>
                      <w:rFonts w:ascii="宋体" w:hAnsi="宋体" w:eastAsia="宋体" w:cs="宋体"/>
                      <w:sz w:val="24"/>
                    </w:rPr>
                    <w:t>1、提供图形化系统设置方式；</w:t>
                  </w:r>
                </w:p>
                <w:p>
                  <w:pPr>
                    <w:pStyle w:val="4"/>
                    <w:ind w:firstLine="240"/>
                    <w:jc w:val="both"/>
                  </w:pPr>
                  <w:r>
                    <w:rPr>
                      <w:rFonts w:ascii="宋体" w:hAnsi="宋体" w:eastAsia="宋体" w:cs="宋体"/>
                      <w:sz w:val="24"/>
                    </w:rPr>
                    <w:t>2、支持数据分区管理、其他系统的EXCEL数据导入，支持人员管理、部门管理、组别管理、模块管理；</w:t>
                  </w:r>
                </w:p>
                <w:p>
                  <w:pPr>
                    <w:pStyle w:val="4"/>
                    <w:ind w:firstLine="240"/>
                    <w:jc w:val="both"/>
                  </w:pPr>
                  <w:r>
                    <w:rPr>
                      <w:rFonts w:ascii="宋体" w:hAnsi="宋体" w:eastAsia="宋体" w:cs="宋体"/>
                      <w:sz w:val="24"/>
                    </w:rPr>
                    <w:t>3、具有消息提醒功能，在事务处理过程中，能根据用户的操作切换到相应功能菜单的操作界面；</w:t>
                  </w:r>
                </w:p>
                <w:p>
                  <w:pPr>
                    <w:pStyle w:val="4"/>
                    <w:ind w:firstLine="240"/>
                    <w:jc w:val="both"/>
                  </w:pPr>
                  <w:r>
                    <w:rPr>
                      <w:rFonts w:ascii="宋体" w:hAnsi="宋体" w:eastAsia="宋体" w:cs="宋体"/>
                      <w:sz w:val="24"/>
                    </w:rPr>
                    <w:t>4、记录用户登录、操作日志，可进行审计和分析应用访问情况。</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tcBorders>
                    <w:top w:val="nil"/>
                    <w:left w:val="single" w:color="000000" w:sz="4" w:space="0"/>
                    <w:bottom w:val="single" w:color="000000" w:sz="4" w:space="0"/>
                    <w:right w:val="single" w:color="000000" w:sz="4" w:space="0"/>
                  </w:tcBorders>
                  <w:tcMar>
                    <w:top w:w="0" w:type="dxa"/>
                    <w:left w:w="120" w:type="dxa"/>
                    <w:bottom w:w="0" w:type="dxa"/>
                    <w:right w:w="120" w:type="dxa"/>
                  </w:tcMar>
                </w:tcPr>
                <w:p>
                  <w:pPr>
                    <w:pStyle w:val="4"/>
                    <w:jc w:val="center"/>
                  </w:pPr>
                  <w:r>
                    <w:rPr>
                      <w:rFonts w:ascii="宋体" w:hAnsi="宋体" w:eastAsia="宋体" w:cs="宋体"/>
                      <w:sz w:val="24"/>
                    </w:rPr>
                    <w:t>定制开发</w:t>
                  </w:r>
                </w:p>
              </w:tc>
              <w:tc>
                <w:tcPr>
                  <w:tcW w:w="5551" w:type="dxa"/>
                  <w:tcBorders>
                    <w:top w:val="nil"/>
                    <w:left w:val="nil"/>
                    <w:bottom w:val="single" w:color="000000" w:sz="4" w:space="0"/>
                    <w:right w:val="single" w:color="000000" w:sz="4" w:space="0"/>
                  </w:tcBorders>
                  <w:tcMar>
                    <w:top w:w="0" w:type="dxa"/>
                    <w:left w:w="120" w:type="dxa"/>
                    <w:bottom w:w="0" w:type="dxa"/>
                    <w:right w:w="120" w:type="dxa"/>
                  </w:tcMar>
                </w:tcPr>
                <w:p>
                  <w:pPr>
                    <w:pStyle w:val="4"/>
                    <w:ind w:firstLine="240"/>
                    <w:jc w:val="both"/>
                  </w:pPr>
                  <w:r>
                    <w:rPr>
                      <w:rFonts w:ascii="宋体" w:hAnsi="宋体" w:eastAsia="宋体" w:cs="宋体"/>
                      <w:sz w:val="24"/>
                    </w:rPr>
                    <w:t>★1、需按照学校统一认证平台接口要求免费接入，能通过学校统一身份认证平台实现单点登录。预留系统移动端（H5）对接接口，与认证平台对接或与学校指定的移动应用平台对接，实现移动端的身份认证和统一入口。</w:t>
                  </w:r>
                </w:p>
                <w:p>
                  <w:pPr>
                    <w:pStyle w:val="4"/>
                    <w:ind w:firstLine="240"/>
                    <w:jc w:val="both"/>
                  </w:pPr>
                  <w:r>
                    <w:rPr>
                      <w:rFonts w:ascii="宋体" w:hAnsi="宋体" w:eastAsia="宋体" w:cs="宋体"/>
                      <w:sz w:val="24"/>
                    </w:rPr>
                    <w:t>★2、需根据学校要求免费开放业务数据接口，提供数据字典，接口文档，配合进行数据集成。</w:t>
                  </w:r>
                </w:p>
                <w:p>
                  <w:pPr>
                    <w:pStyle w:val="4"/>
                    <w:ind w:firstLine="240"/>
                    <w:jc w:val="both"/>
                  </w:pPr>
                  <w:r>
                    <w:rPr>
                      <w:rFonts w:ascii="宋体" w:hAnsi="宋体" w:eastAsia="宋体" w:cs="宋体"/>
                      <w:sz w:val="24"/>
                    </w:rPr>
                    <w:t>★3、免费提供对接学校数据中台、服务中台的服务，免费提供集成到学校统一办事大厅、融合门户的服务，要求实现组织架构数据同步中心信息的数据，实现与办事大厅、融合门户单点登录接入，与办事大厅、融合门户实现消息集成，实现与办事大厅、融合门户待办集成应用。</w:t>
                  </w:r>
                </w:p>
                <w:p>
                  <w:pPr>
                    <w:pStyle w:val="4"/>
                    <w:ind w:firstLine="240"/>
                    <w:jc w:val="both"/>
                  </w:pPr>
                  <w:r>
                    <w:rPr>
                      <w:rFonts w:ascii="宋体" w:hAnsi="宋体" w:eastAsia="宋体" w:cs="宋体"/>
                      <w:sz w:val="24"/>
                    </w:rPr>
                    <w:t>★4、与钉钉进行整合，提供组织结构同步、移动信息门户，用户可以通过钉钉直接进入协同进行公文、事务在线办理；</w:t>
                  </w:r>
                </w:p>
                <w:p>
                  <w:pPr>
                    <w:pStyle w:val="4"/>
                    <w:ind w:firstLine="240"/>
                    <w:jc w:val="both"/>
                  </w:pPr>
                  <w:r>
                    <w:rPr>
                      <w:rFonts w:ascii="宋体" w:hAnsi="宋体" w:eastAsia="宋体" w:cs="宋体"/>
                      <w:sz w:val="24"/>
                    </w:rPr>
                    <w:t>★5、与VPN集成，支持PC端、手机端（安卓系统、鸿蒙系统）外网使用。</w:t>
                  </w:r>
                </w:p>
                <w:p>
                  <w:pPr>
                    <w:pStyle w:val="4"/>
                    <w:ind w:firstLine="240"/>
                    <w:jc w:val="both"/>
                  </w:pPr>
                  <w:r>
                    <w:rPr>
                      <w:rFonts w:ascii="宋体" w:hAnsi="宋体" w:eastAsia="宋体" w:cs="宋体"/>
                      <w:sz w:val="24"/>
                    </w:rPr>
                    <w:t>以上定制开发5条技术参数需提供承诺函并加盖供应商鲜章。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tcBorders>
                    <w:top w:val="nil"/>
                    <w:left w:val="single" w:color="000000" w:sz="4" w:space="0"/>
                    <w:bottom w:val="single" w:color="000000" w:sz="4" w:space="0"/>
                    <w:right w:val="single" w:color="000000" w:sz="4" w:space="0"/>
                  </w:tcBorders>
                  <w:tcMar>
                    <w:top w:w="0" w:type="dxa"/>
                    <w:left w:w="120" w:type="dxa"/>
                    <w:bottom w:w="0" w:type="dxa"/>
                    <w:right w:w="120" w:type="dxa"/>
                  </w:tcMar>
                </w:tcPr>
                <w:p>
                  <w:pPr>
                    <w:pStyle w:val="4"/>
                    <w:jc w:val="center"/>
                  </w:pPr>
                  <w:r>
                    <w:rPr>
                      <w:rFonts w:ascii="宋体" w:hAnsi="宋体" w:eastAsia="宋体" w:cs="宋体"/>
                      <w:sz w:val="24"/>
                    </w:rPr>
                    <w:t>安全性要求</w:t>
                  </w:r>
                </w:p>
              </w:tc>
              <w:tc>
                <w:tcPr>
                  <w:tcW w:w="5551" w:type="dxa"/>
                  <w:tcBorders>
                    <w:top w:val="nil"/>
                    <w:left w:val="nil"/>
                    <w:bottom w:val="single" w:color="000000" w:sz="4" w:space="0"/>
                    <w:right w:val="single" w:color="000000" w:sz="4" w:space="0"/>
                  </w:tcBorders>
                  <w:tcMar>
                    <w:top w:w="0" w:type="dxa"/>
                    <w:left w:w="120" w:type="dxa"/>
                    <w:bottom w:w="0" w:type="dxa"/>
                    <w:right w:w="120" w:type="dxa"/>
                  </w:tcMar>
                </w:tcPr>
                <w:p>
                  <w:pPr>
                    <w:pStyle w:val="4"/>
                    <w:ind w:firstLine="240"/>
                    <w:jc w:val="both"/>
                  </w:pPr>
                  <w:r>
                    <w:rPr>
                      <w:rFonts w:ascii="宋体" w:hAnsi="宋体" w:eastAsia="宋体" w:cs="宋体"/>
                      <w:sz w:val="24"/>
                    </w:rPr>
                    <w:t>1、为避免具有安全漏洞的应用系统采购上线，给学校网络带来安全隐患，在本项目信息系统完成部署正式上线前，学校将引入有资质的第三方权威安全测评机构，对本项目标的信息系统进行全面地渗透测试和安全评估。若发现安全问题，实施方须根据针对本项目的渗透测试和安全评估报告进行整改，整改完成后再次进行测试和评估，无安全问题后方可上线运行，并进入验收程序，若整改两次后仍然存在安全问题，学校将中止该项目实施，并视为该项目验收不合格。</w:t>
                  </w:r>
                </w:p>
                <w:p>
                  <w:pPr>
                    <w:pStyle w:val="4"/>
                    <w:ind w:firstLine="240"/>
                    <w:jc w:val="both"/>
                  </w:pPr>
                  <w:r>
                    <w:rPr>
                      <w:rFonts w:ascii="宋体" w:hAnsi="宋体" w:eastAsia="宋体" w:cs="宋体"/>
                      <w:sz w:val="24"/>
                    </w:rPr>
                    <w:t>▲2、要求平台具备采用严密的安全体系，从用户访问接入、传输控制、存储控制、运行控制、访问控制五方面建立安全可靠的防御机制，全方位保障用户的信息安全、数据安全；具有安全防护功能，提供数据的防控能力，避免高危操作对数据库造成破坏，符合三级等保要求，要求提供平台符合三级等保证明资质材料；</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99" w:type="dxa"/>
                  <w:tcBorders>
                    <w:top w:val="nil"/>
                    <w:left w:val="single" w:color="000000" w:sz="4" w:space="0"/>
                    <w:bottom w:val="single" w:color="000000" w:sz="4" w:space="0"/>
                    <w:right w:val="single" w:color="000000" w:sz="4" w:space="0"/>
                  </w:tcBorders>
                  <w:tcMar>
                    <w:top w:w="0" w:type="dxa"/>
                    <w:left w:w="120" w:type="dxa"/>
                    <w:bottom w:w="0" w:type="dxa"/>
                    <w:right w:w="120" w:type="dxa"/>
                  </w:tcMar>
                </w:tcPr>
                <w:p>
                  <w:pPr>
                    <w:pStyle w:val="4"/>
                    <w:jc w:val="center"/>
                  </w:pPr>
                  <w:r>
                    <w:rPr>
                      <w:rFonts w:ascii="宋体" w:hAnsi="宋体" w:eastAsia="宋体" w:cs="宋体"/>
                      <w:sz w:val="24"/>
                    </w:rPr>
                    <w:t>建设要求</w:t>
                  </w:r>
                </w:p>
              </w:tc>
              <w:tc>
                <w:tcPr>
                  <w:tcW w:w="5551" w:type="dxa"/>
                  <w:tcBorders>
                    <w:top w:val="nil"/>
                    <w:left w:val="nil"/>
                    <w:bottom w:val="single" w:color="000000" w:sz="4" w:space="0"/>
                    <w:right w:val="single" w:color="000000" w:sz="4" w:space="0"/>
                  </w:tcBorders>
                  <w:tcMar>
                    <w:top w:w="0" w:type="dxa"/>
                    <w:left w:w="120" w:type="dxa"/>
                    <w:bottom w:w="0" w:type="dxa"/>
                    <w:right w:w="120" w:type="dxa"/>
                  </w:tcMar>
                </w:tcPr>
                <w:p>
                  <w:pPr>
                    <w:pStyle w:val="4"/>
                    <w:ind w:firstLine="240"/>
                    <w:jc w:val="both"/>
                  </w:pPr>
                  <w:r>
                    <w:rPr>
                      <w:rFonts w:ascii="宋体" w:hAnsi="宋体" w:eastAsia="宋体" w:cs="宋体"/>
                      <w:sz w:val="24"/>
                    </w:rPr>
                    <w:t>1、供应商应针对本项目提供人员配置管理计划，包括组织结构、项目负责人、组成人员及职责分工；</w:t>
                  </w:r>
                </w:p>
                <w:p>
                  <w:pPr>
                    <w:pStyle w:val="4"/>
                    <w:ind w:firstLine="240"/>
                    <w:jc w:val="both"/>
                  </w:pPr>
                  <w:r>
                    <w:rPr>
                      <w:rFonts w:ascii="宋体" w:hAnsi="宋体" w:eastAsia="宋体" w:cs="宋体"/>
                      <w:sz w:val="24"/>
                    </w:rPr>
                    <w:t>2、供应商保证所有人员到位并保持稳定；如因特殊情况发生任何人员变更，须将变更人及其工作影响、替换人资历等情况以书面材料报告审查；因人员变更所造成的任何不良后果，须由系统承建商承担一切责任；</w:t>
                  </w:r>
                </w:p>
                <w:p>
                  <w:pPr>
                    <w:pStyle w:val="4"/>
                    <w:ind w:firstLine="240"/>
                    <w:jc w:val="both"/>
                  </w:pPr>
                  <w:r>
                    <w:rPr>
                      <w:rFonts w:ascii="宋体" w:hAnsi="宋体" w:eastAsia="宋体" w:cs="宋体"/>
                      <w:sz w:val="24"/>
                    </w:rPr>
                    <w:t>3、供应商针对本项目编制相应实施计划和实施方案设计；</w:t>
                  </w:r>
                </w:p>
                <w:p>
                  <w:pPr>
                    <w:pStyle w:val="4"/>
                    <w:ind w:firstLine="240"/>
                    <w:jc w:val="both"/>
                  </w:pPr>
                  <w:r>
                    <w:rPr>
                      <w:rFonts w:ascii="宋体" w:hAnsi="宋体" w:eastAsia="宋体" w:cs="宋体"/>
                      <w:sz w:val="24"/>
                    </w:rPr>
                    <w:t>4、制定详细培训计划，制定针对不同角色人员的培训内容及培训时间计划；</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50" w:type="dxa"/>
                  <w:gridSpan w:val="2"/>
                  <w:tcBorders>
                    <w:top w:val="nil"/>
                    <w:left w:val="single" w:color="000000" w:sz="4" w:space="0"/>
                    <w:bottom w:val="single" w:color="000000" w:sz="4" w:space="0"/>
                    <w:right w:val="single" w:color="000000" w:sz="4" w:space="0"/>
                  </w:tcBorders>
                  <w:tcMar>
                    <w:top w:w="0" w:type="dxa"/>
                    <w:left w:w="120" w:type="dxa"/>
                    <w:bottom w:w="0" w:type="dxa"/>
                    <w:right w:w="120" w:type="dxa"/>
                  </w:tcMar>
                </w:tcPr>
                <w:p>
                  <w:pPr>
                    <w:pStyle w:val="4"/>
                    <w:ind w:firstLine="420"/>
                    <w:jc w:val="left"/>
                  </w:pPr>
                  <w:r>
                    <w:rPr>
                      <w:rFonts w:ascii="宋体" w:hAnsi="宋体" w:eastAsia="宋体" w:cs="宋体"/>
                      <w:sz w:val="21"/>
                    </w:rPr>
                    <w:t>注：1.标注★项为实质性要求，不允许负偏离，若出现负偏离，即为废标（无效投标）；</w:t>
                  </w:r>
                </w:p>
                <w:p>
                  <w:pPr>
                    <w:pStyle w:val="4"/>
                    <w:ind w:firstLine="630"/>
                    <w:jc w:val="both"/>
                  </w:pPr>
                  <w:r>
                    <w:rPr>
                      <w:rFonts w:ascii="宋体" w:hAnsi="宋体" w:eastAsia="宋体" w:cs="宋体"/>
                      <w:sz w:val="21"/>
                    </w:rPr>
                    <w:t>2.标注▲项为重要参数，若出现负偏离，按照评分标准中评分因素项“技术参数要求”进行累加扣除，直到该项技术分扣完为止。</w:t>
                  </w:r>
                </w:p>
              </w:tc>
            </w:tr>
          </w:tbl>
          <w:p/>
        </w:tc>
      </w:tr>
    </w:tbl>
    <w:p>
      <w:pPr>
        <w:pStyle w:val="4"/>
        <w:ind w:firstLine="480"/>
        <w:jc w:val="left"/>
        <w:outlineLvl w:val="2"/>
      </w:pPr>
      <w:r>
        <w:rPr>
          <w:b/>
          <w:sz w:val="28"/>
        </w:rPr>
        <w:t>3.2.3人员配置要求</w:t>
      </w:r>
    </w:p>
    <w:p>
      <w:pPr>
        <w:pStyle w:val="4"/>
        <w:jc w:val="left"/>
      </w:pPr>
    </w:p>
    <w:p>
      <w:pPr>
        <w:pStyle w:val="4"/>
        <w:jc w:val="left"/>
      </w:pPr>
      <w:r>
        <w:t>采购包1：</w:t>
      </w:r>
    </w:p>
    <w:p>
      <w:pPr>
        <w:pStyle w:val="4"/>
        <w:jc w:val="left"/>
      </w:pPr>
      <w:r>
        <w:t>根据本项目需求配置相关人员</w:t>
      </w:r>
    </w:p>
    <w:p>
      <w:pPr>
        <w:pStyle w:val="4"/>
        <w:ind w:firstLine="480"/>
        <w:jc w:val="left"/>
        <w:outlineLvl w:val="2"/>
      </w:pPr>
      <w:r>
        <w:rPr>
          <w:b/>
          <w:sz w:val="28"/>
        </w:rPr>
        <w:t>3.2.4设施设备要求</w:t>
      </w:r>
    </w:p>
    <w:p>
      <w:pPr>
        <w:pStyle w:val="4"/>
        <w:jc w:val="left"/>
      </w:pPr>
    </w:p>
    <w:p>
      <w:pPr>
        <w:pStyle w:val="4"/>
        <w:jc w:val="left"/>
      </w:pPr>
      <w:r>
        <w:t>采购包1：</w:t>
      </w:r>
    </w:p>
    <w:p>
      <w:pPr>
        <w:pStyle w:val="4"/>
        <w:jc w:val="left"/>
      </w:pPr>
      <w:r>
        <w:t>根据本项目需要配置相关设施设备</w:t>
      </w:r>
    </w:p>
    <w:p>
      <w:pPr>
        <w:pStyle w:val="4"/>
        <w:ind w:firstLine="480"/>
        <w:jc w:val="left"/>
        <w:outlineLvl w:val="2"/>
      </w:pPr>
      <w:r>
        <w:rPr>
          <w:b/>
          <w:sz w:val="28"/>
        </w:rPr>
        <w:t>3.2.5其他要求</w:t>
      </w:r>
    </w:p>
    <w:p>
      <w:pPr>
        <w:pStyle w:val="4"/>
        <w:jc w:val="left"/>
      </w:pPr>
    </w:p>
    <w:p>
      <w:pPr>
        <w:pStyle w:val="4"/>
        <w:jc w:val="left"/>
      </w:pPr>
      <w:r>
        <w:t>采购包1：</w:t>
      </w:r>
    </w:p>
    <w:p>
      <w:pPr>
        <w:pStyle w:val="4"/>
        <w:jc w:val="left"/>
      </w:pPr>
      <w:r>
        <w:t>售后服务： （1）质保期：免费服务期为3年（第1年支持技术上门维护服务，第2年-3年的技术远程维护服务），从合同整体验收合格签署验收报告之日算起。 （2）现场响应：供应商指派专人负责与采购人联系售后服务事宜。在接到用户电话、传真通知后，30分钟内响应，紧急问题派技术人员4小时内抵达现场进行维护；一般问题一天内解决，重大问题两天内解决；7×24小时系统监控管理服务； （3）培训：供应商向采购人提供完整的培训计划，至少6人进行不低于2天的培训，保证教职工能熟练使用。</w:t>
      </w:r>
    </w:p>
    <w:p>
      <w:pPr>
        <w:pStyle w:val="4"/>
        <w:ind w:firstLine="480"/>
        <w:jc w:val="left"/>
        <w:outlineLvl w:val="2"/>
      </w:pPr>
      <w:r>
        <w:rPr>
          <w:b/>
          <w:sz w:val="28"/>
        </w:rPr>
        <w:t>3.3、商务要求</w:t>
      </w:r>
    </w:p>
    <w:p>
      <w:pPr>
        <w:pStyle w:val="4"/>
        <w:ind w:firstLine="480"/>
        <w:jc w:val="left"/>
        <w:outlineLvl w:val="3"/>
      </w:pPr>
      <w:r>
        <w:rPr>
          <w:b/>
          <w:sz w:val="24"/>
        </w:rPr>
        <w:t>3.3.1服务期限</w:t>
      </w:r>
    </w:p>
    <w:p>
      <w:pPr>
        <w:pStyle w:val="4"/>
        <w:jc w:val="left"/>
      </w:pPr>
    </w:p>
    <w:p>
      <w:pPr>
        <w:pStyle w:val="4"/>
        <w:jc w:val="left"/>
      </w:pPr>
    </w:p>
    <w:p>
      <w:pPr>
        <w:pStyle w:val="4"/>
        <w:jc w:val="left"/>
      </w:pPr>
      <w:r>
        <w:t>采购包1：</w:t>
      </w:r>
    </w:p>
    <w:p>
      <w:pPr>
        <w:pStyle w:val="4"/>
        <w:jc w:val="left"/>
      </w:pPr>
      <w:r>
        <w:t>自合同签订之日起30日</w:t>
      </w:r>
    </w:p>
    <w:p>
      <w:pPr>
        <w:pStyle w:val="4"/>
        <w:ind w:firstLine="480"/>
        <w:jc w:val="left"/>
        <w:outlineLvl w:val="3"/>
      </w:pPr>
      <w:r>
        <w:rPr>
          <w:b/>
          <w:sz w:val="24"/>
        </w:rPr>
        <w:t>3.3.2服务地点</w:t>
      </w:r>
    </w:p>
    <w:p>
      <w:pPr>
        <w:pStyle w:val="4"/>
        <w:jc w:val="left"/>
      </w:pPr>
    </w:p>
    <w:p>
      <w:pPr>
        <w:pStyle w:val="4"/>
        <w:jc w:val="left"/>
      </w:pPr>
    </w:p>
    <w:p>
      <w:pPr>
        <w:pStyle w:val="4"/>
        <w:jc w:val="left"/>
      </w:pPr>
      <w:r>
        <w:t>采购包1：</w:t>
      </w:r>
    </w:p>
    <w:p>
      <w:pPr>
        <w:pStyle w:val="4"/>
        <w:jc w:val="left"/>
      </w:pPr>
      <w:r>
        <w:t>绵阳职业技术学院</w:t>
      </w:r>
    </w:p>
    <w:p>
      <w:pPr>
        <w:pStyle w:val="4"/>
        <w:ind w:firstLine="480"/>
        <w:jc w:val="left"/>
        <w:outlineLvl w:val="3"/>
      </w:pPr>
      <w:r>
        <w:rPr>
          <w:b/>
          <w:sz w:val="24"/>
        </w:rPr>
        <w:t>3.3.3考核（验收）标准和方法</w:t>
      </w:r>
    </w:p>
    <w:p>
      <w:pPr>
        <w:pStyle w:val="4"/>
        <w:jc w:val="left"/>
      </w:pPr>
    </w:p>
    <w:p>
      <w:pPr>
        <w:pStyle w:val="4"/>
        <w:jc w:val="left"/>
      </w:pPr>
    </w:p>
    <w:p>
      <w:pPr>
        <w:pStyle w:val="4"/>
        <w:jc w:val="left"/>
      </w:pPr>
      <w:r>
        <w:t>采购包1：</w:t>
      </w:r>
    </w:p>
    <w:p>
      <w:pPr>
        <w:pStyle w:val="4"/>
        <w:jc w:val="left"/>
      </w:pPr>
      <w:r>
        <w:t>（1）设备到达现场后，供应商应在采购人在场情况下当面开包，共同清点、检查外观，作出验货记录，双方签字确认后开始安装调试。 （2）供应商应保证货物（软件）到达采购人所在地完好无损，如有缺漏、损坏，由供应商负责调换、补齐或赔偿。 （3）供应商应提供完备的技术资料、装箱单和生产厂商提供的原厂正品出货证明材料（非装箱清单组成材料）等，并派遣专业技术人员进行现场部署调试。验收合格条件如下： ①产品技术参数与采购合同一致，性能指标达到规定的标准； ②产品技术资料、装箱单、授权文件等资料齐全（如有）； ③在产品（系统）试运行期间所出现的问题得到解决，并运行正常； ④在规定时间内完成交货并验收，并经采购人确认。 （4）产品在部署调试并试运行符合要求后，才作为最终验收。 （5）本项目采购人及其委托的采购代理机构将依据合同条款、磋商文件要求、响应文件的响应及承诺内容，严格按照政府采购相关法律法规以及《财政部关于进一步加强政府采购需求和履约验收管理的指导意见》财库〔2016〕205号和《关于进一步做好政府采购项目履约验收工作的通知》（绵财采〔2021〕15号）的要求进行验收。采购人对供应商交付的产品（包括质量、技术参数等）进行确认，并出具书面验收意见。</w:t>
      </w:r>
    </w:p>
    <w:p>
      <w:pPr>
        <w:pStyle w:val="4"/>
        <w:ind w:firstLine="480"/>
        <w:jc w:val="left"/>
        <w:outlineLvl w:val="3"/>
      </w:pPr>
      <w:r>
        <w:rPr>
          <w:b/>
          <w:sz w:val="24"/>
        </w:rPr>
        <w:t>3.3.4支付方式</w:t>
      </w:r>
    </w:p>
    <w:p>
      <w:pPr>
        <w:pStyle w:val="4"/>
        <w:jc w:val="left"/>
      </w:pPr>
    </w:p>
    <w:p>
      <w:pPr>
        <w:pStyle w:val="4"/>
        <w:jc w:val="left"/>
      </w:pPr>
    </w:p>
    <w:p>
      <w:pPr>
        <w:pStyle w:val="4"/>
        <w:jc w:val="left"/>
      </w:pPr>
      <w:r>
        <w:t>采购包1：</w:t>
      </w:r>
    </w:p>
    <w:p>
      <w:pPr>
        <w:pStyle w:val="4"/>
        <w:jc w:val="left"/>
      </w:pPr>
      <w:r>
        <w:t>一次付清</w:t>
      </w:r>
    </w:p>
    <w:p>
      <w:pPr>
        <w:pStyle w:val="4"/>
        <w:ind w:firstLine="480"/>
        <w:jc w:val="left"/>
        <w:outlineLvl w:val="3"/>
      </w:pPr>
      <w:r>
        <w:rPr>
          <w:b/>
          <w:sz w:val="24"/>
        </w:rPr>
        <w:t>3.3.5支付约定</w:t>
      </w:r>
    </w:p>
    <w:p>
      <w:pPr>
        <w:pStyle w:val="4"/>
        <w:jc w:val="left"/>
      </w:pPr>
    </w:p>
    <w:p>
      <w:pPr>
        <w:pStyle w:val="4"/>
        <w:jc w:val="left"/>
      </w:pPr>
    </w:p>
    <w:p>
      <w:pPr>
        <w:pStyle w:val="4"/>
        <w:jc w:val="left"/>
      </w:pPr>
      <w:r>
        <w:t>采购包1：付款条件说明：项目完成后经采购人验收合格并签字确认后，中标人凭正规发票，达到付款条件起30日，支付合同总金额的100.00%。</w:t>
      </w:r>
    </w:p>
    <w:p>
      <w:pPr>
        <w:pStyle w:val="4"/>
        <w:ind w:firstLine="480"/>
        <w:jc w:val="left"/>
        <w:outlineLvl w:val="3"/>
      </w:pPr>
      <w:r>
        <w:rPr>
          <w:b/>
          <w:sz w:val="24"/>
        </w:rPr>
        <w:t>3.3.6违约责任及解决争议的方法</w:t>
      </w:r>
    </w:p>
    <w:p>
      <w:pPr>
        <w:pStyle w:val="4"/>
        <w:jc w:val="left"/>
      </w:pPr>
    </w:p>
    <w:p>
      <w:pPr>
        <w:pStyle w:val="4"/>
        <w:jc w:val="left"/>
      </w:pPr>
    </w:p>
    <w:p>
      <w:pPr>
        <w:pStyle w:val="4"/>
        <w:jc w:val="left"/>
      </w:pPr>
      <w:r>
        <w:t>采购包1：</w:t>
      </w:r>
    </w:p>
    <w:p>
      <w:pPr>
        <w:pStyle w:val="4"/>
        <w:jc w:val="left"/>
      </w:pPr>
      <w:r>
        <w:t>按采购文件和相关法规执行</w:t>
      </w:r>
    </w:p>
    <w:p>
      <w:pPr>
        <w:pStyle w:val="4"/>
        <w:ind w:firstLine="480"/>
        <w:jc w:val="left"/>
        <w:outlineLvl w:val="2"/>
      </w:pPr>
      <w:r>
        <w:rPr>
          <w:b/>
          <w:sz w:val="28"/>
        </w:rPr>
        <w:t>3.4其他要求</w:t>
      </w:r>
    </w:p>
    <w:p>
      <w:pPr>
        <w:pStyle w:val="4"/>
        <w:jc w:val="left"/>
      </w:pPr>
    </w:p>
    <w:p>
      <w:pPr>
        <w:pStyle w:val="4"/>
        <w:jc w:val="left"/>
      </w:pPr>
      <w:r>
        <w:t>（1）供应商必须保证在本项目中所投的任何产品和服务（包括部分使用）不会产生因第三方提出侵犯其专利权、商标权或其它知识产权而引起的法律和经济纠纷，如因专利权、商标权或其它知识产权而引起法律和经济纠纷，由成交供应商承担所有相关责任。磋商时提供承诺函原件，并加盖供应商公章。 （2）合同签订30天内必须完成系统的安装、定制开发项、调试、历史数据的迁移、培训、验收等，若成交供应商出具承诺后在后期实施过程中无法完成，我校有终止合同并追究虚假响应磋商文件的权利以及赔偿我校损失的权利。磋商时提供承诺函原件，并加盖供应商公章。</w:t>
      </w:r>
    </w:p>
    <w:p>
      <w:pPr>
        <w:pStyle w:val="4"/>
        <w:jc w:val="left"/>
      </w:pPr>
    </w:p>
    <w:p>
      <w:pPr>
        <w:pStyle w:val="4"/>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yZTkyNjUwNWViNTk5YzNkMjVjN2UzMTk1ODg5OGQifQ=="/>
  </w:docVars>
  <w:rsids>
    <w:rsidRoot w:val="4FB67BB9"/>
    <w:rsid w:val="4FB67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2023-05-23T02:34:00Z</dcterms:created>
  <dc:creator>ccceddie</dc:creator>
  <cp:lastModifiedBy>ccceddie</cp:lastModifiedBy>
  <dcterms:modified xsi:type="dcterms:W3CDTF">2023-05-23T02:35:27Z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06D03A64AB92415A934E523EF5A220F1_11</vt:lpwstr>
  </property>
</Properties>
</file>