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0"/>
        <w:jc w:val="center"/>
        <w:outlineLvl w:val="1"/>
      </w:pPr>
      <w:r>
        <w:rPr>
          <w:b/>
          <w:sz w:val="36"/>
        </w:rPr>
        <w:t>第三章 磋商项目技术、服务、商务及其他要求</w:t>
      </w:r>
    </w:p>
    <w:p>
      <w:pPr>
        <w:pStyle w:val="6"/>
        <w:ind w:firstLine="480"/>
        <w:jc w:val="left"/>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6"/>
        <w:ind w:firstLine="480"/>
        <w:jc w:val="left"/>
        <w:outlineLvl w:val="2"/>
      </w:pPr>
      <w:r>
        <w:rPr>
          <w:b/>
          <w:sz w:val="28"/>
        </w:rPr>
        <w:t>3.1、采购项目概况</w:t>
      </w:r>
    </w:p>
    <w:p>
      <w:pPr>
        <w:pStyle w:val="6"/>
        <w:jc w:val="left"/>
      </w:pPr>
    </w:p>
    <w:p>
      <w:pPr>
        <w:pStyle w:val="6"/>
        <w:jc w:val="left"/>
      </w:pPr>
      <w:r>
        <w:t>根据江油市耕地土壤环境质量类别划分工作报告和类别清单，在全市3个中、轻度受污染农用地面积较大乡镇，分别为三合镇、武都镇、和太平镇。建立3个农用地安全利用集中推进示范区，共计10000亩，同时建立10个修复利用综合效果评价田间试验点和200个综合效果监测点。</w:t>
      </w:r>
    </w:p>
    <w:p>
      <w:pPr>
        <w:pStyle w:val="6"/>
        <w:ind w:firstLine="480"/>
        <w:jc w:val="left"/>
        <w:outlineLvl w:val="2"/>
      </w:pPr>
      <w:r>
        <w:rPr>
          <w:b/>
          <w:sz w:val="28"/>
        </w:rPr>
        <w:t>3.2、服务内容及服务要求</w:t>
      </w:r>
    </w:p>
    <w:p>
      <w:pPr>
        <w:pStyle w:val="6"/>
        <w:ind w:firstLine="480"/>
        <w:jc w:val="left"/>
        <w:outlineLvl w:val="3"/>
      </w:pPr>
      <w:r>
        <w:rPr>
          <w:b/>
          <w:sz w:val="24"/>
        </w:rPr>
        <w:t>3.2.1服务内容</w:t>
      </w:r>
    </w:p>
    <w:p>
      <w:pPr>
        <w:pStyle w:val="6"/>
        <w:jc w:val="left"/>
      </w:pPr>
    </w:p>
    <w:p>
      <w:pPr>
        <w:pStyle w:val="6"/>
        <w:jc w:val="left"/>
      </w:pPr>
    </w:p>
    <w:p>
      <w:pPr>
        <w:pStyle w:val="6"/>
        <w:jc w:val="left"/>
      </w:pPr>
    </w:p>
    <w:p>
      <w:pPr>
        <w:pStyle w:val="6"/>
        <w:jc w:val="left"/>
      </w:pPr>
      <w:r>
        <w:t>采购包1：</w:t>
      </w:r>
    </w:p>
    <w:p>
      <w:pPr>
        <w:pStyle w:val="6"/>
        <w:jc w:val="left"/>
      </w:pPr>
      <w:r>
        <w:t>采购包预算金额（元）: 3,871,200.00</w:t>
      </w:r>
    </w:p>
    <w:p>
      <w:pPr>
        <w:pStyle w:val="6"/>
        <w:jc w:val="left"/>
      </w:pPr>
      <w:r>
        <w:t>采购包最高限价（元）: 3,871,200.00</w:t>
      </w:r>
    </w:p>
    <w:p>
      <w:pPr>
        <w:pStyle w:val="6"/>
        <w:jc w:val="left"/>
      </w:pPr>
      <w:r>
        <w:t>供应商报价不允许超过标的金额</w:t>
      </w:r>
    </w:p>
    <w:p>
      <w:pPr>
        <w:pStyle w:val="6"/>
        <w:jc w:val="left"/>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816"/>
        <w:gridCol w:w="813"/>
        <w:gridCol w:w="1279"/>
        <w:gridCol w:w="802"/>
        <w:gridCol w:w="802"/>
        <w:gridCol w:w="802"/>
        <w:gridCol w:w="802"/>
        <w:gridCol w:w="802"/>
        <w:gridCol w:w="8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left"/>
            </w:pPr>
            <w:r>
              <w:t>序号</w:t>
            </w:r>
          </w:p>
        </w:tc>
        <w:tc>
          <w:tcPr>
            <w:tcW w:w="831" w:type="dxa"/>
          </w:tcPr>
          <w:p>
            <w:pPr>
              <w:pStyle w:val="6"/>
              <w:jc w:val="left"/>
            </w:pPr>
            <w:r>
              <w:t>标的名称</w:t>
            </w:r>
          </w:p>
        </w:tc>
        <w:tc>
          <w:tcPr>
            <w:tcW w:w="831" w:type="dxa"/>
          </w:tcPr>
          <w:p>
            <w:pPr>
              <w:pStyle w:val="6"/>
              <w:jc w:val="left"/>
            </w:pPr>
            <w:r>
              <w:t>数量</w:t>
            </w:r>
          </w:p>
        </w:tc>
        <w:tc>
          <w:tcPr>
            <w:tcW w:w="831" w:type="dxa"/>
          </w:tcPr>
          <w:p>
            <w:pPr>
              <w:pStyle w:val="6"/>
              <w:jc w:val="left"/>
            </w:pPr>
            <w:r>
              <w:t>标的金额 （元）</w:t>
            </w:r>
          </w:p>
        </w:tc>
        <w:tc>
          <w:tcPr>
            <w:tcW w:w="831" w:type="dxa"/>
          </w:tcPr>
          <w:p>
            <w:pPr>
              <w:pStyle w:val="6"/>
              <w:jc w:val="left"/>
            </w:pPr>
            <w:r>
              <w:t>计量单位</w:t>
            </w:r>
          </w:p>
        </w:tc>
        <w:tc>
          <w:tcPr>
            <w:tcW w:w="831" w:type="dxa"/>
          </w:tcPr>
          <w:p>
            <w:pPr>
              <w:pStyle w:val="6"/>
              <w:jc w:val="left"/>
            </w:pPr>
            <w:r>
              <w:t>所属行业</w:t>
            </w:r>
          </w:p>
        </w:tc>
        <w:tc>
          <w:tcPr>
            <w:tcW w:w="831" w:type="dxa"/>
          </w:tcPr>
          <w:p>
            <w:pPr>
              <w:pStyle w:val="6"/>
              <w:jc w:val="left"/>
            </w:pPr>
            <w:r>
              <w:t>是否核心产品</w:t>
            </w:r>
          </w:p>
        </w:tc>
        <w:tc>
          <w:tcPr>
            <w:tcW w:w="831" w:type="dxa"/>
          </w:tcPr>
          <w:p>
            <w:pPr>
              <w:pStyle w:val="6"/>
              <w:jc w:val="left"/>
            </w:pPr>
            <w:r>
              <w:t>是否允许进口产品</w:t>
            </w:r>
          </w:p>
        </w:tc>
        <w:tc>
          <w:tcPr>
            <w:tcW w:w="831" w:type="dxa"/>
          </w:tcPr>
          <w:p>
            <w:pPr>
              <w:pStyle w:val="6"/>
              <w:jc w:val="left"/>
            </w:pPr>
            <w:r>
              <w:t>是否属于节能产品</w:t>
            </w:r>
          </w:p>
        </w:tc>
        <w:tc>
          <w:tcPr>
            <w:tcW w:w="831" w:type="dxa"/>
          </w:tcPr>
          <w:p>
            <w:pPr>
              <w:pStyle w:val="6"/>
              <w:jc w:val="left"/>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left"/>
            </w:pPr>
            <w:r>
              <w:t>1</w:t>
            </w:r>
          </w:p>
        </w:tc>
        <w:tc>
          <w:tcPr>
            <w:tcW w:w="831" w:type="dxa"/>
          </w:tcPr>
          <w:p>
            <w:pPr>
              <w:pStyle w:val="6"/>
              <w:jc w:val="left"/>
            </w:pPr>
            <w:r>
              <w:t>江油市2023年中央财政农业资源及生态保护补助资金耕地生产障碍修复利用试点项目</w:t>
            </w:r>
          </w:p>
        </w:tc>
        <w:tc>
          <w:tcPr>
            <w:tcW w:w="831" w:type="dxa"/>
          </w:tcPr>
          <w:p>
            <w:pPr>
              <w:pStyle w:val="6"/>
              <w:jc w:val="right"/>
            </w:pPr>
            <w:r>
              <w:t>1.00</w:t>
            </w:r>
          </w:p>
        </w:tc>
        <w:tc>
          <w:tcPr>
            <w:tcW w:w="831" w:type="dxa"/>
          </w:tcPr>
          <w:p>
            <w:pPr>
              <w:pStyle w:val="6"/>
              <w:jc w:val="right"/>
            </w:pPr>
            <w:r>
              <w:t>3,871,200.00</w:t>
            </w:r>
          </w:p>
        </w:tc>
        <w:tc>
          <w:tcPr>
            <w:tcW w:w="831" w:type="dxa"/>
          </w:tcPr>
          <w:p>
            <w:pPr>
              <w:pStyle w:val="6"/>
              <w:jc w:val="left"/>
            </w:pPr>
            <w:r>
              <w:t>项</w:t>
            </w:r>
          </w:p>
        </w:tc>
        <w:tc>
          <w:tcPr>
            <w:tcW w:w="831" w:type="dxa"/>
          </w:tcPr>
          <w:p>
            <w:pPr>
              <w:pStyle w:val="6"/>
              <w:jc w:val="left"/>
            </w:pPr>
            <w:r>
              <w:t>其他未列明行业</w:t>
            </w:r>
          </w:p>
        </w:tc>
        <w:tc>
          <w:tcPr>
            <w:tcW w:w="831" w:type="dxa"/>
          </w:tcPr>
          <w:p>
            <w:pPr>
              <w:pStyle w:val="6"/>
              <w:jc w:val="left"/>
            </w:pPr>
            <w:r>
              <w:t>否</w:t>
            </w:r>
          </w:p>
        </w:tc>
        <w:tc>
          <w:tcPr>
            <w:tcW w:w="831" w:type="dxa"/>
          </w:tcPr>
          <w:p>
            <w:pPr>
              <w:pStyle w:val="6"/>
              <w:jc w:val="left"/>
            </w:pPr>
            <w:r>
              <w:t>否</w:t>
            </w:r>
          </w:p>
        </w:tc>
        <w:tc>
          <w:tcPr>
            <w:tcW w:w="831" w:type="dxa"/>
          </w:tcPr>
          <w:p>
            <w:pPr>
              <w:pStyle w:val="6"/>
              <w:jc w:val="left"/>
            </w:pPr>
            <w:r>
              <w:t>否</w:t>
            </w:r>
          </w:p>
        </w:tc>
        <w:tc>
          <w:tcPr>
            <w:tcW w:w="831" w:type="dxa"/>
          </w:tcPr>
          <w:p>
            <w:pPr>
              <w:pStyle w:val="6"/>
              <w:jc w:val="left"/>
            </w:pPr>
            <w:r>
              <w:t>否</w:t>
            </w:r>
          </w:p>
        </w:tc>
      </w:tr>
    </w:tbl>
    <w:p>
      <w:pPr>
        <w:pStyle w:val="6"/>
        <w:ind w:firstLine="480"/>
        <w:jc w:val="left"/>
        <w:outlineLvl w:val="2"/>
      </w:pPr>
      <w:r>
        <w:rPr>
          <w:b/>
          <w:sz w:val="28"/>
        </w:rPr>
        <w:t>3.2.2服务要求</w:t>
      </w:r>
    </w:p>
    <w:p>
      <w:pPr>
        <w:pStyle w:val="6"/>
        <w:jc w:val="left"/>
      </w:pPr>
    </w:p>
    <w:p>
      <w:pPr>
        <w:pStyle w:val="6"/>
        <w:jc w:val="left"/>
      </w:pPr>
    </w:p>
    <w:p>
      <w:pPr>
        <w:pStyle w:val="6"/>
        <w:jc w:val="left"/>
      </w:pPr>
    </w:p>
    <w:p>
      <w:pPr>
        <w:pStyle w:val="6"/>
        <w:jc w:val="left"/>
      </w:pPr>
      <w:r>
        <w:t>采购包1：</w:t>
      </w:r>
    </w:p>
    <w:p>
      <w:pPr>
        <w:pStyle w:val="6"/>
        <w:jc w:val="left"/>
      </w:pPr>
    </w:p>
    <w:p>
      <w:pPr>
        <w:pStyle w:val="6"/>
        <w:jc w:val="left"/>
      </w:pPr>
      <w:r>
        <w:t>标的名称：江油市2023年中央财政农业资源及生态保护补助资金耕地生产障碍修复利用试点项目</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2"/>
        <w:gridCol w:w="1662"/>
        <w:gridCol w:w="51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jc w:val="left"/>
            </w:pPr>
            <w:r>
              <w:t>参数性质</w:t>
            </w:r>
          </w:p>
        </w:tc>
        <w:tc>
          <w:tcPr>
            <w:tcW w:w="2769" w:type="dxa"/>
          </w:tcPr>
          <w:p>
            <w:pPr>
              <w:pStyle w:val="6"/>
              <w:jc w:val="left"/>
            </w:pPr>
            <w:r>
              <w:t>序号</w:t>
            </w:r>
          </w:p>
        </w:tc>
        <w:tc>
          <w:tcPr>
            <w:tcW w:w="2769" w:type="dxa"/>
          </w:tcPr>
          <w:p>
            <w:pPr>
              <w:pStyle w:val="6"/>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jc w:val="left"/>
            </w:pPr>
            <w:r>
              <w:t>▲</w:t>
            </w:r>
          </w:p>
        </w:tc>
        <w:tc>
          <w:tcPr>
            <w:tcW w:w="2769" w:type="dxa"/>
          </w:tcPr>
          <w:p>
            <w:pPr>
              <w:pStyle w:val="6"/>
              <w:jc w:val="left"/>
            </w:pPr>
            <w:r>
              <w:t>1</w:t>
            </w:r>
          </w:p>
        </w:tc>
        <w:tc>
          <w:tcPr>
            <w:tcW w:w="2769" w:type="dxa"/>
          </w:tcPr>
          <w:p>
            <w:pPr>
              <w:pStyle w:val="6"/>
              <w:ind w:firstLine="480"/>
              <w:jc w:val="both"/>
            </w:pPr>
            <w:r>
              <w:rPr>
                <w:rFonts w:ascii="仿宋" w:hAnsi="仿宋" w:eastAsia="仿宋" w:cs="仿宋"/>
                <w:b/>
                <w:sz w:val="28"/>
              </w:rPr>
              <w:t>1.采购内容及技术要求</w:t>
            </w:r>
          </w:p>
          <w:p>
            <w:pPr>
              <w:pStyle w:val="6"/>
              <w:ind w:firstLine="480"/>
              <w:jc w:val="both"/>
            </w:pPr>
            <w:r>
              <w:rPr>
                <w:rFonts w:ascii="仿宋" w:hAnsi="仿宋" w:eastAsia="仿宋" w:cs="仿宋"/>
                <w:sz w:val="28"/>
              </w:rPr>
              <w:t>（1）江油市实施区域分布表</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01"/>
              <w:gridCol w:w="1115"/>
              <w:gridCol w:w="1115"/>
              <w:gridCol w:w="801"/>
              <w:gridCol w:w="80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62"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乡镇</w:t>
                  </w:r>
                </w:p>
              </w:tc>
              <w:tc>
                <w:tcPr>
                  <w:tcW w:w="881"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集中推进区（亩）</w:t>
                  </w:r>
                </w:p>
              </w:tc>
              <w:tc>
                <w:tcPr>
                  <w:tcW w:w="568"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田间试验点</w:t>
                  </w:r>
                </w:p>
              </w:tc>
              <w:tc>
                <w:tcPr>
                  <w:tcW w:w="725"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土壤目标污染物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vMerge w:val="continue"/>
                  <w:tcBorders>
                    <w:top w:val="single" w:color="000000" w:sz="4" w:space="0"/>
                    <w:left w:val="single" w:color="000000" w:sz="4" w:space="0"/>
                    <w:bottom w:val="single" w:color="000000" w:sz="4" w:space="0"/>
                    <w:right w:val="single" w:color="000000" w:sz="4" w:space="0"/>
                  </w:tcBorders>
                </w:tcPr>
                <w:p/>
              </w:tc>
              <w:tc>
                <w:tcPr>
                  <w:tcW w:w="4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水田</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b/>
                      <w:color w:val="000000"/>
                      <w:sz w:val="21"/>
                    </w:rPr>
                    <w:t>小计</w:t>
                  </w:r>
                </w:p>
              </w:tc>
              <w:tc>
                <w:tcPr>
                  <w:tcW w:w="568" w:type="dxa"/>
                  <w:vMerge w:val="continue"/>
                  <w:tcBorders>
                    <w:top w:val="single" w:color="000000" w:sz="4" w:space="0"/>
                    <w:left w:val="single" w:color="000000" w:sz="4" w:space="0"/>
                    <w:bottom w:val="single" w:color="000000" w:sz="4" w:space="0"/>
                    <w:right w:val="single" w:color="000000" w:sz="4" w:space="0"/>
                  </w:tcBorders>
                </w:tcPr>
                <w:p/>
              </w:tc>
              <w:tc>
                <w:tcPr>
                  <w:tcW w:w="725" w:type="dxa"/>
                  <w:vMerge w:val="continue"/>
                  <w:tcBorders>
                    <w:top w:val="single" w:color="000000" w:sz="4" w:space="0"/>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三合镇</w:t>
                  </w:r>
                </w:p>
              </w:tc>
              <w:tc>
                <w:tcPr>
                  <w:tcW w:w="4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2000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2000</w:t>
                  </w:r>
                </w:p>
              </w:tc>
              <w:tc>
                <w:tcPr>
                  <w:tcW w:w="5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w:t>
                  </w:r>
                </w:p>
              </w:tc>
              <w:tc>
                <w:tcPr>
                  <w:tcW w:w="7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Cd</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武都镇</w:t>
                  </w:r>
                </w:p>
              </w:tc>
              <w:tc>
                <w:tcPr>
                  <w:tcW w:w="4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6000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6000</w:t>
                  </w:r>
                </w:p>
              </w:tc>
              <w:tc>
                <w:tcPr>
                  <w:tcW w:w="5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6</w:t>
                  </w:r>
                </w:p>
              </w:tc>
              <w:tc>
                <w:tcPr>
                  <w:tcW w:w="7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Cd（个别Cr）</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太平镇</w:t>
                  </w:r>
                </w:p>
              </w:tc>
              <w:tc>
                <w:tcPr>
                  <w:tcW w:w="4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2000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2000</w:t>
                  </w:r>
                </w:p>
              </w:tc>
              <w:tc>
                <w:tcPr>
                  <w:tcW w:w="5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2</w:t>
                  </w:r>
                </w:p>
              </w:tc>
              <w:tc>
                <w:tcPr>
                  <w:tcW w:w="7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Cd（个别As）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合计</w:t>
                  </w:r>
                </w:p>
              </w:tc>
              <w:tc>
                <w:tcPr>
                  <w:tcW w:w="4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10000</w:t>
                  </w:r>
                </w:p>
              </w:tc>
              <w:tc>
                <w:tcPr>
                  <w:tcW w:w="4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10000</w:t>
                  </w:r>
                </w:p>
              </w:tc>
              <w:tc>
                <w:tcPr>
                  <w:tcW w:w="56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r>
                    <w:rPr>
                      <w:rFonts w:ascii="仿宋" w:hAnsi="仿宋" w:eastAsia="仿宋" w:cs="仿宋"/>
                      <w:color w:val="000000"/>
                      <w:sz w:val="21"/>
                    </w:rPr>
                    <w:t>10</w:t>
                  </w:r>
                </w:p>
              </w:tc>
              <w:tc>
                <w:tcPr>
                  <w:tcW w:w="7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ind w:firstLine="380"/>
                    <w:jc w:val="center"/>
                  </w:pPr>
                </w:p>
              </w:tc>
            </w:tr>
          </w:tbl>
          <w:p>
            <w:pPr>
              <w:pStyle w:val="6"/>
              <w:ind w:firstLine="480"/>
              <w:jc w:val="both"/>
            </w:pPr>
          </w:p>
          <w:p>
            <w:pPr>
              <w:pStyle w:val="6"/>
              <w:ind w:firstLine="480"/>
              <w:jc w:val="both"/>
            </w:pPr>
            <w:r>
              <w:rPr>
                <w:rFonts w:ascii="仿宋" w:hAnsi="仿宋" w:eastAsia="仿宋" w:cs="仿宋"/>
                <w:sz w:val="28"/>
              </w:rPr>
              <w:t>（2）集中推进区</w:t>
            </w:r>
          </w:p>
          <w:p>
            <w:pPr>
              <w:pStyle w:val="6"/>
              <w:ind w:firstLine="560"/>
              <w:jc w:val="both"/>
            </w:pPr>
            <w:r>
              <w:rPr>
                <w:rFonts w:ascii="仿宋" w:hAnsi="仿宋" w:eastAsia="仿宋" w:cs="仿宋"/>
                <w:sz w:val="28"/>
              </w:rPr>
              <w:t>项目区内主要存在单一镉风险。结合前期已经完成的障碍修复与安全利用项目经验，对水稻拟采取水分调控、原位钝化、土壤调理、优化施肥等技术，在不同风险区实施针对性组合技术措施。</w:t>
            </w:r>
          </w:p>
          <w:p>
            <w:pPr>
              <w:pStyle w:val="6"/>
              <w:ind w:firstLine="560"/>
              <w:jc w:val="both"/>
            </w:pPr>
            <w:r>
              <w:rPr>
                <w:rFonts w:ascii="仿宋" w:hAnsi="仿宋" w:eastAsia="仿宋" w:cs="仿宋"/>
                <w:sz w:val="28"/>
              </w:rPr>
              <w:t>在种植水稻的农用地，将采用水分调控+叶面阻控+土壤调理+原位钝化技术及优化施肥的技术，提高土壤pH，降低土壤中重金属活性；确保水稻籽粒重金属含量达标。</w:t>
            </w:r>
          </w:p>
          <w:p>
            <w:pPr>
              <w:pStyle w:val="6"/>
              <w:ind w:firstLine="480"/>
              <w:jc w:val="both"/>
            </w:pPr>
            <w:r>
              <w:rPr>
                <w:rFonts w:ascii="仿宋" w:hAnsi="仿宋" w:eastAsia="仿宋" w:cs="仿宋"/>
                <w:sz w:val="28"/>
              </w:rPr>
              <w:t>（3）综合效果监测试验</w:t>
            </w:r>
          </w:p>
          <w:p>
            <w:pPr>
              <w:pStyle w:val="6"/>
              <w:ind w:firstLine="640"/>
              <w:jc w:val="both"/>
            </w:pPr>
            <w:r>
              <w:rPr>
                <w:rFonts w:ascii="仿宋" w:hAnsi="仿宋" w:eastAsia="仿宋" w:cs="仿宋"/>
                <w:sz w:val="28"/>
              </w:rPr>
              <w:t>为客观评价技术措施综合效果，对各技术措施进行效果监测。在项目实施区域范围内，每1000亩建立1个修复利用综合效果监测点，建设10个监测点，每个监测点不少于1亩。其中一个处理采取项目实施区域措施，另一个处理为常规空白对照。措施落实前后分别采集土壤样品，测定pH，有效镉、镉、铬、汞、砷、铅等指标；措施落实后采集农产品样品，重点检测铅、镉、铬、砷、汞等5项重金属指标，同时测定实施区和空白对照区水稻单位产量。按照《耕地污染治理效果评价准则》（NY/T 3343-2018）编制耕地污染安全利用效果评价报告。</w:t>
            </w:r>
          </w:p>
          <w:p>
            <w:pPr>
              <w:pStyle w:val="6"/>
              <w:ind w:firstLine="480"/>
              <w:jc w:val="both"/>
            </w:pPr>
            <w:r>
              <w:rPr>
                <w:rFonts w:ascii="仿宋" w:hAnsi="仿宋" w:eastAsia="仿宋" w:cs="仿宋"/>
                <w:sz w:val="28"/>
              </w:rPr>
              <w:t>（4）修复利用效果评估点</w:t>
            </w:r>
          </w:p>
          <w:p>
            <w:pPr>
              <w:pStyle w:val="6"/>
              <w:ind w:firstLine="640"/>
              <w:jc w:val="both"/>
            </w:pPr>
            <w:r>
              <w:rPr>
                <w:rFonts w:ascii="仿宋" w:hAnsi="仿宋" w:eastAsia="仿宋" w:cs="仿宋"/>
                <w:sz w:val="28"/>
              </w:rPr>
              <w:t>基于地理空间技术，按照50亩/点网格化均匀布设监测点。</w:t>
            </w:r>
          </w:p>
          <w:p>
            <w:pPr>
              <w:pStyle w:val="6"/>
              <w:ind w:firstLine="640"/>
              <w:jc w:val="both"/>
            </w:pPr>
            <w:r>
              <w:rPr>
                <w:rFonts w:ascii="仿宋" w:hAnsi="仿宋" w:eastAsia="仿宋" w:cs="仿宋"/>
                <w:sz w:val="28"/>
              </w:rPr>
              <w:t>农产品样品采样监测点位设置：每50亩建立1个修复利用综合效果监测点，共设置监测点200个，1个监测点位采集1份混合农产品样品，合计200份农产品样品。</w:t>
            </w:r>
          </w:p>
          <w:p>
            <w:pPr>
              <w:pStyle w:val="6"/>
              <w:ind w:firstLine="640"/>
              <w:jc w:val="both"/>
            </w:pPr>
            <w:r>
              <w:rPr>
                <w:rFonts w:ascii="仿宋" w:hAnsi="仿宋" w:eastAsia="仿宋" w:cs="仿宋"/>
                <w:sz w:val="28"/>
              </w:rPr>
              <w:t>样品采集后，由市农业农村局指定专人将采集的土壤、农产品样品送到由省农业农村厅指定或推荐或农业农村局比选具有CMA资质的机构统一进行分析测试。</w:t>
            </w:r>
          </w:p>
          <w:p>
            <w:pPr>
              <w:pStyle w:val="6"/>
              <w:ind w:firstLine="640"/>
              <w:jc w:val="left"/>
            </w:pPr>
            <w:r>
              <w:rPr>
                <w:rFonts w:ascii="仿宋" w:hAnsi="仿宋" w:eastAsia="仿宋" w:cs="仿宋"/>
                <w:sz w:val="28"/>
              </w:rPr>
              <w:t>根据项目目标的要求，农产品中目标污染物超标率≤10%，且治理区域农作物单位产量（折算后）与当季同等条件下周边非治理区相比，减产幅度应小于或等于10%；则治理效果达标。</w:t>
            </w:r>
          </w:p>
          <w:p>
            <w:pPr>
              <w:pStyle w:val="6"/>
              <w:ind w:firstLine="480"/>
              <w:jc w:val="left"/>
            </w:pPr>
            <w:r>
              <w:rPr>
                <w:rFonts w:ascii="仿宋" w:hAnsi="仿宋" w:eastAsia="仿宋" w:cs="仿宋"/>
                <w:sz w:val="28"/>
              </w:rPr>
              <w:t>农产品食用农产品（水稻）中污染物含量执行《食品安全国家标准食品中污染物限量》（GB2762-2022），如下表。</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51"/>
              <w:gridCol w:w="1026"/>
              <w:gridCol w:w="107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b/>
                      <w:sz w:val="21"/>
                    </w:rPr>
                    <w:t>污染物项目</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b/>
                      <w:sz w:val="21"/>
                    </w:rPr>
                    <w:t>农产品种类</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b/>
                      <w:sz w:val="21"/>
                    </w:rPr>
                    <w:t>标准限量值（mg/kg）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vMerge w:val="restart"/>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镉</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水稻</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vMerge w:val="continue"/>
                  <w:tcBorders>
                    <w:top w:val="single" w:color="000000" w:sz="4" w:space="0"/>
                    <w:left w:val="single" w:color="000000" w:sz="4" w:space="0"/>
                    <w:bottom w:val="single" w:color="000000" w:sz="4" w:space="0"/>
                    <w:right w:val="single" w:color="000000" w:sz="4" w:space="0"/>
                  </w:tcBorders>
                </w:tcP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小麦、玉米</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汞</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水稻、小麦、玉米</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vMerge w:val="restart"/>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砷</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小麦、玉米</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vMerge w:val="continue"/>
                  <w:tcBorders>
                    <w:top w:val="single" w:color="000000" w:sz="4" w:space="0"/>
                    <w:left w:val="single" w:color="000000" w:sz="4" w:space="0"/>
                    <w:bottom w:val="single" w:color="000000" w:sz="4" w:space="0"/>
                    <w:right w:val="single" w:color="000000" w:sz="4" w:space="0"/>
                  </w:tcBorders>
                </w:tcP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水稻</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铅</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水稻、小麦、玉米</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0.2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铬</w:t>
                  </w:r>
                </w:p>
              </w:tc>
              <w:tc>
                <w:tcPr>
                  <w:tcW w:w="1026"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水稻、小麦、玉米</w:t>
                  </w:r>
                </w:p>
              </w:tc>
              <w:tc>
                <w:tcPr>
                  <w:tcW w:w="1072" w:type="dxa"/>
                  <w:tcBorders>
                    <w:top w:val="single" w:color="000000" w:sz="4" w:space="0"/>
                    <w:left w:val="single" w:color="000000" w:sz="4" w:space="0"/>
                    <w:bottom w:val="single" w:color="000000" w:sz="4" w:space="0"/>
                    <w:right w:val="single" w:color="000000" w:sz="4" w:space="0"/>
                  </w:tcBorders>
                  <w:tcMar>
                    <w:top w:w="30" w:type="dxa"/>
                    <w:left w:w="30" w:type="dxa"/>
                    <w:bottom w:w="30" w:type="dxa"/>
                    <w:right w:w="30" w:type="dxa"/>
                  </w:tcMar>
                  <w:vAlign w:val="top"/>
                </w:tcPr>
                <w:p>
                  <w:pPr>
                    <w:pStyle w:val="6"/>
                    <w:ind w:firstLine="380"/>
                    <w:jc w:val="center"/>
                  </w:pPr>
                  <w:r>
                    <w:rPr>
                      <w:rFonts w:ascii="仿宋" w:hAnsi="仿宋" w:eastAsia="仿宋" w:cs="仿宋"/>
                      <w:sz w:val="21"/>
                    </w:rPr>
                    <w:t>1.0</w:t>
                  </w:r>
                </w:p>
              </w:tc>
            </w:tr>
          </w:tbl>
          <w:p>
            <w:pPr>
              <w:pStyle w:val="6"/>
              <w:ind w:firstLine="560"/>
              <w:jc w:val="both"/>
            </w:pPr>
            <w:r>
              <w:rPr>
                <w:rFonts w:ascii="仿宋" w:hAnsi="仿宋" w:eastAsia="仿宋" w:cs="仿宋"/>
                <w:sz w:val="28"/>
              </w:rPr>
              <w:t>*水稻砷标准限量值参考《食品安全国家标准食品中污染物限量》（GB2762-2022）中谷物砷标准限量值。</w:t>
            </w:r>
          </w:p>
          <w:p>
            <w:pPr>
              <w:pStyle w:val="6"/>
              <w:ind w:firstLine="480"/>
              <w:jc w:val="both"/>
            </w:pPr>
            <w:r>
              <w:rPr>
                <w:rFonts w:ascii="仿宋" w:hAnsi="仿宋" w:eastAsia="仿宋" w:cs="仿宋"/>
                <w:b/>
                <w:sz w:val="28"/>
              </w:rPr>
              <w:t>2.商务要求</w:t>
            </w:r>
          </w:p>
          <w:p>
            <w:pPr>
              <w:pStyle w:val="6"/>
              <w:ind w:firstLine="480"/>
              <w:jc w:val="both"/>
            </w:pPr>
          </w:p>
          <w:p>
            <w:pPr>
              <w:pStyle w:val="6"/>
              <w:ind w:firstLine="640"/>
              <w:jc w:val="both"/>
            </w:pPr>
            <w:r>
              <w:rPr>
                <w:rFonts w:ascii="仿宋" w:hAnsi="仿宋" w:eastAsia="仿宋" w:cs="仿宋"/>
                <w:sz w:val="28"/>
              </w:rPr>
              <w:t>（1）服务工作进度：2023年6月—2023年7月，项目前期准备，采购项目物资、材料，确定实施田块与监测点，开展宣传培训工作。</w:t>
            </w:r>
          </w:p>
          <w:p>
            <w:pPr>
              <w:pStyle w:val="6"/>
              <w:ind w:firstLine="640"/>
              <w:jc w:val="both"/>
            </w:pPr>
            <w:r>
              <w:rPr>
                <w:rFonts w:ascii="仿宋" w:hAnsi="仿宋" w:eastAsia="仿宋" w:cs="仿宋"/>
                <w:sz w:val="28"/>
              </w:rPr>
              <w:t>2023年7月—2023年11月，实施项目，对物资、材料造册登记，并实施撒施；开展田间试验；开展监测点土壤样品和农产品取样分析，完成效果监测数据分析；编写耕地污染安全利用效果评价报告，同步完成项目检查验收与总结上报工作。</w:t>
            </w:r>
          </w:p>
          <w:p>
            <w:pPr>
              <w:pStyle w:val="6"/>
              <w:ind w:firstLine="560"/>
              <w:jc w:val="both"/>
            </w:pPr>
            <w:r>
              <w:rPr>
                <w:rFonts w:ascii="仿宋" w:hAnsi="仿宋" w:eastAsia="仿宋" w:cs="仿宋"/>
                <w:sz w:val="28"/>
              </w:rPr>
              <w:t>（2）服务地点：江油市</w:t>
            </w:r>
          </w:p>
          <w:p>
            <w:pPr>
              <w:pStyle w:val="6"/>
              <w:ind w:firstLine="560"/>
              <w:jc w:val="both"/>
            </w:pPr>
            <w:r>
              <w:rPr>
                <w:rFonts w:ascii="仿宋" w:hAnsi="仿宋" w:eastAsia="仿宋" w:cs="仿宋"/>
                <w:sz w:val="28"/>
              </w:rPr>
              <w:t>（3）款项支付方式：经采购人组织相关人员进行验收合格后，由供应商出具完整的税务发票，凭履约验收报告支付本采购项目费用。</w:t>
            </w:r>
          </w:p>
          <w:p>
            <w:pPr>
              <w:pStyle w:val="6"/>
              <w:ind w:firstLine="480"/>
              <w:jc w:val="both"/>
            </w:pPr>
            <w:r>
              <w:rPr>
                <w:rFonts w:ascii="仿宋" w:hAnsi="仿宋" w:eastAsia="仿宋" w:cs="仿宋"/>
                <w:b/>
                <w:sz w:val="28"/>
              </w:rPr>
              <w:t>3.服务要求</w:t>
            </w:r>
          </w:p>
          <w:p>
            <w:pPr>
              <w:pStyle w:val="6"/>
              <w:ind w:firstLine="480"/>
              <w:jc w:val="both"/>
            </w:pPr>
            <w:r>
              <w:rPr>
                <w:rFonts w:ascii="仿宋" w:hAnsi="仿宋" w:eastAsia="仿宋" w:cs="仿宋"/>
                <w:sz w:val="28"/>
              </w:rPr>
              <w:t>（1）指导思想</w:t>
            </w:r>
          </w:p>
          <w:p>
            <w:pPr>
              <w:pStyle w:val="6"/>
              <w:ind w:firstLine="560"/>
              <w:jc w:val="both"/>
            </w:pPr>
            <w:r>
              <w:rPr>
                <w:rFonts w:ascii="仿宋" w:hAnsi="仿宋" w:eastAsia="仿宋" w:cs="仿宋"/>
                <w:sz w:val="28"/>
              </w:rPr>
              <w:t>坚持以新时代中国特色社会主义思想为指导，牢固树立绿色发展理念，以保障人民群众身体健康为立足点，以改善土壤环境质量、保障农产品质量安全为目标，以区域生态文明建设为主线，坚持分类管控、综合施策、突出重点、示范带动的原则，有序推进耕地生产障碍修复利用工作。通过项目实施，分类别、分程度、分区域、分阶段治理利用，形成耕地生产障碍修复利用技术模式，建立科学的土壤安全利用体系。</w:t>
            </w:r>
          </w:p>
          <w:p>
            <w:pPr>
              <w:pStyle w:val="6"/>
              <w:ind w:firstLine="480"/>
              <w:jc w:val="both"/>
            </w:pPr>
            <w:r>
              <w:rPr>
                <w:rFonts w:ascii="仿宋" w:hAnsi="仿宋" w:eastAsia="仿宋" w:cs="仿宋"/>
                <w:sz w:val="28"/>
              </w:rPr>
              <w:t>（2）基本原则</w:t>
            </w:r>
          </w:p>
          <w:p>
            <w:pPr>
              <w:pStyle w:val="6"/>
              <w:ind w:firstLine="640"/>
              <w:jc w:val="both"/>
            </w:pPr>
            <w:r>
              <w:rPr>
                <w:rFonts w:ascii="微软雅黑" w:hAnsi="微软雅黑" w:eastAsia="微软雅黑" w:cs="微软雅黑"/>
                <w:sz w:val="28"/>
              </w:rPr>
              <w:t>①</w:t>
            </w:r>
            <w:r>
              <w:rPr>
                <w:rFonts w:ascii="仿宋" w:hAnsi="仿宋" w:eastAsia="仿宋" w:cs="仿宋"/>
                <w:sz w:val="28"/>
              </w:rPr>
              <w:t>统筹兼顾，科学施策</w:t>
            </w:r>
          </w:p>
          <w:p>
            <w:pPr>
              <w:pStyle w:val="6"/>
              <w:ind w:firstLine="640"/>
              <w:jc w:val="both"/>
            </w:pPr>
            <w:r>
              <w:rPr>
                <w:rFonts w:ascii="仿宋" w:hAnsi="仿宋" w:eastAsia="仿宋" w:cs="仿宋"/>
                <w:sz w:val="28"/>
              </w:rPr>
              <w:t>针对土壤污染具有隐蔽性、累积性、不可逆性和治理难度大、成本高、周期长的特点，要求安全利用方案全面协调，统筹兼顾，实现污染土壤的科学治理。</w:t>
            </w:r>
          </w:p>
          <w:p>
            <w:pPr>
              <w:pStyle w:val="6"/>
              <w:ind w:firstLine="640"/>
              <w:jc w:val="both"/>
            </w:pPr>
            <w:r>
              <w:rPr>
                <w:rFonts w:ascii="微软雅黑" w:hAnsi="微软雅黑" w:eastAsia="微软雅黑" w:cs="微软雅黑"/>
                <w:sz w:val="28"/>
              </w:rPr>
              <w:t>②</w:t>
            </w:r>
            <w:r>
              <w:rPr>
                <w:rFonts w:ascii="仿宋" w:hAnsi="仿宋" w:eastAsia="仿宋" w:cs="仿宋"/>
                <w:sz w:val="28"/>
              </w:rPr>
              <w:t>分区利用，确保安全</w:t>
            </w:r>
          </w:p>
          <w:p>
            <w:pPr>
              <w:pStyle w:val="6"/>
              <w:ind w:firstLine="640"/>
              <w:jc w:val="both"/>
            </w:pPr>
            <w:r>
              <w:rPr>
                <w:rFonts w:ascii="仿宋" w:hAnsi="仿宋" w:eastAsia="仿宋" w:cs="仿宋"/>
                <w:sz w:val="28"/>
              </w:rPr>
              <w:t>土壤污染空间分异大，不同区域污染程度和轮作方式不同，其安全利用措施也存在差异，因此，安全利用方案应分污染程度和轮作利用方式而进行针对性编制。</w:t>
            </w:r>
          </w:p>
          <w:p>
            <w:pPr>
              <w:pStyle w:val="6"/>
              <w:ind w:firstLine="640"/>
              <w:jc w:val="both"/>
            </w:pPr>
            <w:r>
              <w:rPr>
                <w:rFonts w:ascii="微软雅黑" w:hAnsi="微软雅黑" w:eastAsia="微软雅黑" w:cs="微软雅黑"/>
                <w:sz w:val="28"/>
              </w:rPr>
              <w:t>③</w:t>
            </w:r>
            <w:r>
              <w:rPr>
                <w:rFonts w:ascii="仿宋" w:hAnsi="仿宋" w:eastAsia="仿宋" w:cs="仿宋"/>
                <w:sz w:val="28"/>
              </w:rPr>
              <w:t>突出重点，稳步推进</w:t>
            </w:r>
          </w:p>
          <w:p>
            <w:pPr>
              <w:pStyle w:val="6"/>
              <w:ind w:firstLine="640"/>
              <w:jc w:val="both"/>
            </w:pPr>
            <w:r>
              <w:rPr>
                <w:rFonts w:ascii="仿宋" w:hAnsi="仿宋" w:eastAsia="仿宋" w:cs="仿宋"/>
                <w:sz w:val="28"/>
              </w:rPr>
              <w:t>在充分认识不同区域土壤环境问题的复杂性和综合性的基础上，整合各方资源，重点解决受污染耕地土壤安全利用疑难问题。坚持重点突破和整体推进相结合。通过在特定重点区域开展受污染耕地土壤安全利用试点，总结经验；然后以点带面，探索建立适合本区域条件的土壤污染防治综合利用技术体系。</w:t>
            </w:r>
          </w:p>
          <w:p>
            <w:pPr>
              <w:pStyle w:val="6"/>
              <w:ind w:firstLine="480"/>
              <w:jc w:val="both"/>
            </w:pPr>
            <w:r>
              <w:rPr>
                <w:rFonts w:ascii="仿宋" w:hAnsi="仿宋" w:eastAsia="仿宋" w:cs="仿宋"/>
                <w:b/>
                <w:sz w:val="28"/>
              </w:rPr>
              <w:t>4.验收标准</w:t>
            </w:r>
          </w:p>
          <w:p>
            <w:pPr>
              <w:pStyle w:val="6"/>
              <w:ind w:firstLine="280"/>
              <w:jc w:val="both"/>
            </w:pPr>
            <w:r>
              <w:rPr>
                <w:rFonts w:ascii="仿宋" w:hAnsi="仿宋" w:eastAsia="仿宋" w:cs="仿宋"/>
                <w:sz w:val="28"/>
              </w:rPr>
              <w:t>（1）总体要求：在江油市项目实施区落实耕地生产障碍修复利用措施面积10000亩，其中包含10个修复利用综合效果评价田间试验点和200个综合效果监测点，通过采取适宜的耕地生产障碍修复利用技术，确保江油市2023年度受污染耕地安全利用率≥93%，以保障农产品质量安全。同时，根据《耕地污染治理效果评价准则》，耕地生产障碍修复利用区农产品达标率达到90%及以上，农产品重金属限量值参考《食品安全国家标准食品中污染物限量》（GB2762-2017）标准，且作物产量不低于正常产量的90%。</w:t>
            </w:r>
          </w:p>
          <w:p>
            <w:pPr>
              <w:pStyle w:val="6"/>
              <w:ind w:firstLine="280"/>
              <w:jc w:val="both"/>
            </w:pPr>
            <w:r>
              <w:rPr>
                <w:rFonts w:ascii="仿宋" w:hAnsi="仿宋" w:eastAsia="仿宋" w:cs="仿宋"/>
                <w:sz w:val="28"/>
              </w:rPr>
              <w:t>（2）投入品要求：耕地污染技术措施不能对耕地或地下环境造成二次污染，安全利用所使用钝化剂、叶面阻控剂等耕地投入品中镉、汞、砷、铅、铬5种重金属含量，不能超过《土壤环境质量农用地土壤污染风险管控标准》（GB15618-2018）规定的筛选值，或者采取措施区域耕地土壤中对应元素的含量。</w:t>
            </w:r>
          </w:p>
          <w:p>
            <w:pPr>
              <w:pStyle w:val="6"/>
              <w:ind w:firstLine="480"/>
              <w:jc w:val="center"/>
            </w:pPr>
            <w:r>
              <w:rPr>
                <w:rFonts w:ascii="仿宋" w:hAnsi="仿宋" w:eastAsia="仿宋" w:cs="仿宋"/>
                <w:sz w:val="28"/>
              </w:rPr>
              <w:t>农用地土壤污染风险筛选值</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51"/>
              <w:gridCol w:w="650"/>
              <w:gridCol w:w="650"/>
              <w:gridCol w:w="755"/>
              <w:gridCol w:w="758"/>
              <w:gridCol w:w="758"/>
              <w:gridCol w:w="75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52" w:type="dxa"/>
                  <w:vMerge w:val="restart"/>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序号</w:t>
                  </w:r>
                </w:p>
              </w:tc>
              <w:tc>
                <w:tcPr>
                  <w:tcW w:w="530" w:type="dxa"/>
                  <w:gridSpan w:val="2"/>
                  <w:vMerge w:val="restart"/>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污染物项目①②</w:t>
                  </w:r>
                </w:p>
              </w:tc>
              <w:tc>
                <w:tcPr>
                  <w:tcW w:w="1760" w:type="dxa"/>
                  <w:gridSpan w:val="4"/>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风险筛选值（mg/kg）</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single" w:color="000000" w:sz="4" w:space="0"/>
                    <w:left w:val="single" w:color="000000" w:sz="4" w:space="0"/>
                    <w:bottom w:val="single" w:color="000000" w:sz="4" w:space="0"/>
                    <w:right w:val="single" w:color="000000" w:sz="4" w:space="0"/>
                  </w:tcBorders>
                </w:tcPr>
                <w:p/>
              </w:tc>
              <w:tc>
                <w:tcPr>
                  <w:tcW w:w="530" w:type="dxa"/>
                  <w:gridSpan w:val="2"/>
                  <w:vMerge w:val="continue"/>
                  <w:tcBorders>
                    <w:top w:val="single" w:color="000000" w:sz="4" w:space="0"/>
                    <w:left w:val="single" w:color="000000" w:sz="4" w:space="0"/>
                    <w:bottom w:val="single" w:color="000000" w:sz="4" w:space="0"/>
                    <w:right w:val="single" w:color="000000" w:sz="4" w:space="0"/>
                  </w:tcBorders>
                </w:tcP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pH≤5.5</w:t>
                  </w:r>
                </w:p>
              </w:tc>
              <w:tc>
                <w:tcPr>
                  <w:tcW w:w="440" w:type="dxa"/>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5.5＜pH≤6.5</w:t>
                  </w:r>
                </w:p>
              </w:tc>
              <w:tc>
                <w:tcPr>
                  <w:tcW w:w="440" w:type="dxa"/>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6.5＜pH≤7.5</w:t>
                  </w:r>
                </w:p>
              </w:tc>
              <w:tc>
                <w:tcPr>
                  <w:tcW w:w="440" w:type="dxa"/>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b/>
                      <w:sz w:val="21"/>
                    </w:rPr>
                    <w:t>pH＞7.5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w:t>
                  </w:r>
                </w:p>
              </w:tc>
              <w:tc>
                <w:tcPr>
                  <w:tcW w:w="265"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镉</w:t>
                  </w: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水田</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0.3</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0.4</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0.6</w:t>
                  </w:r>
                </w:p>
              </w:tc>
              <w:tc>
                <w:tcPr>
                  <w:tcW w:w="440" w:type="dxa"/>
                  <w:tcBorders>
                    <w:top w:val="single" w:color="000000" w:sz="4" w:space="0"/>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nil"/>
                    <w:left w:val="single" w:color="000000" w:sz="4" w:space="0"/>
                    <w:bottom w:val="single" w:color="000000" w:sz="4" w:space="0"/>
                    <w:right w:val="single" w:color="000000" w:sz="4" w:space="0"/>
                  </w:tcBorders>
                </w:tcPr>
                <w:p/>
              </w:tc>
              <w:tc>
                <w:tcPr>
                  <w:tcW w:w="265" w:type="dxa"/>
                  <w:vMerge w:val="continue"/>
                  <w:tcBorders>
                    <w:top w:val="nil"/>
                    <w:left w:val="single" w:color="000000" w:sz="4" w:space="0"/>
                    <w:bottom w:val="single" w:color="000000" w:sz="4" w:space="0"/>
                    <w:right w:val="single" w:color="000000" w:sz="4" w:space="0"/>
                  </w:tcBorders>
                </w:tcP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其他</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0.3</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0.3</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0.3</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w:t>
                  </w:r>
                </w:p>
              </w:tc>
              <w:tc>
                <w:tcPr>
                  <w:tcW w:w="265"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汞</w:t>
                  </w: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水田</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0.5</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0.5</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0.6</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nil"/>
                    <w:left w:val="single" w:color="000000" w:sz="4" w:space="0"/>
                    <w:bottom w:val="single" w:color="000000" w:sz="4" w:space="0"/>
                    <w:right w:val="single" w:color="000000" w:sz="4" w:space="0"/>
                  </w:tcBorders>
                </w:tcPr>
                <w:p/>
              </w:tc>
              <w:tc>
                <w:tcPr>
                  <w:tcW w:w="265" w:type="dxa"/>
                  <w:vMerge w:val="continue"/>
                  <w:tcBorders>
                    <w:top w:val="nil"/>
                    <w:left w:val="single" w:color="000000" w:sz="4" w:space="0"/>
                    <w:bottom w:val="single" w:color="000000" w:sz="4" w:space="0"/>
                    <w:right w:val="single" w:color="000000" w:sz="4" w:space="0"/>
                  </w:tcBorders>
                </w:tcP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其他</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1.3</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1.8</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2.4</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w:t>
                  </w:r>
                </w:p>
              </w:tc>
              <w:tc>
                <w:tcPr>
                  <w:tcW w:w="265"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砷</w:t>
                  </w: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水田</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25</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nil"/>
                    <w:left w:val="single" w:color="000000" w:sz="4" w:space="0"/>
                    <w:bottom w:val="single" w:color="000000" w:sz="4" w:space="0"/>
                    <w:right w:val="single" w:color="000000" w:sz="4" w:space="0"/>
                  </w:tcBorders>
                </w:tcPr>
                <w:p/>
              </w:tc>
              <w:tc>
                <w:tcPr>
                  <w:tcW w:w="265" w:type="dxa"/>
                  <w:vMerge w:val="continue"/>
                  <w:tcBorders>
                    <w:top w:val="nil"/>
                    <w:left w:val="single" w:color="000000" w:sz="4" w:space="0"/>
                    <w:bottom w:val="single" w:color="000000" w:sz="4" w:space="0"/>
                    <w:right w:val="single" w:color="000000" w:sz="4" w:space="0"/>
                  </w:tcBorders>
                </w:tcP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其他</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40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40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4</w:t>
                  </w:r>
                </w:p>
              </w:tc>
              <w:tc>
                <w:tcPr>
                  <w:tcW w:w="265"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铅</w:t>
                  </w: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水田</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80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100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140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240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nil"/>
                    <w:left w:val="single" w:color="000000" w:sz="4" w:space="0"/>
                    <w:bottom w:val="single" w:color="000000" w:sz="4" w:space="0"/>
                    <w:right w:val="single" w:color="000000" w:sz="4" w:space="0"/>
                  </w:tcBorders>
                </w:tcPr>
                <w:p/>
              </w:tc>
              <w:tc>
                <w:tcPr>
                  <w:tcW w:w="265" w:type="dxa"/>
                  <w:vMerge w:val="continue"/>
                  <w:tcBorders>
                    <w:top w:val="nil"/>
                    <w:left w:val="single" w:color="000000" w:sz="4" w:space="0"/>
                    <w:bottom w:val="single" w:color="000000" w:sz="4" w:space="0"/>
                    <w:right w:val="single" w:color="000000" w:sz="4" w:space="0"/>
                  </w:tcBorders>
                </w:tcP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其他</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70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90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120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5</w:t>
                  </w:r>
                </w:p>
              </w:tc>
              <w:tc>
                <w:tcPr>
                  <w:tcW w:w="265" w:type="dxa"/>
                  <w:vMerge w:val="restart"/>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铬</w:t>
                  </w: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水田</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250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250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300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350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 w:type="dxa"/>
                  <w:vMerge w:val="continue"/>
                  <w:tcBorders>
                    <w:top w:val="nil"/>
                    <w:left w:val="single" w:color="000000" w:sz="4" w:space="0"/>
                    <w:bottom w:val="single" w:color="000000" w:sz="4" w:space="0"/>
                    <w:right w:val="single" w:color="000000" w:sz="4" w:space="0"/>
                  </w:tcBorders>
                </w:tcPr>
                <w:p/>
              </w:tc>
              <w:tc>
                <w:tcPr>
                  <w:tcW w:w="265" w:type="dxa"/>
                  <w:vMerge w:val="continue"/>
                  <w:tcBorders>
                    <w:top w:val="nil"/>
                    <w:left w:val="single" w:color="000000" w:sz="4" w:space="0"/>
                    <w:bottom w:val="single" w:color="000000" w:sz="4" w:space="0"/>
                    <w:right w:val="single" w:color="000000" w:sz="4" w:space="0"/>
                  </w:tcBorders>
                </w:tcPr>
                <w:p/>
              </w:tc>
              <w:tc>
                <w:tcPr>
                  <w:tcW w:w="265"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其他</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150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150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200</w:t>
                  </w:r>
                </w:p>
              </w:tc>
              <w:tc>
                <w:tcPr>
                  <w:tcW w:w="440" w:type="dxa"/>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center"/>
                  </w:pPr>
                  <w:r>
                    <w:rPr>
                      <w:rFonts w:ascii="仿宋" w:hAnsi="仿宋" w:eastAsia="仿宋" w:cs="仿宋"/>
                      <w:sz w:val="21"/>
                    </w:rPr>
                    <w:t>250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2" w:type="dxa"/>
                  <w:gridSpan w:val="7"/>
                  <w:tcBorders>
                    <w:top w:val="nil"/>
                    <w:left w:val="single" w:color="000000" w:sz="4" w:space="0"/>
                    <w:bottom w:val="single" w:color="000000" w:sz="4" w:space="0"/>
                    <w:right w:val="single" w:color="000000" w:sz="4" w:space="0"/>
                  </w:tcBorders>
                  <w:tcMar>
                    <w:top w:w="0" w:type="dxa"/>
                    <w:left w:w="30" w:type="dxa"/>
                    <w:bottom w:w="0" w:type="dxa"/>
                    <w:right w:w="30" w:type="dxa"/>
                  </w:tcMar>
                  <w:vAlign w:val="top"/>
                </w:tcPr>
                <w:p>
                  <w:pPr>
                    <w:pStyle w:val="6"/>
                    <w:ind w:firstLine="380"/>
                    <w:jc w:val="left"/>
                  </w:pPr>
                  <w:r>
                    <w:rPr>
                      <w:rFonts w:ascii="仿宋" w:hAnsi="仿宋" w:eastAsia="仿宋" w:cs="仿宋"/>
                      <w:sz w:val="21"/>
                    </w:rPr>
                    <w:t>注：①重金属和类金属砷均按元素总量计。</w:t>
                  </w:r>
                </w:p>
                <w:p>
                  <w:pPr>
                    <w:pStyle w:val="6"/>
                    <w:ind w:firstLine="480"/>
                    <w:jc w:val="left"/>
                  </w:pPr>
                  <w:r>
                    <w:rPr>
                      <w:rFonts w:ascii="仿宋" w:hAnsi="仿宋" w:eastAsia="仿宋" w:cs="仿宋"/>
                      <w:sz w:val="21"/>
                    </w:rPr>
                    <w:t>②对于水旱轮作地，采用其中较严格的含量限值。</w:t>
                  </w:r>
                </w:p>
              </w:tc>
            </w:tr>
          </w:tbl>
          <w:p/>
        </w:tc>
      </w:tr>
    </w:tbl>
    <w:p>
      <w:pPr>
        <w:pStyle w:val="6"/>
        <w:ind w:firstLine="480"/>
        <w:jc w:val="left"/>
        <w:outlineLvl w:val="2"/>
      </w:pPr>
      <w:r>
        <w:rPr>
          <w:b/>
          <w:sz w:val="28"/>
        </w:rPr>
        <w:t>3.2.3人员配置要求</w:t>
      </w:r>
    </w:p>
    <w:p>
      <w:pPr>
        <w:pStyle w:val="6"/>
        <w:jc w:val="left"/>
      </w:pPr>
    </w:p>
    <w:p>
      <w:pPr>
        <w:pStyle w:val="6"/>
        <w:jc w:val="left"/>
      </w:pPr>
    </w:p>
    <w:p>
      <w:pPr>
        <w:pStyle w:val="6"/>
        <w:jc w:val="left"/>
      </w:pPr>
    </w:p>
    <w:p>
      <w:pPr>
        <w:pStyle w:val="6"/>
        <w:jc w:val="left"/>
      </w:pPr>
      <w:r>
        <w:t>采购包1：</w:t>
      </w:r>
    </w:p>
    <w:p>
      <w:pPr>
        <w:pStyle w:val="6"/>
        <w:jc w:val="left"/>
      </w:pPr>
      <w:r>
        <w:t>按实际采购需求</w:t>
      </w:r>
    </w:p>
    <w:p>
      <w:pPr>
        <w:pStyle w:val="6"/>
        <w:ind w:firstLine="480"/>
        <w:jc w:val="left"/>
        <w:outlineLvl w:val="2"/>
      </w:pPr>
      <w:r>
        <w:rPr>
          <w:b/>
          <w:sz w:val="28"/>
        </w:rPr>
        <w:t>3.2.4设施设备要求</w:t>
      </w:r>
    </w:p>
    <w:p>
      <w:pPr>
        <w:pStyle w:val="6"/>
        <w:jc w:val="left"/>
      </w:pPr>
    </w:p>
    <w:p>
      <w:pPr>
        <w:pStyle w:val="6"/>
        <w:jc w:val="left"/>
      </w:pPr>
    </w:p>
    <w:p>
      <w:pPr>
        <w:pStyle w:val="6"/>
        <w:jc w:val="left"/>
      </w:pPr>
    </w:p>
    <w:p>
      <w:pPr>
        <w:pStyle w:val="6"/>
        <w:jc w:val="left"/>
      </w:pPr>
      <w:r>
        <w:t>采购包1：</w:t>
      </w:r>
    </w:p>
    <w:p>
      <w:pPr>
        <w:pStyle w:val="6"/>
        <w:jc w:val="left"/>
      </w:pPr>
      <w:r>
        <w:t>按实际采购需求</w:t>
      </w:r>
    </w:p>
    <w:p>
      <w:pPr>
        <w:pStyle w:val="6"/>
        <w:ind w:firstLine="480"/>
        <w:jc w:val="left"/>
        <w:outlineLvl w:val="2"/>
      </w:pPr>
      <w:r>
        <w:rPr>
          <w:b/>
          <w:sz w:val="28"/>
        </w:rPr>
        <w:t>3.2.5其他要求</w:t>
      </w:r>
    </w:p>
    <w:p>
      <w:pPr>
        <w:pStyle w:val="6"/>
        <w:jc w:val="left"/>
      </w:pPr>
    </w:p>
    <w:p>
      <w:pPr>
        <w:pStyle w:val="6"/>
        <w:jc w:val="left"/>
      </w:pPr>
    </w:p>
    <w:p>
      <w:pPr>
        <w:pStyle w:val="6"/>
        <w:jc w:val="left"/>
      </w:pPr>
    </w:p>
    <w:p>
      <w:pPr>
        <w:pStyle w:val="6"/>
        <w:jc w:val="left"/>
      </w:pPr>
      <w:r>
        <w:t>采购包1：</w:t>
      </w:r>
    </w:p>
    <w:p>
      <w:pPr>
        <w:pStyle w:val="6"/>
        <w:jc w:val="left"/>
      </w:pPr>
      <w:r>
        <w:t>按实际采购需求</w:t>
      </w:r>
    </w:p>
    <w:p>
      <w:pPr>
        <w:pStyle w:val="6"/>
        <w:ind w:firstLine="480"/>
        <w:jc w:val="left"/>
        <w:outlineLvl w:val="2"/>
      </w:pPr>
      <w:r>
        <w:rPr>
          <w:b/>
          <w:sz w:val="28"/>
        </w:rPr>
        <w:t>3.3、商务要求</w:t>
      </w:r>
    </w:p>
    <w:p>
      <w:pPr>
        <w:pStyle w:val="6"/>
        <w:ind w:firstLine="480"/>
        <w:jc w:val="left"/>
        <w:outlineLvl w:val="3"/>
      </w:pPr>
      <w:r>
        <w:rPr>
          <w:b/>
          <w:sz w:val="24"/>
        </w:rPr>
        <w:t>3.3.1服务期限</w:t>
      </w:r>
    </w:p>
    <w:p>
      <w:pPr>
        <w:pStyle w:val="6"/>
        <w:jc w:val="left"/>
      </w:pPr>
    </w:p>
    <w:p>
      <w:pPr>
        <w:pStyle w:val="6"/>
        <w:jc w:val="left"/>
      </w:pPr>
    </w:p>
    <w:p>
      <w:pPr>
        <w:pStyle w:val="6"/>
        <w:jc w:val="left"/>
      </w:pPr>
    </w:p>
    <w:p>
      <w:pPr>
        <w:pStyle w:val="6"/>
        <w:jc w:val="left"/>
      </w:pPr>
      <w:r>
        <w:t>采购包1：</w:t>
      </w:r>
    </w:p>
    <w:p>
      <w:pPr>
        <w:pStyle w:val="6"/>
        <w:jc w:val="left"/>
      </w:pPr>
      <w:r>
        <w:t>自合同签订之日起180日</w:t>
      </w:r>
    </w:p>
    <w:p>
      <w:pPr>
        <w:pStyle w:val="6"/>
        <w:ind w:firstLine="480"/>
        <w:jc w:val="left"/>
        <w:outlineLvl w:val="3"/>
      </w:pPr>
      <w:r>
        <w:rPr>
          <w:b/>
          <w:sz w:val="24"/>
        </w:rPr>
        <w:t>3.3.2服务地点</w:t>
      </w:r>
    </w:p>
    <w:p>
      <w:pPr>
        <w:pStyle w:val="6"/>
        <w:jc w:val="left"/>
      </w:pPr>
    </w:p>
    <w:p>
      <w:pPr>
        <w:pStyle w:val="6"/>
        <w:jc w:val="left"/>
      </w:pPr>
    </w:p>
    <w:p>
      <w:pPr>
        <w:pStyle w:val="6"/>
        <w:jc w:val="left"/>
      </w:pPr>
    </w:p>
    <w:p>
      <w:pPr>
        <w:pStyle w:val="6"/>
        <w:jc w:val="left"/>
      </w:pPr>
      <w:r>
        <w:t>采购包1：</w:t>
      </w:r>
    </w:p>
    <w:p>
      <w:pPr>
        <w:pStyle w:val="6"/>
        <w:jc w:val="left"/>
      </w:pPr>
      <w:r>
        <w:t>江油市</w:t>
      </w:r>
    </w:p>
    <w:p>
      <w:pPr>
        <w:pStyle w:val="6"/>
        <w:ind w:firstLine="480"/>
        <w:jc w:val="left"/>
        <w:outlineLvl w:val="3"/>
      </w:pPr>
      <w:r>
        <w:rPr>
          <w:b/>
          <w:sz w:val="24"/>
        </w:rPr>
        <w:t>3.3.3考核（验收）标准和方法</w:t>
      </w:r>
    </w:p>
    <w:p>
      <w:pPr>
        <w:pStyle w:val="6"/>
        <w:jc w:val="left"/>
      </w:pPr>
    </w:p>
    <w:p>
      <w:pPr>
        <w:pStyle w:val="6"/>
        <w:jc w:val="left"/>
      </w:pPr>
    </w:p>
    <w:p>
      <w:pPr>
        <w:pStyle w:val="6"/>
        <w:jc w:val="left"/>
      </w:pPr>
    </w:p>
    <w:p>
      <w:pPr>
        <w:pStyle w:val="6"/>
        <w:jc w:val="left"/>
      </w:pPr>
      <w:r>
        <w:t>采购包1：</w:t>
      </w:r>
    </w:p>
    <w:p>
      <w:pPr>
        <w:pStyle w:val="6"/>
        <w:jc w:val="left"/>
      </w:pPr>
      <w:r>
        <w:t>（1）总体要求：在江油市项目实施区落实耕地生产障碍修复利用措施面积10000亩，其中包含10个修复利用综合效果评价田间试验点和200个综合效果监测点，通过采取适宜的耕地生产障碍修复利用技术，确保江油市2023年度受污染耕地安全利用率≥93%，以保障农产品质量安全。同时，根据《耕地污染治理效果评价准则》，耕地生产障碍修复利用区农产品达标率达到90%及以上，农产品重金属限量值参考《食品安全国家标准食品中污染物限量》（GB2762-2017）标准，且作物产量不低于正常产量的90%。 （2）投入品要求：耕地污染技术措施不能对耕地或地下环境造成二次污染，安全利用所使用钝化剂、叶面阻控剂等耕地投入品中镉、汞、砷、铅、铬5种重金属含量，不能超过《土壤环境质量农用地土壤污染风险管控标准》（GB15618-2018）规定的筛选值，或者采取措施区域耕地土壤中对应元素的含量。</w:t>
      </w:r>
    </w:p>
    <w:p>
      <w:pPr>
        <w:pStyle w:val="6"/>
        <w:ind w:firstLine="480"/>
        <w:jc w:val="left"/>
        <w:outlineLvl w:val="3"/>
      </w:pPr>
      <w:r>
        <w:rPr>
          <w:b/>
          <w:sz w:val="24"/>
        </w:rPr>
        <w:t>3.3.4支付方式</w:t>
      </w:r>
    </w:p>
    <w:p>
      <w:pPr>
        <w:pStyle w:val="6"/>
        <w:jc w:val="left"/>
      </w:pPr>
    </w:p>
    <w:p>
      <w:pPr>
        <w:pStyle w:val="6"/>
        <w:jc w:val="left"/>
      </w:pPr>
    </w:p>
    <w:p>
      <w:pPr>
        <w:pStyle w:val="6"/>
        <w:jc w:val="left"/>
      </w:pPr>
    </w:p>
    <w:p>
      <w:pPr>
        <w:pStyle w:val="6"/>
        <w:jc w:val="left"/>
      </w:pPr>
      <w:r>
        <w:t>采购包1：</w:t>
      </w:r>
    </w:p>
    <w:p>
      <w:pPr>
        <w:pStyle w:val="6"/>
        <w:jc w:val="left"/>
      </w:pPr>
      <w:r>
        <w:t>分期付款</w:t>
      </w:r>
    </w:p>
    <w:p>
      <w:pPr>
        <w:pStyle w:val="6"/>
        <w:ind w:firstLine="480"/>
        <w:jc w:val="left"/>
        <w:outlineLvl w:val="3"/>
      </w:pPr>
      <w:r>
        <w:rPr>
          <w:b/>
          <w:sz w:val="24"/>
        </w:rPr>
        <w:t>3.3.5支付约定</w:t>
      </w:r>
    </w:p>
    <w:p>
      <w:pPr>
        <w:pStyle w:val="6"/>
        <w:jc w:val="left"/>
      </w:pPr>
    </w:p>
    <w:p>
      <w:pPr>
        <w:pStyle w:val="6"/>
        <w:jc w:val="left"/>
      </w:pPr>
    </w:p>
    <w:p>
      <w:pPr>
        <w:pStyle w:val="6"/>
        <w:jc w:val="left"/>
      </w:pPr>
    </w:p>
    <w:p>
      <w:pPr>
        <w:pStyle w:val="6"/>
        <w:jc w:val="left"/>
      </w:pPr>
      <w:r>
        <w:t>采购包1：付款条件说明：签到合同后，达到付款条件起15日，支付合同总金额的30.00%。</w:t>
      </w:r>
    </w:p>
    <w:p>
      <w:pPr>
        <w:pStyle w:val="6"/>
        <w:jc w:val="left"/>
      </w:pPr>
      <w:r>
        <w:t>采购包1：付款条件说明：经采购人组织相关人员进行验收合格后，达到付款条件起15日，支付合同总金额的70.00%。</w:t>
      </w:r>
    </w:p>
    <w:p>
      <w:pPr>
        <w:pStyle w:val="6"/>
        <w:ind w:firstLine="480"/>
        <w:jc w:val="left"/>
        <w:outlineLvl w:val="3"/>
      </w:pPr>
      <w:r>
        <w:rPr>
          <w:b/>
          <w:sz w:val="24"/>
        </w:rPr>
        <w:t>3.3.6违约责任及解决争议的方法</w:t>
      </w:r>
    </w:p>
    <w:p>
      <w:pPr>
        <w:pStyle w:val="6"/>
        <w:jc w:val="left"/>
      </w:pPr>
    </w:p>
    <w:p>
      <w:pPr>
        <w:pStyle w:val="6"/>
        <w:jc w:val="left"/>
      </w:pPr>
    </w:p>
    <w:p>
      <w:pPr>
        <w:pStyle w:val="6"/>
        <w:jc w:val="left"/>
      </w:pPr>
    </w:p>
    <w:p>
      <w:pPr>
        <w:pStyle w:val="6"/>
        <w:jc w:val="left"/>
      </w:pPr>
      <w:r>
        <w:t>采购包1：</w:t>
      </w:r>
    </w:p>
    <w:p>
      <w:pPr>
        <w:pStyle w:val="6"/>
        <w:jc w:val="left"/>
      </w:pPr>
      <w:r>
        <w:t>按相关法律法规、招标文件、签订合同约定</w:t>
      </w:r>
    </w:p>
    <w:p>
      <w:pPr>
        <w:pStyle w:val="6"/>
        <w:ind w:firstLine="480"/>
        <w:jc w:val="left"/>
        <w:outlineLvl w:val="2"/>
      </w:pPr>
      <w:r>
        <w:rPr>
          <w:b/>
          <w:sz w:val="28"/>
        </w:rPr>
        <w:t>3.4其他要求</w:t>
      </w:r>
    </w:p>
    <w:p>
      <w:pPr>
        <w:pStyle w:val="6"/>
        <w:jc w:val="left"/>
      </w:pPr>
    </w:p>
    <w:p>
      <w:pPr>
        <w:pStyle w:val="6"/>
        <w:jc w:val="left"/>
      </w:pPr>
    </w:p>
    <w:p>
      <w:pPr>
        <w:pStyle w:val="6"/>
        <w:jc w:val="left"/>
      </w:pPr>
      <w:r>
        <w:t>按采购需求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MTA0ZDMxZDM5MDc1MTQxM2JhYTljN2ZiMGQ3NGUifQ=="/>
  </w:docVars>
  <w:rsids>
    <w:rsidRoot w:val="4FA572CA"/>
    <w:rsid w:val="28806ED3"/>
    <w:rsid w:val="32C339B7"/>
    <w:rsid w:val="369E53A2"/>
    <w:rsid w:val="479531AF"/>
    <w:rsid w:val="4B1E2F7B"/>
    <w:rsid w:val="4FA572CA"/>
    <w:rsid w:val="51633F13"/>
    <w:rsid w:val="59F539A7"/>
    <w:rsid w:val="5B2E4658"/>
    <w:rsid w:val="6473552A"/>
    <w:rsid w:val="7AAA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semiHidden/>
    <w:unhideWhenUsed/>
    <w:qFormat/>
    <w:uiPriority w:val="0"/>
    <w:pPr>
      <w:spacing w:line="596" w:lineRule="exact"/>
      <w:jc w:val="center"/>
      <w:outlineLvl w:val="1"/>
    </w:pPr>
    <w:rPr>
      <w:rFonts w:ascii="PMingLiU" w:hAnsi="PMingLiU" w:eastAsia="黑体" w:cs="PMingLiU"/>
      <w:b/>
      <w:sz w:val="32"/>
      <w:szCs w:val="30"/>
      <w:lang w:val="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2 Char"/>
    <w:link w:val="2"/>
    <w:qFormat/>
    <w:uiPriority w:val="1"/>
    <w:rPr>
      <w:rFonts w:ascii="PMingLiU" w:hAnsi="PMingLiU" w:eastAsia="黑体" w:cs="PMingLiU"/>
      <w:b/>
      <w:sz w:val="32"/>
      <w:szCs w:val="30"/>
      <w:lang w:val="zh-CN" w:bidi="zh-CN"/>
    </w:rPr>
  </w:style>
  <w:style w:type="paragraph" w:customStyle="1" w:styleId="6">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2023-06-19T06:32:00Z</dcterms:created>
  <dc:creator>弯逗颠颠</dc:creator>
  <cp:lastModifiedBy>弯逗颠颠</cp:lastModifiedBy>
  <dcterms:modified xsi:type="dcterms:W3CDTF">2023-06-19T06:33:34Z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2B342AAAD11241A3B4431091D38AEE37_11</vt:lpwstr>
  </property>
</Properties>
</file>