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四川省广元中学学生用上下床采购</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520,000.00</w:t>
      </w:r>
    </w:p>
    <w:p>
      <w:pPr>
        <w:pStyle w:val="4"/>
      </w:pPr>
      <w:r>
        <w:t>采购包最高限价（元）: 520,000.00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上下铺公寓床、铺板</w:t>
            </w:r>
          </w:p>
        </w:tc>
        <w:tc>
          <w:tcPr>
            <w:tcW w:w="848" w:type="dxa"/>
          </w:tcPr>
          <w:p>
            <w:pPr>
              <w:pStyle w:val="4"/>
              <w:jc w:val="right"/>
            </w:pPr>
            <w:r>
              <w:t>1.00</w:t>
            </w:r>
          </w:p>
        </w:tc>
        <w:tc>
          <w:tcPr>
            <w:tcW w:w="1356" w:type="dxa"/>
          </w:tcPr>
          <w:p>
            <w:pPr>
              <w:pStyle w:val="4"/>
              <w:jc w:val="right"/>
            </w:pPr>
            <w:r>
              <w:t>520,000.00</w:t>
            </w:r>
          </w:p>
        </w:tc>
        <w:tc>
          <w:tcPr>
            <w:tcW w:w="678" w:type="dxa"/>
          </w:tcPr>
          <w:p>
            <w:pPr>
              <w:pStyle w:val="4"/>
            </w:pPr>
            <w:r>
              <w:t>批</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是</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标的名称：上下铺公寓床、铺板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24"/>
        <w:gridCol w:w="2125"/>
        <w:gridCol w:w="427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b/>
                <w:color w:val="000000"/>
                <w:sz w:val="22"/>
              </w:rPr>
              <w:t>一、项目概述</w:t>
            </w:r>
          </w:p>
          <w:p>
            <w:pPr>
              <w:pStyle w:val="4"/>
              <w:ind w:firstLine="440"/>
              <w:jc w:val="both"/>
            </w:pPr>
            <w:r>
              <w:rPr>
                <w:rFonts w:ascii="仿宋" w:hAnsi="仿宋" w:eastAsia="仿宋" w:cs="仿宋"/>
                <w:color w:val="000000"/>
                <w:sz w:val="22"/>
              </w:rPr>
              <w:t>该项目为：四川省广元中学六号学生公寓床采购；拟采购“</w:t>
            </w:r>
            <w:r>
              <w:rPr>
                <w:rFonts w:ascii="仿宋" w:hAnsi="仿宋" w:eastAsia="仿宋" w:cs="仿宋"/>
                <w:sz w:val="22"/>
              </w:rPr>
              <w:t>上下铺公寓床</w:t>
            </w:r>
            <w:r>
              <w:rPr>
                <w:rFonts w:ascii="仿宋" w:hAnsi="仿宋" w:eastAsia="仿宋" w:cs="仿宋"/>
                <w:color w:val="000000"/>
                <w:sz w:val="22"/>
              </w:rPr>
              <w:t>”一批（520架，</w:t>
            </w:r>
            <w:r>
              <w:rPr>
                <w:rFonts w:ascii="仿宋" w:hAnsi="仿宋" w:eastAsia="仿宋" w:cs="仿宋"/>
                <w:sz w:val="21"/>
              </w:rPr>
              <w:t>每架床须包含2张铺板，以满足学生正常使用</w:t>
            </w:r>
            <w:r>
              <w:rPr>
                <w:rFonts w:ascii="仿宋" w:hAnsi="仿宋" w:eastAsia="仿宋" w:cs="仿宋"/>
                <w:color w:val="000000"/>
                <w:sz w:val="22"/>
              </w:rPr>
              <w:t>）。</w:t>
            </w:r>
          </w:p>
          <w:p>
            <w:pPr>
              <w:pStyle w:val="4"/>
              <w:jc w:val="both"/>
            </w:pPr>
            <w:r>
              <w:rPr>
                <w:rFonts w:ascii="仿宋" w:hAnsi="仿宋" w:eastAsia="仿宋" w:cs="仿宋"/>
                <w:b/>
                <w:color w:val="000000"/>
                <w:sz w:val="22"/>
              </w:rPr>
              <w:t>二、技术参数及要求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251"/>
              <w:gridCol w:w="251"/>
              <w:gridCol w:w="2444"/>
              <w:gridCol w:w="251"/>
              <w:gridCol w:w="445"/>
              <w:gridCol w:w="41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b/>
                      <w:sz w:val="22"/>
                    </w:rPr>
                    <w:t>序号</w:t>
                  </w:r>
                </w:p>
              </w:tc>
              <w:tc>
                <w:tcPr>
                  <w:tcW w:w="21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b/>
                      <w:sz w:val="22"/>
                    </w:rPr>
                    <w:t>标的名称</w:t>
                  </w:r>
                </w:p>
              </w:tc>
              <w:tc>
                <w:tcPr>
                  <w:tcW w:w="124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b/>
                      <w:sz w:val="22"/>
                    </w:rPr>
                    <w:t>技术参数要求</w:t>
                  </w:r>
                </w:p>
              </w:tc>
              <w:tc>
                <w:tcPr>
                  <w:tcW w:w="388"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b/>
                      <w:sz w:val="22"/>
                    </w:rPr>
                    <w:t>参考图片</w:t>
                  </w:r>
                </w:p>
              </w:tc>
              <w:tc>
                <w:tcPr>
                  <w:tcW w:w="17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b/>
                      <w:sz w:val="22"/>
                    </w:rPr>
                    <w:t>数量</w:t>
                  </w:r>
                </w:p>
              </w:tc>
              <w:tc>
                <w:tcPr>
                  <w:tcW w:w="19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b/>
                      <w:sz w:val="22"/>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1" w:type="dxa"/>
                  <w:tcBorders>
                    <w:top w:val="nil"/>
                    <w:left w:val="single" w:color="000000" w:sz="4" w:space="0"/>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2"/>
                    </w:rPr>
                    <w:t>1</w:t>
                  </w:r>
                </w:p>
              </w:tc>
              <w:tc>
                <w:tcPr>
                  <w:tcW w:w="210"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2"/>
                    </w:rPr>
                    <w:t>上下铺公寓床</w:t>
                  </w:r>
                </w:p>
              </w:tc>
              <w:tc>
                <w:tcPr>
                  <w:tcW w:w="1244"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pPr>
                  <w:r>
                    <w:rPr>
                      <w:rFonts w:ascii="&quot;times new roman&quot;" w:hAnsi="&quot;times new roman&quot;" w:eastAsia="&quot;times new roman&quot;" w:cs="&quot;times new roman&quot;"/>
                      <w:sz w:val="21"/>
                    </w:rPr>
                    <w:t>1.产品尺寸规格：2000W×900D×2000Hmm。</w:t>
                  </w:r>
                </w:p>
                <w:p>
                  <w:pPr>
                    <w:pStyle w:val="4"/>
                  </w:pPr>
                  <w:r>
                    <w:rPr>
                      <w:rFonts w:ascii="&quot;times new roman&quot;" w:hAnsi="&quot;times new roman&quot;" w:eastAsia="&quot;times new roman&quot;" w:cs="&quot;times new roman&quot;"/>
                      <w:sz w:val="21"/>
                    </w:rPr>
                    <w:t>2.▲立柱：应为55×55×1.2mm厚高频焊接镀锌闭口型材管，管材截面周长193mm形状为八边形，长边尺寸为32mm，短边尺寸为16.5mm；立柱上下均应为PP塑料的静音内塞；立柱检验依据:GB/T3325-2017，检测项目至少包含金属喷漆（塑）涂层硬度、金属喷漆（塑）涂层附着力。</w:t>
                  </w:r>
                  <w:r>
                    <w:rPr>
                      <w:rFonts w:ascii="&quot;times new roman&quot;" w:hAnsi="&quot;times new roman&quot;" w:eastAsia="&quot;times new roman&quot;" w:cs="&quot;times new roman&quot;"/>
                      <w:b/>
                      <w:sz w:val="21"/>
                    </w:rPr>
                    <w:t>（投标时提供2020年以来国家认监委认可的或第三方质量检测机构出具的满足技术参数“立柱”检验报告）</w:t>
                  </w:r>
                </w:p>
                <w:p>
                  <w:pPr>
                    <w:pStyle w:val="4"/>
                  </w:pPr>
                  <w:r>
                    <w:rPr>
                      <w:rFonts w:ascii="&quot;times new roman&quot;" w:hAnsi="&quot;times new roman&quot;" w:eastAsia="&quot;times new roman&quot;" w:cs="&quot;times new roman&quot;"/>
                      <w:sz w:val="21"/>
                    </w:rPr>
                    <w:t>3.床厅：应为80×28×1.2mm厚高频焊接内外镀锌闭口型管材，管表面经环保氧聚酯塑粉静电喷塑处理。</w:t>
                  </w:r>
                </w:p>
                <w:p>
                  <w:pPr>
                    <w:pStyle w:val="4"/>
                  </w:pPr>
                  <w:r>
                    <w:rPr>
                      <w:rFonts w:ascii="&quot;times new roman&quot;" w:hAnsi="&quot;times new roman&quot;" w:eastAsia="&quot;times new roman&quot;" w:cs="&quot;times new roman&quot;"/>
                      <w:sz w:val="21"/>
                    </w:rPr>
                    <w:t>4.▲卡式连接件（28×28×115mm）：应为2mm厚钢板经冲压一次成型，连接扣点采用不小于2个位置纵向垂直连接，每个扣点与立柱接触面不小于3面，整体卡扣隐藏式,表面平整光滑，无冲压孔；卡式连接件检验依据：QB/T4767-2014《家具用钢构件》，检测项目包含金属喷漆（塑）涂层硬度、金属喷漆（塑）涂层附着力、金属涂层抗盐雾。</w:t>
                  </w:r>
                  <w:r>
                    <w:rPr>
                      <w:rFonts w:ascii="&quot;times new roman&quot;" w:hAnsi="&quot;times new roman&quot;" w:eastAsia="&quot;times new roman&quot;" w:cs="&quot;times new roman&quot;"/>
                      <w:b/>
                      <w:sz w:val="21"/>
                    </w:rPr>
                    <w:t>（投标时提供2020年以来国家认监委认可的或第三方质量检测机构出具的满足技术参数“卡式连接件”检验报告）</w:t>
                  </w:r>
                </w:p>
                <w:p>
                  <w:pPr>
                    <w:pStyle w:val="4"/>
                  </w:pPr>
                  <w:r>
                    <w:rPr>
                      <w:rFonts w:ascii="&quot;times new roman&quot;" w:hAnsi="&quot;times new roman&quot;" w:eastAsia="&quot;times new roman&quot;" w:cs="&quot;times new roman&quot;"/>
                      <w:sz w:val="21"/>
                    </w:rPr>
                    <w:t>5.床换：采用27×27×1.1mm厚高频焊接内外镀锌闭口型管材，截面为梯形，四周倒圆角，床换5根。</w:t>
                  </w:r>
                </w:p>
                <w:p>
                  <w:pPr>
                    <w:pStyle w:val="4"/>
                  </w:pPr>
                  <w:r>
                    <w:rPr>
                      <w:rFonts w:ascii="&quot;times new roman&quot;" w:hAnsi="&quot;times new roman&quot;" w:eastAsia="&quot;times new roman&quot;" w:cs="&quot;times new roman&quot;"/>
                      <w:sz w:val="21"/>
                    </w:rPr>
                    <w:t>6.床头拉换：采用47×55×1.1mm厚高频焊接闭口型管材。</w:t>
                  </w:r>
                </w:p>
                <w:p>
                  <w:pPr>
                    <w:pStyle w:val="4"/>
                  </w:pPr>
                  <w:r>
                    <w:rPr>
                      <w:rFonts w:ascii="&quot;times new roman&quot;" w:hAnsi="&quot;times new roman&quot;" w:eastAsia="&quot;times new roman&quot;" w:cs="&quot;times new roman&quot;"/>
                      <w:sz w:val="21"/>
                    </w:rPr>
                    <w:t>7.床厅护栏：护栏横支撑采用25×25×1.2mm方管，其余采用20×20×1.0mm方管，横装饰板采用16mm厚E1级三聚氰胺纸饰面颗粒板。</w:t>
                  </w:r>
                </w:p>
                <w:p>
                  <w:pPr>
                    <w:pStyle w:val="4"/>
                  </w:pPr>
                  <w:r>
                    <w:rPr>
                      <w:rFonts w:ascii="&quot;times new roman&quot;" w:hAnsi="&quot;times new roman&quot;" w:eastAsia="&quot;times new roman&quot;" w:cs="&quot;times new roman&quot;"/>
                      <w:sz w:val="21"/>
                    </w:rPr>
                    <w:t>8.床头护栏：护栏横支撑采用25×25×1.0mm方管，其余采用20×20×1.0mm方管。</w:t>
                  </w:r>
                </w:p>
                <w:p>
                  <w:pPr>
                    <w:pStyle w:val="4"/>
                  </w:pPr>
                  <w:r>
                    <w:rPr>
                      <w:rFonts w:ascii="&quot;times new roman&quot;" w:hAnsi="&quot;times new roman&quot;" w:eastAsia="&quot;times new roman&quot;" w:cs="&quot;times new roman&quot;"/>
                      <w:sz w:val="21"/>
                    </w:rPr>
                    <w:t>9.▲爬梯钢架：采用26mm×36mm×1.2mm高频焊接内外镀锌椭圆管制作；冷轧钢板检验依据：GB/T 700-2006《碳素结构钢》、GB/T 3325-2017《金属家具通用技术条件》，检测项目包含外观性能要求、金属喷漆 (塑)涂层、力学性能。</w:t>
                  </w:r>
                  <w:r>
                    <w:rPr>
                      <w:rFonts w:ascii="&quot;times new roman&quot;" w:hAnsi="&quot;times new roman&quot;" w:eastAsia="&quot;times new roman&quot;" w:cs="&quot;times new roman&quot;"/>
                      <w:b/>
                      <w:sz w:val="21"/>
                    </w:rPr>
                    <w:t>（投标时提供2020年以来国家认监委认可的或第三方质量检测机构出具的满足技术参数“冷轧钢板”检验报告）</w:t>
                  </w:r>
                </w:p>
                <w:p>
                  <w:pPr>
                    <w:pStyle w:val="4"/>
                  </w:pPr>
                  <w:r>
                    <w:rPr>
                      <w:rFonts w:ascii="&quot;times new roman&quot;" w:hAnsi="&quot;times new roman&quot;" w:eastAsia="&quot;times new roman&quot;" w:cs="&quot;times new roman&quot;"/>
                      <w:sz w:val="21"/>
                    </w:rPr>
                    <w:t>10.▲脚踏板(400*77*25mm)：钢制踏板（长度400mm，宽度70mm，厚度20mm，钢板厚度1.5mm），上方配全覆盖钢制踏板的PP环保工程塑料防滑块（长度365mm，宽度77mm，厚度25mm）。防滑踏板检测项目和实测值为：塑料重金属可溶性铅≤90、塑料重金属可溶性镉≤75、塑料重金属可溶性铬≤60、塑料重金属可溶性汞≤60）</w:t>
                  </w:r>
                  <w:r>
                    <w:rPr>
                      <w:rFonts w:ascii="&quot;times new roman&quot;" w:hAnsi="&quot;times new roman&quot;" w:eastAsia="&quot;times new roman&quot;" w:cs="&quot;times new roman&quot;"/>
                      <w:b/>
                      <w:sz w:val="21"/>
                    </w:rPr>
                    <w:t>（投标时提供2020年以来国家认监委认可的或第三方质量检测机构出具的满足技术参数“防滑踏板”检验报告）</w:t>
                  </w:r>
                </w:p>
                <w:p>
                  <w:pPr>
                    <w:pStyle w:val="4"/>
                  </w:pPr>
                  <w:r>
                    <w:rPr>
                      <w:rFonts w:ascii="&quot;times new roman&quot;" w:hAnsi="&quot;times new roman&quot;" w:eastAsia="&quot;times new roman&quot;" w:cs="&quot;times new roman&quot;"/>
                      <w:sz w:val="21"/>
                    </w:rPr>
                    <w:t>11.爬梯连接件装饰套：采用ABS环保塑料制作，连接爬梯和床厅，防止爬梯与床厅直接接触产生异响。</w:t>
                  </w:r>
                </w:p>
                <w:p>
                  <w:pPr>
                    <w:pStyle w:val="4"/>
                  </w:pPr>
                  <w:r>
                    <w:rPr>
                      <w:rFonts w:ascii="&quot;times new roman&quot;" w:hAnsi="&quot;times new roman&quot;" w:eastAsia="&quot;times new roman&quot;" w:cs="&quot;times new roman&quot;"/>
                      <w:sz w:val="21"/>
                    </w:rPr>
                    <w:t>12.墙面固定方式：采用特制固定块焊接在立柱或后床厅上，通过固定块往墙里打入膨胀螺栓，使其床体与墙面连接，牢固不摇晃。</w:t>
                  </w:r>
                </w:p>
                <w:p>
                  <w:pPr>
                    <w:pStyle w:val="4"/>
                  </w:pPr>
                  <w:r>
                    <w:rPr>
                      <w:rFonts w:ascii="&quot;times new roman&quot;" w:hAnsi="&quot;times new roman&quot;" w:eastAsia="&quot;times new roman&quot;" w:cs="&quot;times new roman&quot;"/>
                      <w:sz w:val="21"/>
                    </w:rPr>
                    <w:t>13.三聚氰胺饰面板：甲醛释放限量≤0.12mg/m³。</w:t>
                  </w:r>
                </w:p>
                <w:p>
                  <w:pPr>
                    <w:pStyle w:val="4"/>
                  </w:pPr>
                  <w:r>
                    <w:rPr>
                      <w:rFonts w:ascii="&quot;times new roman&quot;" w:hAnsi="&quot;times new roman&quot;" w:eastAsia="&quot;times new roman&quot;" w:cs="&quot;times new roman&quot;"/>
                      <w:sz w:val="21"/>
                    </w:rPr>
                    <w:t>14.喷涂塑粉：检验依据化工推荐标准HG/T 2006-2022《热固性粉末涂料》，检测项目包含重金属可溶性铅、可溶性镉、可溶性铬、可溶性汞。</w:t>
                  </w:r>
                </w:p>
                <w:p>
                  <w:pPr>
                    <w:pStyle w:val="4"/>
                  </w:pPr>
                  <w:r>
                    <w:rPr>
                      <w:rFonts w:ascii="&quot;times new roman&quot;" w:hAnsi="&quot;times new roman&quot;" w:eastAsia="&quot;times new roman&quot;" w:cs="&quot;times new roman&quot;"/>
                      <w:sz w:val="21"/>
                    </w:rPr>
                    <w:t>15.▲</w:t>
                  </w:r>
                  <w:r>
                    <w:rPr>
                      <w:rFonts w:ascii="&quot;times new roman&quot;" w:hAnsi="&quot;times new roman&quot;" w:eastAsia="&quot;times new roman&quot;" w:cs="&quot;times new roman&quot;"/>
                      <w:b/>
                      <w:sz w:val="21"/>
                    </w:rPr>
                    <w:t>提供2020年以来国家认监委认可的或第三方质量检测机构出具的“学生公寓床”检验报告，检验依据：QB/T2741-2013《学生公寓多功能家具》、GB/T 35607-2017《绿色产品评价家具》，检测项目包含金属件表面涂层耐腐蚀、桌类桌面垂直静载荷，甲醛释放量，家具涂层可迁移元素铅、镉、铬、汞、锑、钡、硒、砷。检验结论合格或符合。</w:t>
                  </w:r>
                </w:p>
              </w:tc>
              <w:tc>
                <w:tcPr>
                  <w:tcW w:w="388"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p>
              </w:tc>
              <w:tc>
                <w:tcPr>
                  <w:tcW w:w="174"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b/>
                      <w:sz w:val="22"/>
                    </w:rPr>
                    <w:t>520架</w:t>
                  </w:r>
                </w:p>
              </w:tc>
              <w:tc>
                <w:tcPr>
                  <w:tcW w:w="196"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quot;times new roman&quot;" w:hAnsi="&quot;times new roman&quot;" w:eastAsia="&quot;times new roman&quot;" w:cs="&quot;times new roman&quot;"/>
                      <w:sz w:val="19"/>
                    </w:rPr>
                    <w:t>核心产品。所属行业：工业</w:t>
                  </w:r>
                </w:p>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1" w:type="dxa"/>
                  <w:tcBorders>
                    <w:top w:val="nil"/>
                    <w:left w:val="single" w:color="000000" w:sz="4" w:space="0"/>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2"/>
                    </w:rPr>
                    <w:t>2</w:t>
                  </w:r>
                </w:p>
              </w:tc>
              <w:tc>
                <w:tcPr>
                  <w:tcW w:w="210"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r>
                    <w:rPr>
                      <w:rFonts w:ascii="仿宋" w:hAnsi="仿宋" w:eastAsia="仿宋" w:cs="仿宋"/>
                      <w:sz w:val="22"/>
                    </w:rPr>
                    <w:t>铺</w:t>
                  </w:r>
                  <w:r>
                    <w:rPr>
                      <w:rFonts w:ascii="&quot;times new roman&quot;" w:hAnsi="&quot;times new roman&quot;" w:eastAsia="&quot;times new roman&quot;" w:cs="&quot;times new roman&quot;"/>
                      <w:sz w:val="21"/>
                    </w:rPr>
                    <w:t xml:space="preserve"> </w:t>
                  </w:r>
                  <w:r>
                    <w:rPr>
                      <w:rFonts w:ascii="仿宋" w:hAnsi="仿宋" w:eastAsia="仿宋" w:cs="仿宋"/>
                      <w:sz w:val="22"/>
                    </w:rPr>
                    <w:t>板</w:t>
                  </w:r>
                </w:p>
              </w:tc>
              <w:tc>
                <w:tcPr>
                  <w:tcW w:w="1244"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right="15"/>
                    <w:jc w:val="both"/>
                  </w:pPr>
                  <w:r>
                    <w:rPr>
                      <w:rFonts w:ascii="仿宋" w:hAnsi="仿宋" w:eastAsia="仿宋" w:cs="仿宋"/>
                      <w:sz w:val="22"/>
                    </w:rPr>
                    <w:t>16.床铺板：采用9mm厚优质多层板，双面光滑。该铺板与上下铺公寓床配套使用。</w:t>
                  </w:r>
                </w:p>
              </w:tc>
              <w:tc>
                <w:tcPr>
                  <w:tcW w:w="388"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jc w:val="center"/>
                  </w:pPr>
                </w:p>
              </w:tc>
              <w:tc>
                <w:tcPr>
                  <w:tcW w:w="174"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pPr>
                  <w:r>
                    <w:rPr>
                      <w:rFonts w:ascii="&quot;times new roman&quot;" w:hAnsi="&quot;times new roman&quot;" w:eastAsia="&quot;times new roman&quot;" w:cs="&quot;times new roman&quot;"/>
                      <w:sz w:val="19"/>
                    </w:rPr>
                    <w:t>1040张</w:t>
                  </w:r>
                </w:p>
              </w:tc>
              <w:tc>
                <w:tcPr>
                  <w:tcW w:w="196"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pPr>
                  <w:r>
                    <w:rPr>
                      <w:rFonts w:ascii="&quot;times new roman&quot;" w:hAnsi="&quot;times new roman&quot;" w:eastAsia="&quot;times new roman&quot;" w:cs="&quot;times new roman&quot;"/>
                      <w:sz w:val="19"/>
                    </w:rPr>
                    <w:t>所属行业：工业</w:t>
                  </w:r>
                </w:p>
              </w:tc>
            </w:tr>
          </w:tbl>
          <w:p>
            <w:pPr>
              <w:pStyle w:val="4"/>
              <w:jc w:val="both"/>
            </w:pPr>
            <w:r>
              <w:rPr>
                <w:rFonts w:ascii="仿宋" w:hAnsi="仿宋" w:eastAsia="仿宋" w:cs="仿宋"/>
                <w:b/>
                <w:sz w:val="22"/>
              </w:rPr>
              <w:t>★三、商务、售后及其他要求</w:t>
            </w:r>
          </w:p>
          <w:p>
            <w:pPr>
              <w:pStyle w:val="4"/>
              <w:jc w:val="both"/>
            </w:pPr>
            <w:r>
              <w:rPr>
                <w:rFonts w:ascii="仿宋" w:hAnsi="仿宋" w:eastAsia="仿宋" w:cs="仿宋"/>
                <w:sz w:val="22"/>
              </w:rPr>
              <w:t>1.交货地点：四川省广元中学。</w:t>
            </w:r>
          </w:p>
          <w:p>
            <w:pPr>
              <w:pStyle w:val="4"/>
              <w:jc w:val="both"/>
            </w:pPr>
            <w:r>
              <w:rPr>
                <w:rFonts w:ascii="仿宋" w:hAnsi="仿宋" w:eastAsia="仿宋" w:cs="仿宋"/>
                <w:sz w:val="22"/>
              </w:rPr>
              <w:t>2.交货时间：合同签订之日起30日内完成设备交货、安装、调试，并协助采购人完成验收等相关工作, 确保所有设备正常使用。如因项目学校的基建或其他原因不能送货安装的，货物在中标人处存放，之后根据项目学校确定的时间送货到校。</w:t>
            </w:r>
          </w:p>
          <w:p>
            <w:pPr>
              <w:pStyle w:val="4"/>
              <w:spacing w:after="120"/>
              <w:ind w:firstLine="440"/>
              <w:jc w:val="left"/>
            </w:pPr>
            <w:r>
              <w:rPr>
                <w:rFonts w:ascii="仿宋" w:hAnsi="仿宋" w:eastAsia="仿宋" w:cs="仿宋"/>
                <w:sz w:val="22"/>
              </w:rPr>
              <w:t>3.付款方式：</w:t>
            </w:r>
          </w:p>
          <w:p>
            <w:pPr>
              <w:pStyle w:val="4"/>
              <w:ind w:firstLine="440"/>
              <w:jc w:val="both"/>
            </w:pPr>
            <w:r>
              <w:rPr>
                <w:rFonts w:ascii="仿宋" w:hAnsi="仿宋" w:eastAsia="仿宋" w:cs="仿宋"/>
                <w:sz w:val="22"/>
              </w:rPr>
              <w:t>3.1 本项目合同款项由采购人支付。合同签订生效后采购人支付预付款，达到付款条件起 5日，支付合同总金额的 50.00 %；</w:t>
            </w:r>
          </w:p>
          <w:p>
            <w:pPr>
              <w:pStyle w:val="4"/>
              <w:ind w:firstLine="440"/>
              <w:jc w:val="both"/>
            </w:pPr>
            <w:r>
              <w:rPr>
                <w:rFonts w:ascii="仿宋" w:hAnsi="仿宋" w:eastAsia="仿宋" w:cs="仿宋"/>
                <w:sz w:val="22"/>
              </w:rPr>
              <w:t>3.2 中标人按照合同约定时间内完成本项目的设备安装调试工作，采购人组织验收， 达到付款条件起 30 日，支付合同总金额的 50.00 %。</w:t>
            </w:r>
          </w:p>
          <w:p>
            <w:pPr>
              <w:pStyle w:val="4"/>
              <w:ind w:firstLine="440"/>
              <w:jc w:val="both"/>
            </w:pPr>
            <w:r>
              <w:rPr>
                <w:rFonts w:ascii="仿宋" w:hAnsi="仿宋" w:eastAsia="仿宋" w:cs="仿宋"/>
                <w:sz w:val="22"/>
              </w:rPr>
              <w:t>4.报价要求：投标人投标报价须包含货物成本、运输、安装（包括床位的加固）、调试、售后、质保、税金及完成本项目的一切相关费用。采购人无须另行向中标人支付其他任何费用。</w:t>
            </w:r>
          </w:p>
          <w:p>
            <w:pPr>
              <w:pStyle w:val="4"/>
              <w:ind w:firstLine="440"/>
              <w:jc w:val="both"/>
            </w:pPr>
            <w:r>
              <w:rPr>
                <w:rFonts w:ascii="仿宋" w:hAnsi="仿宋" w:eastAsia="仿宋" w:cs="仿宋"/>
                <w:sz w:val="22"/>
              </w:rPr>
              <w:t>5.质量要求</w:t>
            </w:r>
          </w:p>
          <w:p>
            <w:pPr>
              <w:pStyle w:val="4"/>
              <w:ind w:firstLine="440"/>
              <w:jc w:val="both"/>
            </w:pPr>
            <w:r>
              <w:rPr>
                <w:rFonts w:ascii="仿宋" w:hAnsi="仿宋" w:eastAsia="仿宋" w:cs="仿宋"/>
                <w:sz w:val="22"/>
              </w:rPr>
              <w:t>5.1 投标人须提供全新的货物(含零部件、配件、使用说明书等)，表面无划伤、无碰撞痕迹，且权属清楚，不得侵害他人的知识产权，并按照相关要求包装完好；</w:t>
            </w:r>
          </w:p>
          <w:p>
            <w:pPr>
              <w:pStyle w:val="4"/>
              <w:ind w:firstLine="440"/>
              <w:jc w:val="both"/>
            </w:pPr>
            <w:r>
              <w:rPr>
                <w:rFonts w:ascii="仿宋" w:hAnsi="仿宋" w:eastAsia="仿宋" w:cs="仿宋"/>
                <w:sz w:val="22"/>
              </w:rPr>
              <w:t>5.2 投标产品必须符合或优于国家(行业)标准、地方标准或者其他标准、规范要求，以及本项目招标文件的质量要求和技术指标与出厂标准；</w:t>
            </w:r>
          </w:p>
          <w:p>
            <w:pPr>
              <w:pStyle w:val="4"/>
              <w:ind w:firstLine="440"/>
              <w:jc w:val="both"/>
            </w:pPr>
            <w:r>
              <w:rPr>
                <w:rFonts w:ascii="仿宋" w:hAnsi="仿宋" w:eastAsia="仿宋" w:cs="仿宋"/>
                <w:sz w:val="22"/>
              </w:rPr>
              <w:t>5.3 投标产品质量出现问题，投标人应负责三包(包修、包换、包退)，费用由投标人负担，采购人有权到产品生产厂家生产场地检查货物质量和生产进度。</w:t>
            </w:r>
          </w:p>
          <w:p>
            <w:pPr>
              <w:pStyle w:val="4"/>
              <w:ind w:firstLine="440"/>
              <w:jc w:val="both"/>
            </w:pPr>
            <w:r>
              <w:rPr>
                <w:rFonts w:ascii="仿宋" w:hAnsi="仿宋" w:eastAsia="仿宋" w:cs="仿宋"/>
                <w:sz w:val="22"/>
              </w:rPr>
              <w:t>6.售后服务要求</w:t>
            </w:r>
          </w:p>
          <w:p>
            <w:pPr>
              <w:pStyle w:val="4"/>
              <w:ind w:firstLine="440"/>
              <w:jc w:val="both"/>
            </w:pPr>
            <w:r>
              <w:rPr>
                <w:rFonts w:ascii="仿宋" w:hAnsi="仿宋" w:eastAsia="仿宋" w:cs="仿宋"/>
                <w:sz w:val="22"/>
              </w:rPr>
              <w:t>6.1质保期：为验收合格后一年，质保期内出现质量问题，投标人在接到通知后 4 小时内响应到场，24 小时内完成维修或更换，并承担修理调换的费用；如货物经投标人三次维修仍不能达到本合同约定的质量标准，视作投标人未能按时交货，采购人有权退货并追究投标人的违约责任。货到现场后由于采购人保管不当造成的问题，投标人亦应负责修复，但费用由采购人负担。质保期外出现的质量问题投标人应终身维护，费用不得超过市场平均价。</w:t>
            </w:r>
          </w:p>
          <w:p>
            <w:pPr>
              <w:pStyle w:val="4"/>
              <w:ind w:firstLine="440"/>
              <w:jc w:val="both"/>
            </w:pPr>
            <w:r>
              <w:rPr>
                <w:rFonts w:ascii="仿宋" w:hAnsi="仿宋" w:eastAsia="仿宋" w:cs="仿宋"/>
                <w:sz w:val="22"/>
              </w:rPr>
              <w:t>6.2 投标人应有完善的技术支持与服务体系，提供 7×24 小时的技术支持服务，配置专门固定的售后服务电话。</w:t>
            </w:r>
          </w:p>
          <w:p>
            <w:pPr>
              <w:pStyle w:val="4"/>
              <w:ind w:firstLine="440"/>
              <w:jc w:val="both"/>
            </w:pPr>
            <w:r>
              <w:rPr>
                <w:rFonts w:ascii="仿宋" w:hAnsi="仿宋" w:eastAsia="仿宋" w:cs="仿宋"/>
                <w:sz w:val="22"/>
              </w:rPr>
              <w:t>6.3 包装要求：涉及商品包装和快递包装的项目，中标人提供产品及相关快递服务的具体包装应符合财政部办公厅生态环境部办公厅国家邮政局办公室关于印发《商品包装政府采购需求标准（试行）》、《快递包装政府采购需求标准（试行）》的通知（财办库〔2020〕123 号）的规定。</w:t>
            </w:r>
          </w:p>
          <w:p>
            <w:pPr>
              <w:pStyle w:val="4"/>
              <w:ind w:firstLine="440"/>
              <w:jc w:val="both"/>
            </w:pPr>
            <w:r>
              <w:rPr>
                <w:rFonts w:ascii="仿宋" w:hAnsi="仿宋" w:eastAsia="仿宋" w:cs="仿宋"/>
                <w:sz w:val="22"/>
              </w:rPr>
              <w:t>7.验收</w:t>
            </w:r>
          </w:p>
          <w:p>
            <w:pPr>
              <w:pStyle w:val="4"/>
              <w:ind w:firstLine="440"/>
              <w:jc w:val="both"/>
            </w:pPr>
            <w:r>
              <w:rPr>
                <w:rFonts w:ascii="仿宋" w:hAnsi="仿宋" w:eastAsia="仿宋" w:cs="仿宋"/>
                <w:sz w:val="22"/>
              </w:rPr>
              <w:t>7.1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4"/>
              <w:ind w:firstLine="440"/>
              <w:jc w:val="both"/>
            </w:pPr>
            <w:r>
              <w:rPr>
                <w:rFonts w:ascii="仿宋" w:hAnsi="仿宋" w:eastAsia="仿宋" w:cs="仿宋"/>
                <w:sz w:val="22"/>
              </w:rPr>
              <w:t>7.2 其他未尽事宜应严格按照政府采购相关法律法规以及根据《财政部关于进一步加强政府采购需求和履约验收管理的指导意见》（财库〔2016〕205号）的要求进行验收。</w:t>
            </w:r>
          </w:p>
          <w:p>
            <w:pPr>
              <w:pStyle w:val="4"/>
              <w:ind w:firstLine="440"/>
              <w:jc w:val="both"/>
            </w:pPr>
            <w:r>
              <w:rPr>
                <w:rFonts w:ascii="仿宋" w:hAnsi="仿宋" w:eastAsia="仿宋" w:cs="仿宋"/>
                <w:sz w:val="22"/>
              </w:rPr>
              <w:t>8.违约责任</w:t>
            </w:r>
          </w:p>
          <w:p>
            <w:pPr>
              <w:pStyle w:val="4"/>
              <w:ind w:firstLine="440"/>
              <w:jc w:val="both"/>
            </w:pPr>
            <w:r>
              <w:rPr>
                <w:rFonts w:ascii="仿宋" w:hAnsi="仿宋" w:eastAsia="仿宋" w:cs="仿宋"/>
                <w:sz w:val="22"/>
              </w:rPr>
              <w:t>8.1 中标人必须遵守采购合同并执行合同中的各项规定，保证采购合同的正常履行；</w:t>
            </w:r>
          </w:p>
          <w:p>
            <w:pPr>
              <w:pStyle w:val="4"/>
              <w:ind w:firstLine="440"/>
              <w:jc w:val="both"/>
            </w:pPr>
            <w:r>
              <w:rPr>
                <w:rFonts w:ascii="仿宋" w:hAnsi="仿宋" w:eastAsia="仿宋" w:cs="仿宋"/>
                <w:sz w:val="22"/>
              </w:rPr>
              <w:t>8.2 如因投标人工作人员在履行职务过程中的的疏忽、失职、过错等故意或者过失原因给采购人造成损失或侵害，包括但不限于采购人本身的财产损失、由此而导致的采购人对任何第三方的法律责任等，投标人对此均应承担全部的赔偿责任。</w:t>
            </w:r>
          </w:p>
          <w:p>
            <w:pPr>
              <w:pStyle w:val="4"/>
              <w:ind w:firstLine="440"/>
              <w:jc w:val="both"/>
            </w:pPr>
            <w:r>
              <w:rPr>
                <w:rFonts w:ascii="仿宋" w:hAnsi="仿宋" w:eastAsia="仿宋" w:cs="仿宋"/>
                <w:sz w:val="22"/>
              </w:rPr>
              <w:t>9.其他要求</w:t>
            </w:r>
          </w:p>
          <w:p>
            <w:pPr>
              <w:pStyle w:val="4"/>
              <w:ind w:firstLine="440"/>
              <w:jc w:val="both"/>
            </w:pPr>
            <w:r>
              <w:rPr>
                <w:rFonts w:ascii="仿宋" w:hAnsi="仿宋" w:eastAsia="仿宋" w:cs="仿宋"/>
                <w:sz w:val="22"/>
              </w:rPr>
              <w:t>9.1 投标人若中标后，将在签订合同前向采购人提供投标文件中提供的带“▲”参数的所有检测报告原件审核，审核合格后签订合同；若投标人质检报告原件不提供、提供不全或提供虚假证明材料的将按虚假应标处理，采购人有权拒签合同，追究所造成的一切损失，并上报采购人所在地财政局监管部门予以处理。（须单独提供书面承诺函-格式自拟）</w:t>
            </w:r>
          </w:p>
          <w:p>
            <w:pPr>
              <w:pStyle w:val="4"/>
              <w:ind w:firstLine="440"/>
              <w:jc w:val="both"/>
            </w:pPr>
            <w:r>
              <w:rPr>
                <w:rFonts w:ascii="仿宋" w:hAnsi="仿宋" w:eastAsia="仿宋" w:cs="仿宋"/>
                <w:sz w:val="22"/>
              </w:rPr>
              <w:t>9.2 中标人签订合同后，所供产品须按照招标文件要求、投标响应参数和合同约定的要求进行生产、交货；否则采购人有权拒绝收货，中标人自行承担由此产生的一切责任和不利后果。（须单独提供书面承诺函-格式自拟）</w:t>
            </w:r>
          </w:p>
          <w:p>
            <w:pPr>
              <w:pStyle w:val="4"/>
              <w:jc w:val="both"/>
            </w:pPr>
            <w:r>
              <w:rPr>
                <w:rFonts w:ascii="仿宋" w:hAnsi="仿宋" w:eastAsia="仿宋" w:cs="仿宋"/>
                <w:b/>
                <w:sz w:val="22"/>
              </w:rPr>
              <w:t>注：以上技术参数中，带“</w:t>
            </w:r>
            <w:r>
              <w:rPr>
                <w:rFonts w:ascii="仿宋" w:hAnsi="仿宋" w:eastAsia="仿宋" w:cs="仿宋"/>
                <w:sz w:val="22"/>
              </w:rPr>
              <w:t>▲</w:t>
            </w:r>
            <w:r>
              <w:rPr>
                <w:rFonts w:ascii="仿宋" w:hAnsi="仿宋" w:eastAsia="仿宋" w:cs="仿宋"/>
                <w:b/>
                <w:sz w:val="22"/>
              </w:rPr>
              <w:t>”项参数为本项目重要技术参数，须按要求提供相关证明材料，未提供或提供不全的按负偏离处理。因系统显示问题，技术参数及要求中的图片详见附件。</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自合同签订之日起30日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四川省广元中学</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本项目合同款项由采购人支付。合同签订生效后采购人支付预付款， ，达到付款条件起 5 日内，支付合同总金额的 50.00%。</w:t>
      </w:r>
    </w:p>
    <w:p>
      <w:pPr>
        <w:pStyle w:val="4"/>
      </w:pPr>
      <w:r>
        <w:t>采购包1： 付款条件说明： 中标人按照合同约定时间内完成本项目的设备安装调试工作，采购人组织验收 ，达到付款条件起 30 日内，支付合同总金额的 50.00%。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质保期：为验收合格后一年，质保期内出现质量问题，投标人在接到通知后 4 小时内响应到场，24 小时内完成维修或更换，并承担修理调换的费用；如货物经投标人三次维修仍不能达到本合同约定的质量标准，视作投标人未能按时交货，采购人有权退货并追究投标人的违约责任。货到现场后由于采购人保管不当造成的问题，投标人亦应负责修复，但费用由采购人负担。质保期外出现的质量问题投标人应终身维护，费用不得超过市场平均价。</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1. 中标人必须遵守采购合同并执行合同中的各项规定，保证采购合同的正常履行； 2. 如因投标人工作人员在履行职务过程中的的疏忽、失职、过错等故意或者过失原因给采购人造成损失或侵害，包括但不限于采购人本身的财产损失、由此而导致的采购人对任何第三方的法律责任等，投标人对此均应承担全部的赔偿责任。</w:t>
      </w:r>
    </w:p>
    <w:p>
      <w:pPr>
        <w:pStyle w:val="4"/>
        <w:jc w:val="left"/>
        <w:outlineLvl w:val="2"/>
      </w:pPr>
      <w:r>
        <w:rPr>
          <w:b/>
          <w:sz w:val="28"/>
        </w:rPr>
        <w:t>3.5其他要求</w:t>
      </w:r>
    </w:p>
    <w:p>
      <w:pPr>
        <w:pStyle w:val="4"/>
      </w:pPr>
    </w:p>
    <w:p>
      <w:pPr>
        <w:pStyle w:val="4"/>
      </w:pPr>
    </w:p>
    <w:p>
      <w:pPr>
        <w:pStyle w:val="4"/>
        <w:rPr>
          <w:rFonts w:hint="eastAsia"/>
          <w:lang w:val="en-US" w:eastAsia="zh-Hans"/>
        </w:rPr>
      </w:pPr>
      <w:r>
        <w:t>知识产权归属和处理方式：投标人应保证在本项目使用的任何产品和服务（包括部分使用）时，不会产生因第三 方提出侵犯其专利权、商标权或其它知识产权而引起的法律和经济纠纷，如因专利权、商标权或其它知识产权而引起法律和经 济纠纷，由投标人承担所有相关责任。 采购人享有本项目实施过程中产生的知识成果及知识产权。 投标人如欲在项目实施过 程中采用自有知识成果，需在投标文件中声明，并提供相关知识产权证明文件。使用该知识成果后，投标人需提供开发接口和 开发手册等技术文档，并承诺提供无限期技术支持，采购人享有永久使用权（含采购人委托第三方在该项目后续开发的使用权 ）。 如采用投标人所不拥有的知识产权，则在投标报价中必须包括合法获取该知识产权的相关费用。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3F00" w:csb1="01000000"/>
  </w:font>
  <w:font w:name="仿宋">
    <w:altName w:val="宋体"/>
    <w:panose1 w:val="00000000000000000000"/>
    <w:charset w:val="00"/>
    <w:family w:val="auto"/>
    <w:pitch w:val="default"/>
    <w:sig w:usb0="00000000" w:usb1="00000000" w:usb2="00000000" w:usb3="00000000" w:csb0="00000000" w:csb1="00000000"/>
  </w:font>
  <w:font w:name="&quot;times new roman&quot;">
    <w:altName w:val="Mangal"/>
    <w:panose1 w:val="00000000000000000000"/>
    <w:charset w:val="00"/>
    <w:family w:val="auto"/>
    <w:pitch w:val="default"/>
    <w:sig w:usb0="00000000" w:usb1="00000000" w:usb2="00000000" w:usb3="00000000" w:csb0="00000000" w:csb1="00000000"/>
  </w:font>
  <w:font w:name="Mangal">
    <w:panose1 w:val="00000400000000000000"/>
    <w:charset w:val="00"/>
    <w:family w:val="auto"/>
    <w:pitch w:val="default"/>
    <w:sig w:usb0="00008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53B52B8D"/>
    <w:rsid w:val="6B915DE8"/>
    <w:rsid w:val="77F79321"/>
    <w:rsid w:val="BBBF7779"/>
    <w:rsid w:val="FBF9B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2022-04-09T03:57:00Z</dcterms:created>
  <dc:creator>五块钱</dc:creator>
  <cp:lastModifiedBy>user</cp:lastModifiedBy>
  <dcterms:modified xsi:type="dcterms:W3CDTF">2023-11-24T15:54:30Z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3D8A0C2F1AEEC23F9A566065D89FBF27</vt:lpwstr>
  </property>
</Properties>
</file>