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50" w:lineRule="atLeast"/>
        <w:ind w:left="0" w:right="0" w:firstLine="0"/>
        <w:jc w:val="center"/>
        <w:rPr>
          <w:rFonts w:hint="eastAsia" w:ascii="宋体" w:hAnsi="宋体" w:eastAsia="宋体" w:cs="宋体"/>
          <w:b/>
          <w:bCs/>
          <w:i w:val="0"/>
          <w:iCs w:val="0"/>
          <w:caps w:val="0"/>
          <w:color w:val="000000" w:themeColor="text1"/>
          <w:spacing w:val="0"/>
          <w:sz w:val="39"/>
          <w:szCs w:val="39"/>
          <w14:textFill>
            <w14:solidFill>
              <w14:schemeClr w14:val="tx1"/>
            </w14:solidFill>
          </w14:textFill>
        </w:rPr>
      </w:pPr>
      <w:r>
        <w:rPr>
          <w:rFonts w:hint="eastAsia" w:ascii="宋体" w:hAnsi="宋体" w:eastAsia="宋体" w:cs="宋体"/>
          <w:b/>
          <w:bCs/>
          <w:i w:val="0"/>
          <w:iCs w:val="0"/>
          <w:caps w:val="0"/>
          <w:color w:val="000000" w:themeColor="text1"/>
          <w:spacing w:val="0"/>
          <w:sz w:val="39"/>
          <w:szCs w:val="39"/>
          <w:bdr w:val="none" w:color="auto" w:sz="0" w:space="0"/>
          <w:shd w:val="clear" w:fill="FFFFFF"/>
          <w14:textFill>
            <w14:solidFill>
              <w14:schemeClr w14:val="tx1"/>
            </w14:solidFill>
          </w14:textFill>
        </w:rPr>
        <w:t>第三章 谈判项目技术、服务、商务及其他要求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20"/>
        <w:rPr>
          <w:rFonts w:hint="eastAsia" w:ascii="宋体" w:hAnsi="宋体" w:eastAsia="宋体" w:cs="宋体"/>
          <w:i w:val="0"/>
          <w:iCs w:val="0"/>
          <w:caps w:val="0"/>
          <w:color w:val="000000" w:themeColor="text1"/>
          <w:spacing w:val="0"/>
          <w14:textFill>
            <w14:solidFill>
              <w14:schemeClr w14:val="tx1"/>
            </w14:solidFill>
          </w14:textFill>
        </w:rPr>
      </w:pPr>
      <w:r>
        <w:rPr>
          <w:rFonts w:hint="eastAsia" w:ascii="宋体" w:hAnsi="宋体" w:eastAsia="宋体" w:cs="宋体"/>
          <w:i w:val="0"/>
          <w:iCs w:val="0"/>
          <w:caps w:val="0"/>
          <w:color w:val="000000" w:themeColor="text1"/>
          <w:spacing w:val="0"/>
          <w:bdr w:val="none" w:color="auto" w:sz="0" w:space="0"/>
          <w:shd w:val="clear" w:fill="FFFFFF"/>
          <w14:textFill>
            <w14:solidFill>
              <w14:schemeClr w14:val="tx1"/>
            </w14:solidFill>
          </w14:textFill>
        </w:rPr>
        <w:t>（带“★”的参数需求为实质性要求，供应商必须响应并满足的参数需求，采购人、采购代理机构应当根据项目实际需求合理设定，并明确具体要求。）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3.1、采购项目概况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井研县竹园镇广新村老茶园品改100亩，购买一批“保靖黄金茶1号”约32万株，3200株/亩，并进行为期一年的管护。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3.2、采购内容</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采购包预算金额（元）: 640,000.00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采购包最高限价（元）: 640,000.00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供应商报价不允许超过标的金额</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（招单价的）供应商报价不允许超过标的单价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750"/>
        <w:gridCol w:w="2160"/>
        <w:gridCol w:w="519"/>
        <w:gridCol w:w="1133"/>
        <w:gridCol w:w="594"/>
        <w:gridCol w:w="946"/>
        <w:gridCol w:w="670"/>
        <w:gridCol w:w="746"/>
        <w:gridCol w:w="746"/>
        <w:gridCol w:w="821"/>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150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标的名称</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数量</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标的金额 （元）</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计量单位</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所属行业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是否核心产品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是否允许进口产品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是否属于节能产品</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是否属于环境标志产品</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保靖黄金茶苗1号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righ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640,000.00</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批</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农、林、牧、渔业</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是</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否</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3.3、技术参数及要求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标的名称：保靖黄金茶苗1号</w:t>
      </w:r>
    </w:p>
    <w:tbl>
      <w:tblPr>
        <w:tblW w:w="5000"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1050"/>
        <w:gridCol w:w="750"/>
        <w:gridCol w:w="728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10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参数性质</w:t>
            </w:r>
          </w:p>
        </w:tc>
        <w:tc>
          <w:tcPr>
            <w:tcW w:w="750" w:type="dxa"/>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序号</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b/>
                <w:bCs/>
                <w:color w:val="000000" w:themeColor="text1"/>
                <w14:textFill>
                  <w14:solidFill>
                    <w14:schemeClr w14:val="tx1"/>
                  </w14:solidFill>
                </w14:textFill>
              </w:rPr>
            </w:pPr>
            <w:r>
              <w:rPr>
                <w:rFonts w:hint="eastAsia" w:ascii="宋体" w:hAnsi="宋体" w:eastAsia="宋体" w:cs="宋体"/>
                <w:b/>
                <w:bCs/>
                <w:color w:val="000000" w:themeColor="text1"/>
                <w:kern w:val="0"/>
                <w:sz w:val="24"/>
                <w:szCs w:val="24"/>
                <w:bdr w:val="none" w:color="auto" w:sz="0" w:space="0"/>
                <w:lang w:val="en-US" w:eastAsia="zh-CN" w:bidi="ar"/>
                <w14:textFill>
                  <w14:solidFill>
                    <w14:schemeClr w14:val="tx1"/>
                  </w14:solidFill>
                </w14:textFill>
              </w:rPr>
              <w:t>技术参数与性能指标</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keepNext w:val="0"/>
              <w:keepLines w:val="0"/>
              <w:widowControl/>
              <w:suppressLineNumbers w:val="0"/>
              <w:wordWrap w:val="0"/>
              <w:spacing w:before="0" w:beforeAutospacing="0" w:after="0" w:afterAutospacing="0" w:line="480" w:lineRule="atLeast"/>
              <w:ind w:left="0" w:right="0"/>
              <w:jc w:val="left"/>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kern w:val="0"/>
                <w:sz w:val="24"/>
                <w:szCs w:val="24"/>
                <w:bdr w:val="none" w:color="auto" w:sz="0" w:space="0"/>
                <w:lang w:val="en-US" w:eastAsia="zh-CN" w:bidi="ar"/>
                <w14:textFill>
                  <w14:solidFill>
                    <w14:schemeClr w14:val="tx1"/>
                  </w14:solidFill>
                </w14:textFill>
              </w:rPr>
              <w:t>1</w:t>
            </w:r>
          </w:p>
        </w:tc>
        <w:tc>
          <w:tcPr>
            <w:tcW w:w="0" w:type="auto"/>
            <w:tcBorders>
              <w:top w:val="single" w:color="000000" w:sz="6" w:space="0"/>
              <w:left w:val="single" w:color="000000" w:sz="6" w:space="0"/>
              <w:bottom w:val="single" w:color="000000" w:sz="6" w:space="0"/>
              <w:right w:val="single" w:color="000000" w:sz="6" w:space="0"/>
            </w:tcBorders>
            <w:shd w:val="clear"/>
            <w:tcMar>
              <w:left w:w="120" w:type="dxa"/>
              <w:right w:w="120" w:type="dxa"/>
            </w:tcMar>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1、技术参数要求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（1）保靖黄金茶苗1号规格：一年生，株高：≥30cm，茎粗（离地10cm）≥0.3cm,根系≥3条侧根（须根不算）；</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（2）茶苗无根结线虫、茶饼病、根癌病、茶煤病等危险性病虫害；</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（3）茶苗根系完整，茶苗鲜活，无发热烧坏茶苗现象；</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（4）茶苗品种纯度为100%；</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2、供货要求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（1）茶苗须完好无损，苗木健壮、根系完整发达，无病虫害。苗木运输中应适当进行包装，应有良好的防腐及防碰撞等保护措施。凡由于包装不良造成的损失和由此产生的费用均由成交方承担。</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rPr>
                <w:rFonts w:hint="eastAsia" w:ascii="宋体" w:hAnsi="宋体" w:eastAsia="宋体" w:cs="宋体"/>
                <w:color w:val="000000" w:themeColor="text1"/>
                <w14:textFill>
                  <w14:solidFill>
                    <w14:schemeClr w14:val="tx1"/>
                  </w14:solidFill>
                </w14:textFill>
              </w:rPr>
            </w:pPr>
            <w:bookmarkStart w:id="0" w:name="_GoBack"/>
            <w:bookmarkEnd w:id="0"/>
            <w:r>
              <w:rPr>
                <w:rFonts w:hint="eastAsia" w:ascii="宋体" w:hAnsi="宋体" w:eastAsia="宋体" w:cs="宋体"/>
                <w:color w:val="000000" w:themeColor="text1"/>
                <w:bdr w:val="none" w:color="auto" w:sz="0" w:space="0"/>
                <w14:textFill>
                  <w14:solidFill>
                    <w14:schemeClr w14:val="tx1"/>
                  </w14:solidFill>
                </w14:textFill>
              </w:rPr>
              <w:t>(2）供应商所供应的苗木必须提供“苗木检验证”“苗木检疫证”“苗木产地标签”，确保每车均有“两证一签”。</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2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bdr w:val="none" w:color="auto" w:sz="0" w:space="0"/>
                <w14:textFill>
                  <w14:solidFill>
                    <w14:schemeClr w14:val="tx1"/>
                  </w14:solidFill>
                </w14:textFill>
              </w:rPr>
              <w:t>3、栽植、后期管护</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（1）栽植时必须保持营养袋或完整土球，保持土坨完好，适当深栽，保持苗正。</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2）茶苗的生长期相当脆弱，成交供应商要派专业技术员进行管护服务。种植后要定时检查成活率，每亩种植不少于3200株，栽植完成后365个日历天内，存活率需达到95%以上，若由于供货及种植质量问题造成成活率不达标，成交供应商需及时无偿补苗，保证成活率达标。</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（3）管护措施包括清除杂草（约一月一次）、覆地膜，成活后追肥，根据虫情适时杀虫，预计2024年3-4月补苗一次等。未达到以上管护要求，发现一次扣除5000元，直到扣完项目管护期金额为止。</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bdr w:val="none" w:color="auto" w:sz="0" w:space="0"/>
                <w14:textFill>
                  <w14:solidFill>
                    <w14:schemeClr w14:val="tx1"/>
                  </w14:solidFill>
                </w14:textFill>
              </w:rPr>
              <w:t>（4）管护期限为验收合格之日起365个日历天内，供应商须定期清理茶苗地内及缠绕在幼苗树上的垃圾杂物、杂草等，并进行及时有效的处理，落实有害生物的防控工作，包括病虫害等的防治，对倒伏、根部暴露等受损的茶苗进行必要的修补。</w:t>
            </w:r>
          </w:p>
          <w:p>
            <w:pPr>
              <w:pStyle w:val="5"/>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80" w:lineRule="atLeast"/>
              <w:ind w:left="0" w:right="0" w:firstLine="0"/>
              <w:rPr>
                <w:rFonts w:hint="eastAsia" w:ascii="宋体" w:hAnsi="宋体" w:eastAsia="宋体" w:cs="宋体"/>
                <w:color w:val="000000" w:themeColor="text1"/>
                <w14:textFill>
                  <w14:solidFill>
                    <w14:schemeClr w14:val="tx1"/>
                  </w14:solidFill>
                </w14:textFill>
              </w:rPr>
            </w:pPr>
            <w:r>
              <w:rPr>
                <w:rStyle w:val="8"/>
                <w:rFonts w:hint="eastAsia" w:ascii="宋体" w:hAnsi="宋体" w:eastAsia="宋体" w:cs="宋体"/>
                <w:color w:val="000000" w:themeColor="text1"/>
                <w:bdr w:val="none" w:color="auto" w:sz="0" w:space="0"/>
                <w14:textFill>
                  <w14:solidFill>
                    <w14:schemeClr w14:val="tx1"/>
                  </w14:solidFill>
                </w14:textFill>
              </w:rPr>
              <w:t>4、其他未尽事项按照国家、省、市、县相关规定执行。</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0"/>
        <w:jc w:val="left"/>
        <w:rPr>
          <w:rFonts w:hint="eastAsia" w:ascii="宋体" w:hAnsi="宋体" w:eastAsia="宋体" w:cs="宋体"/>
          <w:b/>
          <w:bCs/>
          <w:i w:val="0"/>
          <w:iCs w:val="0"/>
          <w:caps w:val="0"/>
          <w:color w:val="000000" w:themeColor="text1"/>
          <w:spacing w:val="0"/>
          <w:sz w:val="27"/>
          <w:szCs w:val="27"/>
          <w14:textFill>
            <w14:solidFill>
              <w14:schemeClr w14:val="tx1"/>
            </w14:solidFill>
          </w14:textFill>
        </w:rPr>
      </w:pPr>
      <w:r>
        <w:rPr>
          <w:rFonts w:hint="eastAsia" w:ascii="宋体" w:hAnsi="宋体" w:eastAsia="宋体" w:cs="宋体"/>
          <w:b/>
          <w:bCs/>
          <w:i w:val="0"/>
          <w:iCs w:val="0"/>
          <w:caps w:val="0"/>
          <w:color w:val="000000" w:themeColor="text1"/>
          <w:spacing w:val="0"/>
          <w:sz w:val="27"/>
          <w:szCs w:val="27"/>
          <w:bdr w:val="none" w:color="auto" w:sz="0" w:space="0"/>
          <w:shd w:val="clear" w:fill="FFFFFF"/>
          <w14:textFill>
            <w14:solidFill>
              <w14:schemeClr w14:val="tx1"/>
            </w14:solidFill>
          </w14:textFill>
        </w:rPr>
        <w:t>3.4、商务要求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3.4.1交货时间</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自合同签订之日起30日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3.4.2交货地点和方式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采购人指定地点。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3.4.3支付方式</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分期付款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3.4.4支付约定</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合同签订后 ，达到付款条件起 10 日，支付合同总金额的 10.00%。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县级相关部门验收合格后 ，达到付款条件起 30 日，支付合同总金额的 60.00%。</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 付款条件说明： 栽植管护期满后，相关部门验收茶苗存活率需达到95%以上时 ，达到付款条件起 30 日，支付合同总金额的 30.00%。</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3.4.5验收标准和方法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其余未尽事项严格按照《财政部关于进一步加强政府采购需求和履约验收管理的指导意见》（财库〔2016〕205号）和乐山市财政局《乐山市政府购项目需求论证和履约验收管理实施细则》的通知（乐市财政采〔2018〕16号）的要求进行验收。依采购文件要求以及成交供应商协议文件中的规格、技术参数响应承诺及其它承诺逐项（条）验收，采购人及成交供应商双方如对质量要求和技术指标的约定标准有相互抵触或异议的事项，由采购人在采购文件、响应文件中按质量要求和技术指标比较优胜的原则确定该项的约定标准进行验收。如发现任何一项与响应件承诺不符，采购人有权拒绝接受，给采购人带来损失的将按相关规定进行赔偿和承担虚假应标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3.4.6包装方式及运输</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3.4.7质量保修范围和保修期</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售后基本服务要求①供应商须提供售后服务人员名单、联系电话；②服务响应：在管护期内，供应商接到采购人电话时，应1小时内响应，4小时内到达采购人指定现场，24小时内解决问题。</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3.4.8违约责任及解决争议的方法</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甲方违约责任 甲方无正当理由拒收货物的，甲方应偿付合同总价百分之 五 的违约金；同时承担乙方在制作过程中造成的损失。 乙方违约责任 （1）乙方交付的货物质量不符合合同规定的，乙方应向甲方支付合同总价的百分之 五 的违约金，并须在合同规定的交货时间内更换合格的货物给甲方，否则，视作乙方不能交付货物而违约，按本条本款下述第“（2）”项规定由乙方偿付违约赔偿金给甲方。 （2）乙方不能交付货物或逾期交付货物而违约的，除应及时交足货物外，应向甲方偿付逾期交货部分货款总额的万分之 五 /天的违约金；逾期交货超过三十天，甲方有权终止合同，乙方则应按合同总价的百分之 二十 的款额向甲方偿付赔偿金，并须全额退还甲方已经付给乙方的货款及其利息。 （3）乙方货物经甲方送交具有法定资格条件的质量技术监督机构检测后，如检测结果认定货物质量不符合本合同规定标准的，则视为乙方没有按时交货而违约，乙方须在 十 个工作日内无条件更换合格的货物，如逾期不能更换合格的货物，甲方有权终止本合同，乙方应另付合同总价的百分之 二十 的赔偿金给甲方。 （4）乙方保证本合同货物的权利无瑕疵，包括货物所有权及知识产权等权利无瑕疵。如任何第三方经法院（或仲裁机构）裁决有权对上述货物主张权利或国家机关依法对货物进行没收查处的，乙方除应向甲方返还已收款项外，还应另按合同总价的百分之 五 向甲方支付违约金并赔偿因此给甲方造成的一切损失。 （5）乙方偿付的违约金不足以弥补甲方损失的，还应按甲方损失尚未弥补的部分，支付赔偿金给甲方。 （6）乙方后期管护人员应按响应文件中承诺的人员投入本项目的工作，并在整个管护期内保持服务人员的相对稳定。根据项目的实际进展情况，适时增派有丰富经验的相关专业人员保证项目的顺利进行。尽管甲方已按要求安排了管护人员，但若甲方认为所在场管护的人员仍不能满足栽植管护的需要而影响了茶苗栽植管护等其他方面的服务时，甲方有权要求乙方另外增加管护人员，乙方应立即予以安排，其费用被认为已包含在本合同总包价格中，甲方将不再另行支付。栽植管护期间内，应保证管护人员每周在现场工作时间不得少于3天，每天在现场工作时间平均不得少于4小时，主要工作为对茶苗覆膜、施肥，除草除虫及死苗跟换。否则，应承担违约责任。 甲乙双方解决争议的办法 （1）因货物的质量问题发生争议，由质量技术监督部门或其指定的质量鉴定机构进行质量鉴定。货物符合标准的，鉴定费由甲方承担；货物不符合质量标准的，鉴定费由乙方承担。 （2）合同履行期间,若双方发生争议，可协商或由有关部门调解解决，协商或调解不成的，由当事人依法维护其合法权益。 此条款中的甲方是指采购人，乙方是指成交供应商。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0"/>
        <w:jc w:val="left"/>
        <w:rPr>
          <w:rFonts w:hint="eastAsia" w:ascii="宋体" w:hAnsi="宋体" w:eastAsia="宋体" w:cs="宋体"/>
          <w:b/>
          <w:bCs/>
          <w:i w:val="0"/>
          <w:iCs w:val="0"/>
          <w:caps w:val="0"/>
          <w:color w:val="000000" w:themeColor="text1"/>
          <w:spacing w:val="0"/>
          <w:sz w:val="24"/>
          <w:szCs w:val="24"/>
          <w14:textFill>
            <w14:solidFill>
              <w14:schemeClr w14:val="tx1"/>
            </w14:solidFill>
          </w14:textFill>
        </w:rPr>
      </w:pPr>
      <w:r>
        <w:rPr>
          <w:rFonts w:hint="eastAsia" w:ascii="宋体" w:hAnsi="宋体" w:eastAsia="宋体" w:cs="宋体"/>
          <w:b/>
          <w:bCs/>
          <w:i w:val="0"/>
          <w:iCs w:val="0"/>
          <w:caps w:val="0"/>
          <w:color w:val="000000" w:themeColor="text1"/>
          <w:spacing w:val="0"/>
          <w:sz w:val="24"/>
          <w:szCs w:val="24"/>
          <w:bdr w:val="none" w:color="auto" w:sz="0" w:space="0"/>
          <w:shd w:val="clear" w:fill="FFFFFF"/>
          <w14:textFill>
            <w14:solidFill>
              <w14:schemeClr w14:val="tx1"/>
            </w14:solidFill>
          </w14:textFill>
        </w:rPr>
        <w:t>3.5其他要求</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rFonts w:hint="eastAsia" w:ascii="宋体" w:hAnsi="宋体" w:eastAsia="宋体" w:cs="宋体"/>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采购包1：</w:t>
      </w:r>
    </w:p>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80" w:lineRule="atLeast"/>
        <w:ind w:left="0" w:right="0" w:firstLine="420"/>
        <w:rPr>
          <w:color w:val="000000" w:themeColor="text1"/>
          <w14:textFill>
            <w14:solidFill>
              <w14:schemeClr w14:val="tx1"/>
            </w14:solidFill>
          </w14:textFill>
        </w:rPr>
      </w:pPr>
      <w:r>
        <w:rPr>
          <w:rFonts w:hint="eastAsia" w:ascii="宋体" w:hAnsi="宋体" w:eastAsia="宋体" w:cs="宋体"/>
          <w:i w:val="0"/>
          <w:iCs w:val="0"/>
          <w:caps w:val="0"/>
          <w:color w:val="000000" w:themeColor="text1"/>
          <w:spacing w:val="0"/>
          <w:sz w:val="21"/>
          <w:szCs w:val="21"/>
          <w:bdr w:val="none" w:color="auto" w:sz="0" w:space="0"/>
          <w:shd w:val="clear" w:fill="FFFFFF"/>
          <w14:textFill>
            <w14:solidFill>
              <w14:schemeClr w14:val="tx1"/>
            </w14:solidFill>
          </w14:textFill>
        </w:rPr>
        <w:t>（1）报价要求：竞标人的竞标报价总价中须含竞标完全履约完成本项目供货应当具备的所有苗木采购、起苗、栽种、种苗运输（含二次转运、上下车）、包装、装卸、管护费用、备品、税金以及本项目服务及售后服务费等完成本项目履约相关的所有费用，采购人不再支付成交供应商除本项目招标金额外的任何费用。 （2）本项目采购人不组织集中现场踏勘，由竞标人自行现场踏勘，需要采购人介绍情况的，向采购人提出。无论竞标人是否对项目自行实地踏勘或实地踏勘评估结果如何，竞标人提交本项目响应文件即表示竞标人已对本项目现场实际情况有充分的认知与了解，其竞标报价是已包含本项目实地自行勘查结果认知的综合报价。 （3）业绩要求：竞标人须提供不少于一个类似业绩，须提供采购合同（协议）复印件并加盖供应商公章。（实质性要求） （4）其他相关事宜：在本响应文件中没有提及的与本项目履约切实相关的事宜，在采购人与成交供应商订立合同时按明细约定或后续补充约定（约定的内容须符合国家相关法律法规的规定）。 注意：本章节以上标注为“实质性要求”为本次项目的实质性要求，不允许有实质性负偏离。</w:t>
      </w:r>
    </w:p>
    <w:sectPr>
      <w:pgSz w:w="11906" w:h="16838"/>
      <w:pgMar w:top="2098" w:right="1474" w:bottom="1984" w:left="1587" w:header="851" w:footer="1417"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jZGUyMzJlYjk4ZDk0OTQzM2YxZmEwODcxYjQzNGQifQ=="/>
  </w:docVars>
  <w:rsids>
    <w:rsidRoot w:val="57B25F24"/>
    <w:rsid w:val="49293F15"/>
    <w:rsid w:val="57B25F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2023-10-17T02:22:00Z</dcterms:created>
  <dc:creator>Administrator</dc:creator>
  <cp:lastModifiedBy>Administrator</cp:lastModifiedBy>
  <dcterms:modified xsi:type="dcterms:W3CDTF">2023-10-17T02:23:55Z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B4677E6113BD456EA5BF4DF6294EA787_11</vt:lpwstr>
  </property>
</Properties>
</file>