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iCs w:val="0"/>
          <w:caps w:val="0"/>
          <w:color w:val="333333"/>
          <w:spacing w:val="0"/>
          <w:sz w:val="31"/>
          <w:szCs w:val="31"/>
        </w:rPr>
      </w:pPr>
      <w:r>
        <w:rPr>
          <w:rFonts w:hint="eastAsia" w:ascii="宋体" w:hAnsi="宋体" w:eastAsia="宋体" w:cs="宋体"/>
          <w:b/>
          <w:bCs/>
          <w:i w:val="0"/>
          <w:iCs w:val="0"/>
          <w:caps w:val="0"/>
          <w:color w:val="333333"/>
          <w:spacing w:val="0"/>
          <w:sz w:val="31"/>
          <w:szCs w:val="31"/>
          <w:bdr w:val="none" w:color="auto" w:sz="0" w:space="0"/>
          <w:shd w:val="clear" w:fill="FFFFFF"/>
        </w:rPr>
        <w:t>第三章 采购项目技术、服务、商务及其他要求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420"/>
        <w:rPr>
          <w:rFonts w:hint="eastAsia" w:ascii="宋体" w:hAnsi="宋体" w:eastAsia="宋体" w:cs="宋体"/>
          <w:i w:val="0"/>
          <w:iCs w:val="0"/>
          <w:caps w:val="0"/>
          <w:color w:val="333333"/>
          <w:spacing w:val="0"/>
          <w:sz w:val="16"/>
          <w:szCs w:val="16"/>
        </w:rPr>
      </w:pPr>
      <w:r>
        <w:rPr>
          <w:rFonts w:hint="eastAsia" w:ascii="宋体" w:hAnsi="宋体" w:eastAsia="宋体" w:cs="宋体"/>
          <w:i w:val="0"/>
          <w:iCs w:val="0"/>
          <w:caps w:val="0"/>
          <w:color w:val="333333"/>
          <w:spacing w:val="0"/>
          <w:sz w:val="16"/>
          <w:szCs w:val="16"/>
          <w:bdr w:val="none" w:color="auto" w:sz="0" w:space="0"/>
          <w:shd w:val="clear" w:fill="FFFFFF"/>
        </w:rPr>
        <w:t>（带“★”的参数需求为实质性要求，供应商必须响应并满足的参数需求，采购人、采购代理机构应当根据项目实际需求合理设定，并明确具体要求。）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b/>
          <w:bCs/>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bdr w:val="none" w:color="auto" w:sz="0" w:space="0"/>
          <w:shd w:val="clear" w:fill="FFFFFF"/>
        </w:rPr>
        <w:t>3.1项目概况</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完成新院区办公桌椅、会议桌椅、档案密集架等内容采购。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b/>
          <w:bCs/>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bdr w:val="none" w:color="auto" w:sz="0" w:space="0"/>
          <w:shd w:val="clear" w:fill="FFFFFF"/>
        </w:rPr>
        <w:t>3.2采购内容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w:t>
      </w:r>
      <w:bookmarkStart w:id="0" w:name="_GoBack"/>
      <w:bookmarkEnd w:id="0"/>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采购包预算金额（元）: 750,000.00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采购包最高限价（元）: 750,000.00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供应商报价不允许超过标的金额</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（招单价的）供应商报价不允许超过标的单价</w:t>
      </w:r>
    </w:p>
    <w:tbl>
      <w:tblPr>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600"/>
        <w:gridCol w:w="1871"/>
        <w:gridCol w:w="486"/>
        <w:gridCol w:w="1152"/>
        <w:gridCol w:w="591"/>
        <w:gridCol w:w="591"/>
        <w:gridCol w:w="696"/>
        <w:gridCol w:w="802"/>
        <w:gridCol w:w="802"/>
        <w:gridCol w:w="90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600" w:type="dxa"/>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序号</w:t>
            </w:r>
          </w:p>
        </w:tc>
        <w:tc>
          <w:tcPr>
            <w:tcW w:w="1200" w:type="dxa"/>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标的名称</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标的金额 （元）</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计量单位</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所属行业</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是否核心产品</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是否允许进口产品</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是否属于节能产品</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是否属于环境标志产品</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新医院设备购置</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righ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righ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750,000.00</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工业</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否</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b/>
          <w:bCs/>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bdr w:val="none" w:color="auto" w:sz="0" w:space="0"/>
          <w:shd w:val="clear" w:fill="FFFFFF"/>
        </w:rPr>
        <w:t>3.3技术参数</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标的名称：新医院设备购置</w:t>
      </w:r>
    </w:p>
    <w:tbl>
      <w:tblPr>
        <w:tblW w:w="5000"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303"/>
        <w:gridCol w:w="303"/>
        <w:gridCol w:w="789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840" w:type="dxa"/>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参数性质</w:t>
            </w:r>
          </w:p>
        </w:tc>
        <w:tc>
          <w:tcPr>
            <w:tcW w:w="600" w:type="dxa"/>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b/>
                <w:bCs/>
              </w:rPr>
            </w:pPr>
            <w:r>
              <w:rPr>
                <w:rFonts w:hint="eastAsia" w:ascii="宋体" w:hAnsi="宋体" w:eastAsia="宋体" w:cs="宋体"/>
                <w:b/>
                <w:bCs/>
                <w:kern w:val="0"/>
                <w:sz w:val="24"/>
                <w:szCs w:val="24"/>
                <w:bdr w:val="none" w:color="auto" w:sz="0" w:space="0"/>
                <w:lang w:val="en-US" w:eastAsia="zh-CN" w:bidi="ar"/>
              </w:rPr>
              <w:t>技术参数与性能指标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储物架1（1000*500*2000mm，共20组）、储物架2（2000*500*2000mm，共50组）：</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sz w:val="21"/>
                <w:szCs w:val="21"/>
                <w:bdr w:val="none" w:color="auto" w:sz="0" w:space="0"/>
              </w:rPr>
              <w:drawing>
                <wp:inline distT="0" distB="0" distL="114300" distR="114300">
                  <wp:extent cx="304800" cy="304800"/>
                  <wp:effectExtent l="0" t="0" r="0" b="0"/>
                  <wp:docPr id="17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7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 descr="IMG_25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7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3" descr="IMG_25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7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 descr="IMG_25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7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 descr="IMG_26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7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descr="IMG_26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7" descr="IMG_26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8" descr="IMG_26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 descr="IMG_26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 descr="IMG_26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1" descr="IMG_26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2" descr="IMG_26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 descr="IMG_26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 descr="IMG_26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 descr="IMG_27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 descr="IMG_27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7" descr="IMG_27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8" descr="IMG_27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6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9" descr="IMG_27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0" descr="IMG_27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1" descr="IMG_27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2" descr="IMG_27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3" descr="IMG_27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4" descr="IMG_27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5" descr="IMG_28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5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6" descr="IMG_28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7" descr="IMG_28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8" descr="IMG_28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9" descr="IMG_28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6"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0" descr="IMG_28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5"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descr="IMG_28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2" descr="IMG_28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33" descr="IMG_28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4" descr="IMG_28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5" descr="IMG_29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40"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6" descr="IMG_29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7" descr="IMG_29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8" descr="IMG_29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9" descr="IMG_29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0" descr="IMG_29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5"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1" descr="IMG_29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4"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2" descr="IMG_29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3" descr="IMG_298"/>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2"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4" descr="IMG_29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1"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5" descr="IMG_30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30"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6" descr="IMG_301"/>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29"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7" descr="IMG_30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2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8" descr="IMG_303"/>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2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9" descr="IMG_304"/>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26"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0" descr="IMG_305"/>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25"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1" descr="IMG_30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1"/>
                <w:szCs w:val="21"/>
                <w:bdr w:val="none" w:color="auto" w:sz="0" w:space="0"/>
              </w:rPr>
              <w:drawing>
                <wp:inline distT="0" distB="0" distL="114300" distR="114300">
                  <wp:extent cx="304800" cy="304800"/>
                  <wp:effectExtent l="0" t="0" r="0" b="0"/>
                  <wp:docPr id="124"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2" descr="IMG_307"/>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color w:val="000000"/>
                <w:sz w:val="18"/>
                <w:szCs w:val="18"/>
                <w:bdr w:val="none" w:color="auto" w:sz="0" w:space="0"/>
              </w:rPr>
              <w:t>1.材料厚度：立柱采用1.0mm冷轧钢板，横梁采用1.0厚钢管，其余部分为0.6冷板。</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2.★冷轧钢板符合：</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（1）GB/T 3325-2017 金属家具通用技术条件；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（2）QB/T 3827-1999 轻工产品金属镀层和化学处理层的耐腐蚀试验方法 乙酸盐雾试验(ASS)法；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（3）QB/T 3826-1999 轻工产品金属镀层和化学处理层的耐腐蚀试验方法 中性盐雾试验(NSS)法；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（4）QB/T 3832-1999 轻工产品金属镀层腐蚀试验结果的评价；</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（5）GB/T 11253-2019 碳素结构钢冷轧钢板及钢带；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（6）GB/T 708-2019 冷轧钢板和钢带的尺寸、外形、重量及允许偏差；</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（7）GB/T 4336-2016 碳素钢和中低合金钢 多元素含量的测定 火花放电原子发射光谱法（常规法）；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（8）GB/T 6739-2006 色漆和清漆 铅笔法测定漆膜硬度；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（9）GB/T 13298-2015 金属显微组织检验方法，检测项目包含不仅限于：①耐腐蚀等级：中性盐雾试验（NSS）、乙酸盐雾试验（ASS），企业技术条件：连续喷雾120h，简易10级制定级法不低于7级（10级为最好，0级最差）；②涂层中可溶性重金属检测合格；③金属喷漆（塑）涂层附着力：应不低于2级；④金相显微组织：企业技术条件：铁素体（F）+珠光体（P）检测合格；⑤弯曲试验：试样弯曲处的外面和侧面不应有目视可见的裂纹；⑥五种化学成分检测合格；⑦伸长率（A</w:t>
            </w:r>
            <w:r>
              <w:rPr>
                <w:rStyle w:val="9"/>
                <w:rFonts w:hint="eastAsia" w:ascii="宋体" w:hAnsi="宋体" w:eastAsia="宋体" w:cs="宋体"/>
                <w:color w:val="000000"/>
                <w:sz w:val="20"/>
                <w:szCs w:val="20"/>
                <w:bdr w:val="none" w:color="auto" w:sz="0" w:space="0"/>
              </w:rPr>
              <w:t>₈₀</w:t>
            </w:r>
            <w:r>
              <w:rPr>
                <w:rFonts w:hint="eastAsia" w:ascii="宋体" w:hAnsi="宋体" w:eastAsia="宋体" w:cs="宋体"/>
                <w:color w:val="000000"/>
                <w:sz w:val="18"/>
                <w:szCs w:val="18"/>
                <w:bdr w:val="none" w:color="auto" w:sz="0" w:space="0"/>
              </w:rPr>
              <w:t>mm）：≥20%、抗拉强度（Rm）：370～500MPa。</w:t>
            </w:r>
            <w:r>
              <w:rPr>
                <w:rFonts w:hint="default" w:ascii="Times New Roman" w:hAnsi="Times New Roman" w:eastAsia="宋体" w:cs="Times New Roman"/>
                <w:sz w:val="21"/>
                <w:szCs w:val="21"/>
                <w:bdr w:val="none" w:color="auto" w:sz="0" w:space="0"/>
              </w:rPr>
              <w:t>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产品经过“校平-开料-折弯-焊接-半成品检验-前处理-表面处理-装配-成品检验-入库”的生产工艺流程；采用标准13工位表面处理工艺：水洗1-预脱脂-主脱脂-水洗2-水洗3-表调-皮膜-水洗4-水洗5-沥水-烘干-喷粉-粉末固化；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4.▲储物架（或货架）符合GB/T 3325-2017 金属家具通用技术条件：检测项目包含“金属件外观性能要求、标志和使用说明、涂层和覆面层中可溶性重金属、金属喷漆（塑）涂层硬度6H、顶板、底板的持续加载试验”。</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drawing>
                <wp:inline distT="0" distB="0" distL="114300" distR="114300">
                  <wp:extent cx="1381125" cy="1828800"/>
                  <wp:effectExtent l="0" t="0" r="5715" b="0"/>
                  <wp:docPr id="123"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3" descr="IMG_308"/>
                          <pic:cNvPicPr>
                            <a:picLocks noChangeAspect="1"/>
                          </pic:cNvPicPr>
                        </pic:nvPicPr>
                        <pic:blipFill>
                          <a:blip r:embed="rId5"/>
                          <a:stretch>
                            <a:fillRect/>
                          </a:stretch>
                        </pic:blipFill>
                        <pic:spPr>
                          <a:xfrm>
                            <a:off x="0" y="0"/>
                            <a:ext cx="1381125" cy="182880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办公椅1（常规，共34把）：</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1.全新尼龙料加20%玻纤背筐，材质稳定，经耐用不掉色，耐热耐磨抗老化，单框设计具备伸张功能；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2.采用高透气纤维面料，▲面料（网布）符合：</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（1）GB 18401-2010 国家纺织产品基本安全技术规范；</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（2）HJ 2546-2016 环境标志产品技术要求 纺织产品；</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（3）GB/T 28190-2011 纺织品 富马酸二甲酯的测定；</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（4）GB/T 30157-2013 纺织品 总铅和总镉含量的测定；</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（5）GB/T 17593.2-2007 纺织品 重金属的测定 第2部分：电感耦合等离子体原子发射光谱法；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（6）B/T 17593.3-2006 纺织品 重金属的测定 第3部分：六价铬 分光光度法；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（7）GB 17591-2006 阻燃机织物检测标准：检测项目必须包含燃烧性能（B₁级）检测（续燃时间、阴燃时间 、损毁长度）和富马酸二甲脂≤0.1 mg/kg检测和可萃取的重金属检测和可分解致癌芳香胺染料检测；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3.固定扶手，使用PP材料设计；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4.采用加厚钢板，回力底盘；气压棒，升降次数可达10万；</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5.脚采用尼龙材料，静音防滑PU轮同样采用尼龙材料。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6.▲办公椅（或座椅、会议椅）符合：QB/T 2280-2016 办公家具 办公椅；GB/T 29525-2013 座椅升降气弹簧 技术条件；GB/T 35607-2017 绿色产品评价 家具；GB/T 16799-2018 家具用皮革；GB/T 19942-2005 皮革和毛皮 化学试验 禁用偶氮染料的测定检验依据，检测项目包括不少于22种皮革可分解芳香胺染料、安全性-循环寿命、安全性-耐高低温性能、安全性-基本安全、安全性-密封性能、公共场所用软体家具阻燃性能、甲醛释放量≤0.022mg/m²h、TVOC≤0.047mg/m²h、椅座往复冲击耐久性、金属件涂层附着力等、扶手强度试验-循环性、不少于7种家具涂层可迁移元素检测等共计45项检测项目。</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076325" cy="1381125"/>
                  <wp:effectExtent l="0" t="0" r="5715" b="5715"/>
                  <wp:docPr id="122"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4" descr="IMG_309"/>
                          <pic:cNvPicPr>
                            <a:picLocks noChangeAspect="1"/>
                          </pic:cNvPicPr>
                        </pic:nvPicPr>
                        <pic:blipFill>
                          <a:blip r:embed="rId6"/>
                          <a:stretch>
                            <a:fillRect/>
                          </a:stretch>
                        </pic:blipFill>
                        <pic:spPr>
                          <a:xfrm>
                            <a:off x="0" y="0"/>
                            <a:ext cx="1076325" cy="138112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办公椅2（标准，共5把）、办公椅3（常规，共10把）：</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1.椅脚：1.8圆管加工成型，喷涂制作。</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2.采用海绵符合GB/T 10802-2006检验依据：75%压缩永久变形≤6%；回弹率≥40%；拉伸强度≥130kPa。</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3.采用皮革符合GB/T 16799-2018检验依据：游离甲醛达到“未检出”；耐磨性检测合格。</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办公椅2参考图片：</w:t>
            </w:r>
            <w:r>
              <w:rPr>
                <w:rFonts w:hint="eastAsia" w:ascii="宋体" w:hAnsi="宋体" w:eastAsia="宋体" w:cs="宋体"/>
                <w:bdr w:val="none" w:color="auto" w:sz="0" w:space="0"/>
              </w:rPr>
              <w:drawing>
                <wp:inline distT="0" distB="0" distL="114300" distR="114300">
                  <wp:extent cx="1257300" cy="1809750"/>
                  <wp:effectExtent l="0" t="0" r="7620" b="3810"/>
                  <wp:docPr id="121"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5" descr="IMG_310"/>
                          <pic:cNvPicPr>
                            <a:picLocks noChangeAspect="1"/>
                          </pic:cNvPicPr>
                        </pic:nvPicPr>
                        <pic:blipFill>
                          <a:blip r:embed="rId7"/>
                          <a:stretch>
                            <a:fillRect/>
                          </a:stretch>
                        </pic:blipFill>
                        <pic:spPr>
                          <a:xfrm>
                            <a:off x="0" y="0"/>
                            <a:ext cx="1257300" cy="1809750"/>
                          </a:xfrm>
                          <a:prstGeom prst="rect">
                            <a:avLst/>
                          </a:prstGeom>
                          <a:noFill/>
                          <a:ln w="9525">
                            <a:noFill/>
                          </a:ln>
                        </pic:spPr>
                      </pic:pic>
                    </a:graphicData>
                  </a:graphic>
                </wp:inline>
              </w:drawing>
            </w:r>
            <w:r>
              <w:rPr>
                <w:rFonts w:hint="eastAsia" w:ascii="宋体" w:hAnsi="宋体" w:eastAsia="宋体" w:cs="宋体"/>
                <w:bdr w:val="none" w:color="auto" w:sz="0" w:space="0"/>
              </w:rPr>
              <w:t>办公椅3参考图片：</w:t>
            </w:r>
            <w:r>
              <w:rPr>
                <w:rFonts w:hint="eastAsia" w:ascii="宋体" w:hAnsi="宋体" w:eastAsia="宋体" w:cs="宋体"/>
                <w:bdr w:val="none" w:color="auto" w:sz="0" w:space="0"/>
              </w:rPr>
              <w:drawing>
                <wp:inline distT="0" distB="0" distL="114300" distR="114300">
                  <wp:extent cx="1038225" cy="1381125"/>
                  <wp:effectExtent l="0" t="0" r="13335" b="5715"/>
                  <wp:docPr id="120"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6" descr="IMG_311"/>
                          <pic:cNvPicPr>
                            <a:picLocks noChangeAspect="1"/>
                          </pic:cNvPicPr>
                        </pic:nvPicPr>
                        <pic:blipFill>
                          <a:blip r:embed="rId8"/>
                          <a:stretch>
                            <a:fillRect/>
                          </a:stretch>
                        </pic:blipFill>
                        <pic:spPr>
                          <a:xfrm>
                            <a:off x="0" y="0"/>
                            <a:ext cx="1038225" cy="138112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办公桌1（1400*1500*1100mm，共26位）、办公桌2（1200*600*1100mm，共8位）：</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1.基材采用中纤板符合GB/T11718-2009和GB18580-2001检验依据：含水率3.0-13.0%，密度0.65-0.8g/cm3，静曲强度下规格限24.0MPa,，内结合强度下规格限0.45MPa,吸水厚度膨胀率上规格限12%，甲醛释放量E1≤9mg/100g。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采用三合一扣件符合GB/T3325-2008检验依据：金属电镀层抗盐雾（18h)1.5mm以下锈点≤20点/dm,≥1.0mm锈点不超过5点。采用的封边条符合QB/T4463-2013检验依据：甲醛释放量E1≤1.5mg/L,边缘应光滑平直、无缺损，背胶处理应均匀，表面应光滑，花纹应清晰、均匀、无漏印，压纹表面应有统一的花式且压纹清晰均匀。桌面采用直径为60mm，ABS高分子塑料线盒，线盒四周带不规则散热孔，方便散热。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3.钢架表面处理采用静电喷塑，钢材厚度1.2mm。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办公桌1参考图片：</w:t>
            </w:r>
            <w:r>
              <w:rPr>
                <w:rFonts w:hint="eastAsia" w:ascii="宋体" w:hAnsi="宋体" w:eastAsia="宋体" w:cs="宋体"/>
                <w:bdr w:val="none" w:color="auto" w:sz="0" w:space="0"/>
              </w:rPr>
              <w:drawing>
                <wp:inline distT="0" distB="0" distL="114300" distR="114300">
                  <wp:extent cx="3057525" cy="2105025"/>
                  <wp:effectExtent l="0" t="0" r="5715" b="13335"/>
                  <wp:docPr id="119"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7" descr="IMG_312"/>
                          <pic:cNvPicPr>
                            <a:picLocks noChangeAspect="1"/>
                          </pic:cNvPicPr>
                        </pic:nvPicPr>
                        <pic:blipFill>
                          <a:blip r:embed="rId9"/>
                          <a:stretch>
                            <a:fillRect/>
                          </a:stretch>
                        </pic:blipFill>
                        <pic:spPr>
                          <a:xfrm>
                            <a:off x="0" y="0"/>
                            <a:ext cx="3057525" cy="2105025"/>
                          </a:xfrm>
                          <a:prstGeom prst="rect">
                            <a:avLst/>
                          </a:prstGeom>
                          <a:noFill/>
                          <a:ln w="9525">
                            <a:noFill/>
                          </a:ln>
                        </pic:spPr>
                      </pic:pic>
                    </a:graphicData>
                  </a:graphic>
                </wp:inline>
              </w:drawing>
            </w:r>
            <w:r>
              <w:rPr>
                <w:rFonts w:hint="eastAsia" w:ascii="宋体" w:hAnsi="宋体" w:eastAsia="宋体" w:cs="宋体"/>
                <w:bdr w:val="none" w:color="auto" w:sz="0" w:space="0"/>
              </w:rPr>
              <w:t>办公桌1参考图片：</w:t>
            </w:r>
            <w:r>
              <w:rPr>
                <w:rFonts w:hint="eastAsia" w:ascii="宋体" w:hAnsi="宋体" w:eastAsia="宋体" w:cs="宋体"/>
                <w:bdr w:val="none" w:color="auto" w:sz="0" w:space="0"/>
              </w:rPr>
              <w:drawing>
                <wp:inline distT="0" distB="0" distL="114300" distR="114300">
                  <wp:extent cx="3228975" cy="2476500"/>
                  <wp:effectExtent l="0" t="0" r="1905" b="7620"/>
                  <wp:docPr id="118"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8" descr="IMG_313"/>
                          <pic:cNvPicPr>
                            <a:picLocks noChangeAspect="1"/>
                          </pic:cNvPicPr>
                        </pic:nvPicPr>
                        <pic:blipFill>
                          <a:blip r:embed="rId10"/>
                          <a:stretch>
                            <a:fillRect/>
                          </a:stretch>
                        </pic:blipFill>
                        <pic:spPr>
                          <a:xfrm>
                            <a:off x="0" y="0"/>
                            <a:ext cx="3228975" cy="247650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办公桌3（2000*1000*750mm，共1张）、办公桌4（1800*1000*750mm，共3张）、办公桌5（1600*1000*750mm，共1张）：</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sz w:val="18"/>
                <w:szCs w:val="18"/>
                <w:bdr w:val="none" w:color="auto" w:sz="0" w:space="0"/>
              </w:rPr>
              <w:t>1.基材采用中纤板符合GB/T11718-2009和GB18580-2001检验依据：含水率3.0-13.0%，密度0.65-0.8g/cm3，静曲强度下规格限24.0MPa,，内结合强度下规格限0.45MPa,吸水厚度膨胀率上规格限12%，甲醛释放量E1≤9mg/100g,采用三合一扣件符合GB/T3325-2008检验依据：金属电镀层抗盐雾（18h)1.5mm以下锈点≤20点/dm,≥1.0mm锈点不超过5点。采用抽屉锁符合GB/T3325-2008检验依据：金属电镀层抗盐雾（18h)1.5mm以下锈点≤20点/dm,≥1.0mm锈点不超过5点。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sz w:val="18"/>
                <w:szCs w:val="18"/>
                <w:bdr w:val="none" w:color="auto" w:sz="0" w:space="0"/>
              </w:rPr>
              <w:t>2.采用缓冲三节滑轨（省级）符合QB/T 2454-2013 家具五金 抽屉导轨检验标准：滑轨长度≥356mm、滑轨外壳厚度≥1.8、弹珠直径≥5.6mm。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533525" cy="1104900"/>
                  <wp:effectExtent l="0" t="0" r="5715" b="7620"/>
                  <wp:docPr id="117"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9" descr="IMG_314"/>
                          <pic:cNvPicPr>
                            <a:picLocks noChangeAspect="1"/>
                          </pic:cNvPicPr>
                        </pic:nvPicPr>
                        <pic:blipFill>
                          <a:blip r:embed="rId11"/>
                          <a:stretch>
                            <a:fillRect/>
                          </a:stretch>
                        </pic:blipFill>
                        <pic:spPr>
                          <a:xfrm>
                            <a:off x="0" y="0"/>
                            <a:ext cx="1533525" cy="110490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茶几（1200*600*450mm，共17张）：</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1.基材采用中密度纤维板符合GB/T 11718-2009 中密度纤维板GB 18580-2001 室内装饰装修材料 人造板及其制品中甲醛释放限量检验依据：含水率3.0-13.0%，密度0.70-0.8g/cm3，静曲强度μʟ：24.030.0MPa,，内结合强度μʟ：0.48MPa,吸水厚度膨胀率μᴜ：5.0 %，甲醛释放量E1≤3mg/100g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2.▲茶几符合：GB/T 3324-2017 木家具通用技术条件；GB 18584-2001 室内装饰装修材料 木家具中有害物质限量；GB/T 35607-2017 绿色产品评价 家具；GB/T 11718-2009 中密度纤维板检测标准，检测项目不低于30项必须包含不少于8种家具涂层可迁移元素检测、总挥发性有机化合物（TVOC）、甲醛释放量（1m³以上气候舱法）≤0.023 mg/m³、桌腿跌落试验、人造板件外观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2133600" cy="1209675"/>
                  <wp:effectExtent l="0" t="0" r="0" b="9525"/>
                  <wp:docPr id="116"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0" descr="IMG_315"/>
                          <pic:cNvPicPr>
                            <a:picLocks noChangeAspect="1"/>
                          </pic:cNvPicPr>
                        </pic:nvPicPr>
                        <pic:blipFill>
                          <a:blip r:embed="rId12"/>
                          <a:stretch>
                            <a:fillRect/>
                          </a:stretch>
                        </pic:blipFill>
                        <pic:spPr>
                          <a:xfrm>
                            <a:off x="0" y="0"/>
                            <a:ext cx="2133600" cy="12096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茶水柜（800*400*850mm，共1组）：</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1.基材采用中纤板符合GB/T11718-2009和GB18580-2001检验依据：含水率3.0-13.0%，密度0.65-0.8g/cm3，静曲强度下规格限24.0MPa,，内结合强度下规格限0.45MPa,吸水厚度膨胀率上规格限12%，甲醛释放量E1≤9mg/100g,</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2.采用三合一扣件符合GB/T3325-2008检验依据：金属电镀层抗盐雾（18h)1.5mm以下锈点≤20点/dm,≥1.0mm锈点不超过5点。</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3.面贴胡桃木皮符合GB/T3324-2008和GB/T19367-2009检验依据：含水率8.0-17.0%，厚度&gt;0.8mm。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4.采用PU底漆符合GB/T6739-2006检验依据：漆膜硬度≥2H，采用铰链符合QB/T2189-2013检验依据：耐腐蚀（18h)1.5mm以下锈点≤20点/dm,1.0mm以上锈点≤5点/dm.功能-耐久性：所有组件或结合处不应断裂，通过手触压证实用于紧固的组件不应松动，所有组件不应有影响正常运作的变形或磨损，固定组件不应松动，所有组件的功能不应损害。</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2819400" cy="2476500"/>
                  <wp:effectExtent l="0" t="0" r="0" b="7620"/>
                  <wp:docPr id="115"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1" descr="IMG_316"/>
                          <pic:cNvPicPr>
                            <a:picLocks noChangeAspect="1"/>
                          </pic:cNvPicPr>
                        </pic:nvPicPr>
                        <pic:blipFill>
                          <a:blip r:embed="rId13"/>
                          <a:stretch>
                            <a:fillRect/>
                          </a:stretch>
                        </pic:blipFill>
                        <pic:spPr>
                          <a:xfrm>
                            <a:off x="0" y="0"/>
                            <a:ext cx="2819400" cy="247650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多媒体讲台（700*500*1050mm，共1个）：</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1.基材采用中密度纤维板，甲醛释放限量 （1m³气候箱法） E₁≤0.028 mg/m³、含水率6.6%。；漆膜耐液性、漆膜耐湿热、漆膜耐干热、漆膜附着力、漆膜耐磨性均须达到1级；木制件甲醛释放量≤0.5mg/L.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2.桌面线盒符合GB/T 3325-2017 金属家具通用技术条件标准：金属件外观性能要求电镀层表面应无剥落、返锈、毛刺 、表面应无烧焦、起泡、针孔、裂纹、花斑（不包括镀彩锌）和划痕。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3.三合一连接件符合GB/T 28203-2011 家具用连接件技术要求及试验方法、QB/T 3826-1999 轻工产品金属镀层和化学处理层的耐腐蚀试验方法 中性盐雾试验(NSS)法、QB/T 3832-1999 轻工产品金属镀层腐蚀试验结果的评价、GB/T 223.79-2007 钢铁多元素含量的测定 X-射线荧光光谱法（常规法）检测标准：检测项目不低于4项必须包含100h中性盐雾试验（NSS）达到10级，至少4种涂层金属元素含量检测。</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2219325" cy="1638300"/>
                  <wp:effectExtent l="0" t="0" r="5715" b="7620"/>
                  <wp:docPr id="11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IMG_317"/>
                          <pic:cNvPicPr>
                            <a:picLocks noChangeAspect="1"/>
                          </pic:cNvPicPr>
                        </pic:nvPicPr>
                        <pic:blipFill>
                          <a:blip r:embed="rId14"/>
                          <a:stretch>
                            <a:fillRect/>
                          </a:stretch>
                        </pic:blipFill>
                        <pic:spPr>
                          <a:xfrm>
                            <a:off x="0" y="0"/>
                            <a:ext cx="2219325" cy="163830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会议椅1(标准，共8把）：</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1.椅背：（聚丙烯+玻纤/PP+GF）一次注塑成型椅背，舒适 透气，椅背强度通过45Kg、疲劳12万次测试。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2.腰靠：内置弹簧蝴蝶腰靠（腰面为ABS料），腰面紧密贴合人体腰部。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3.T字连体扶手：（聚丙烯+玻纤/PP+GF）一体成型连体固定扶手。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4.座垫：原生36密度海绵。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5.弓形架：25圆管，2.0厚套管，钢架经过酸化磷洗，然后喷 涂处理。喷涂面不脱落，强度高，静压测试达到1200kg。▲椅架符合GB/T 3325-2017 金属家具通用技术条件：金属件外观性能要求如管材应无裂缝、叠缝 ，外露管口端面应封闭，焊接处应无脱焊、虚焊、焊穿、错位 ，焊接处应无夹渣、气孔、焊瘤、焊丝头、咬边、飞溅，焊接处表面波纹应均匀 ，涂层应无漏喷，锈蚀和脱色、掉色现象 ，涂层应光滑均匀，色泽一致，应无流挂、疙瘩、皱皮、飞漆等缺陷。</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152525" cy="1428750"/>
                  <wp:effectExtent l="0" t="0" r="5715" b="3810"/>
                  <wp:docPr id="11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3" descr="IMG_318"/>
                          <pic:cNvPicPr>
                            <a:picLocks noChangeAspect="1"/>
                          </pic:cNvPicPr>
                        </pic:nvPicPr>
                        <pic:blipFill>
                          <a:blip r:embed="rId15"/>
                          <a:stretch>
                            <a:fillRect/>
                          </a:stretch>
                        </pic:blipFill>
                        <pic:spPr>
                          <a:xfrm>
                            <a:off x="0" y="0"/>
                            <a:ext cx="1152525" cy="142875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会议椅2（常规，共10把）：</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1.饰面：椅座采用麻绒面料，椅背采用网布，符合GB 18401-2010国家纺织产品基本安全；</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2.海绵：成型棉工艺，符合GB/T10802-2006标准要求；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3.胶粘剂：采用水基型胶粘剂, 符合GB 18583-2008室内装饰装修材料胶粘剂中有害物质限量标准要求，其中总挥发性有机物含量≤62g/L，游离甲醛含量≤0.05g；</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4.尼龙加玻璃纤维高强度靠背框架与坐垫框架；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5.椅架：钢制椅架，壁厚≥1.5mm，静电喷塑处理；连接件：铝合金压铸而成，精抛处理；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6.功能：带万向轮，360度自由选择，顺滑无阻；折叠写字板，可推叠；靠背7度倾仰，坐垫可翻起；</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7.整体需符合QB/T4458-2013折叠椅技术条件标准要求。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8.图中圆圈三个连接件一体成型，防夹和牢固。</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266825" cy="1647825"/>
                  <wp:effectExtent l="0" t="0" r="13335" b="13335"/>
                  <wp:docPr id="112"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4" descr="IMG_319"/>
                          <pic:cNvPicPr>
                            <a:picLocks noChangeAspect="1"/>
                          </pic:cNvPicPr>
                        </pic:nvPicPr>
                        <pic:blipFill>
                          <a:blip r:embed="rId16"/>
                          <a:stretch>
                            <a:fillRect/>
                          </a:stretch>
                        </pic:blipFill>
                        <pic:spPr>
                          <a:xfrm>
                            <a:off x="0" y="0"/>
                            <a:ext cx="1266825" cy="164782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会议椅3（常规，共16把）：</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1.椅脚：1.8圆管加工成型，喷涂制作。</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2.采用海绵符合GB/T 10802-2006检验依据：75%压缩永久变形≤6%；回弹率≥40%；拉伸强度≥130kPa。</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3.采用▲皮革符合GB/T 16799-2018检验依据：游离甲醛达到“未检出”；耐磨性检测合格。</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047750" cy="1352550"/>
                  <wp:effectExtent l="0" t="0" r="3810" b="3810"/>
                  <wp:docPr id="111"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5" descr="IMG_320"/>
                          <pic:cNvPicPr>
                            <a:picLocks noChangeAspect="1"/>
                          </pic:cNvPicPr>
                        </pic:nvPicPr>
                        <pic:blipFill>
                          <a:blip r:embed="rId17"/>
                          <a:stretch>
                            <a:fillRect/>
                          </a:stretch>
                        </pic:blipFill>
                        <pic:spPr>
                          <a:xfrm>
                            <a:off x="0" y="0"/>
                            <a:ext cx="1047750" cy="135255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会议椅4（常规：共5张）：</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1.会议椅（或座椅、办公椅）符合QB/T 2280-2016 办公家具 办公椅标准：甲醛释放量≤0.120 mg/m²h，TVOC≤0.5 mg/m²h。靠背和坐垫采用海绵符合GB/T 10802-2006 通用软质聚醚型聚氨酯泡沫塑料标准：25％压陷硬度（等级/120N ）120±14 N；拉伸强度（ 等级/120N）≥90 kPa；伸长率 （等级/120N ）≥130 ％ ；撕裂强度 （等级/120N）≥2.0 N/cm；75％压缩永久变形≤8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2.皮面采用▲西皮符合QB/T 5067-2017 家具用聚氯乙烯人造革、GB/T 16799-2018 家具用皮革、QB/T 2725-2005 皮革 气味的测定标准：厚度 （Ⅰ-3）1.1（-0.10～+0.20） mm；摩擦色牢度（涂层厚度＞25μm）干擦（500次）：≥4 级、湿擦（250次）：≥3/4 级、碱性汗液（80次）：≥3/4 级；耐磨性（CS-10，500g，500r）（涂层厚度＞25μm）无明显损伤、剥落；撕裂力≥20 N；禁用偶氮染料4-氨基联苯、≤30 mg/kg、联苯胺、≤30 mg/kg、氯邻甲苯胺≤30 mg/kg、萘胺≤30 mg/kg、邻氨基偶氮甲苯≤30 mg/kg。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3.扶手采用枫香木，★枫香木符合GB 18584-2001室内装饰装修材料木家具中有害物质限量、GB/T 1933-2009 木材密度测定方法标准：检测项目不低于4项必须甲醛释放量≤1.5mg/L，木材全干密度≥0.60 g/cm³，木材气干密度≥0.60 g/cm³。</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4.连接件采用三合一偏心连接件，▲三合一偏心连接件符合QB/T 3826-1999 轻工产品金属镀层和化学处理层的耐腐蚀试验方法 中性盐雾试验(NSS)法、QB/T 3832-1999 轻工产品金属镀层腐蚀试验结果的评价：耐腐蚀等级企业技术条件：连续喷雾18h，简易10级制定级法不低于7级（10级为最好，0级最差）。</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152525" cy="1866900"/>
                  <wp:effectExtent l="0" t="0" r="5715" b="7620"/>
                  <wp:docPr id="110"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6" descr="IMG_321"/>
                          <pic:cNvPicPr>
                            <a:picLocks noChangeAspect="1"/>
                          </pic:cNvPicPr>
                        </pic:nvPicPr>
                        <pic:blipFill>
                          <a:blip r:embed="rId18"/>
                          <a:stretch>
                            <a:fillRect/>
                          </a:stretch>
                        </pic:blipFill>
                        <pic:spPr>
                          <a:xfrm>
                            <a:off x="0" y="0"/>
                            <a:ext cx="1152525" cy="186690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会议桌1（5200*1600*750mm，共8.32平方米）：</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1.基材采用中密度纤维板，甲醛释放限量 （1m³气候箱法） E</w:t>
            </w:r>
            <w:r>
              <w:rPr>
                <w:rFonts w:hint="default" w:ascii="Times New Roman" w:hAnsi="Times New Roman" w:eastAsia="宋体" w:cs="Times New Roman"/>
                <w:color w:val="000000"/>
                <w:sz w:val="18"/>
                <w:szCs w:val="18"/>
                <w:bdr w:val="none" w:color="auto" w:sz="0" w:space="0"/>
              </w:rPr>
              <w:t>₁</w:t>
            </w:r>
            <w:r>
              <w:rPr>
                <w:rFonts w:hint="eastAsia" w:ascii="宋体" w:hAnsi="宋体" w:eastAsia="宋体" w:cs="宋体"/>
                <w:color w:val="000000"/>
                <w:sz w:val="18"/>
                <w:szCs w:val="18"/>
                <w:bdr w:val="none" w:color="auto" w:sz="0" w:space="0"/>
              </w:rPr>
              <w:t>≤0.028 mg/m³、含水率6.6%。；漆膜耐液性、漆膜耐湿热、漆膜耐干热、漆膜附着力、漆膜耐磨性均须达到1级；木制件甲醛释放量≤0.5mg/L.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2.桌面线盒符合GB/T 3325-2017 金属家具通用技术条件标准：金属件外观性能要求电镀层表面应无剥落、返锈、毛刺 、表面应无烧焦、起泡、针孔、裂纹、花斑（不包括镀彩锌）和划痕。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3.三合一连接件符合GB/T 28203-2011 家具用连接件技术要求及试验方法、QB/T 3826-1999 轻工产品金属镀层和化学处理层的耐腐蚀试验方法 中性盐雾试验(NSS)法、QB/T 3832-1999 轻工产品金属镀层腐蚀试验结果的评价、GB/T 223.79-2007 钢铁多元素含量的测定 X-射线荧光光谱法（常规法）检测标准：检测项目不低于4项必须包含100h中性盐雾试验（NSS）达到10级，至少4种涂层金属元素含量检测。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4.油漆采用油性油漆（涂料）符合GB 18581-2009 室内装饰装修材料溶剂型木器涂料中有害物质限量、GB/T 23997-2009 室内装饰装修用溶剂型聚氨酯木器涂标准：检测项目不低于12项必须包含耐碱性（2h）和耐醇性（8h）无异常、耐污染（1h）无异常，铅笔硬度（擦伤）≥4H,游离二异氰酸酯（TDI、HDI）含量总和≤0.4 ％，甲苯、二甲苯、乙苯含量总和≤30 ％，挥发性有机化合物（VOC）含量≤670 g/L。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5.采用实木封边条符合QB/T 4463-2013 家具用封边条技术要求：出厂含水率（木质封边条）9.6 ％。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6.▲会议桌（会议台）符合GB/T 3324-2017 木家具通用技术条件标准。</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2266950" cy="1238250"/>
                  <wp:effectExtent l="0" t="0" r="3810" b="11430"/>
                  <wp:docPr id="109"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7" descr="IMG_322"/>
                          <pic:cNvPicPr>
                            <a:picLocks noChangeAspect="1"/>
                          </pic:cNvPicPr>
                        </pic:nvPicPr>
                        <pic:blipFill>
                          <a:blip r:embed="rId19"/>
                          <a:stretch>
                            <a:fillRect/>
                          </a:stretch>
                        </pic:blipFill>
                        <pic:spPr>
                          <a:xfrm>
                            <a:off x="0" y="0"/>
                            <a:ext cx="2266950" cy="123825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会议桌2（2400*1200*750mm，共2.4平方米）：</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1.基材：台面基材为★三聚氰胺板符合（1）GB/T 15102-2017 浸渍胶膜纸饰面纤维板和刨花板；（2）GB 18580-2017 室内装饰装修材料人造板及其制品中甲醛释放限量；（3）GB/T 35601-2017 绿色产品评价 人造板和木质地板；（4）GB 8624-2012 建筑材料及制品燃烧性能分级，检测项目包含不仅限于：①静曲强度：公称厚度＞13～20（mm）≥11.0MPa；②内结合强度：公称厚度＞13～20（mm）≥0.35MPa；③表面胶合强度：≥0.60MPa；④耐光色牢度：蓝色羊毛布6级，达到灰度卡4级；⑤甲醛释放限量：（1m³气候箱法）E</w:t>
            </w:r>
            <w:r>
              <w:rPr>
                <w:rFonts w:hint="default" w:ascii="Times New Roman" w:hAnsi="Times New Roman" w:eastAsia="宋体" w:cs="Times New Roman"/>
                <w:color w:val="000000"/>
                <w:sz w:val="18"/>
                <w:szCs w:val="18"/>
                <w:bdr w:val="none" w:color="auto" w:sz="0" w:space="0"/>
              </w:rPr>
              <w:t>₁</w:t>
            </w:r>
            <w:r>
              <w:rPr>
                <w:rFonts w:hint="eastAsia" w:ascii="宋体" w:hAnsi="宋体" w:eastAsia="宋体" w:cs="宋体"/>
                <w:color w:val="000000"/>
                <w:sz w:val="18"/>
                <w:szCs w:val="18"/>
                <w:bdr w:val="none" w:color="auto" w:sz="0" w:space="0"/>
              </w:rPr>
              <w:t>≤0.124mg/m³；⑥燃烧性能等级B</w:t>
            </w:r>
            <w:r>
              <w:rPr>
                <w:rFonts w:hint="default" w:ascii="Times New Roman" w:hAnsi="Times New Roman" w:eastAsia="宋体" w:cs="Times New Roman"/>
                <w:color w:val="000000"/>
                <w:sz w:val="18"/>
                <w:szCs w:val="18"/>
                <w:bdr w:val="none" w:color="auto" w:sz="0" w:space="0"/>
              </w:rPr>
              <w:t>₁</w:t>
            </w:r>
            <w:r>
              <w:rPr>
                <w:rFonts w:hint="eastAsia" w:ascii="宋体" w:hAnsi="宋体" w:eastAsia="宋体" w:cs="宋体"/>
                <w:color w:val="000000"/>
                <w:sz w:val="18"/>
                <w:szCs w:val="18"/>
                <w:bdr w:val="none" w:color="auto" w:sz="0" w:space="0"/>
              </w:rPr>
              <w:t>（C）：燃烧增长速率指FIGR0.4MJ≤250W/s、火焰横向蔓延：火焰横向蔓延未到达试样长翼边缘、600s的总放热量THR600s≤15MJ、60s内焰尖高度FS≤150mm、燃烧滴落物：60s内无燃烧滴落物引燃滤纸现象。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2.采用▲ABS激光封边条，符合QB/T 4463-2013 家具用封边条技术要求：厚度≥2 mm ；封边条甲醛释放量E</w:t>
            </w:r>
            <w:r>
              <w:rPr>
                <w:rFonts w:hint="default" w:ascii="Times New Roman" w:hAnsi="Times New Roman" w:eastAsia="宋体" w:cs="Times New Roman"/>
                <w:color w:val="000000"/>
                <w:sz w:val="18"/>
                <w:szCs w:val="18"/>
                <w:bdr w:val="none" w:color="auto" w:sz="0" w:space="0"/>
              </w:rPr>
              <w:t>₁</w:t>
            </w:r>
            <w:r>
              <w:rPr>
                <w:rFonts w:hint="eastAsia" w:ascii="宋体" w:hAnsi="宋体" w:eastAsia="宋体" w:cs="宋体"/>
                <w:color w:val="000000"/>
                <w:sz w:val="18"/>
                <w:szCs w:val="18"/>
                <w:bdr w:val="none" w:color="auto" w:sz="0" w:space="0"/>
              </w:rPr>
              <w:t>≤1.5 mg/L。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3.桌脚采用▲无缝工型钢管符合QB/T 4767-2014 家具用钢构件标准：管壁厚度≥1.2 mm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638300" cy="1209675"/>
                  <wp:effectExtent l="0" t="0" r="7620" b="9525"/>
                  <wp:docPr id="108"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8" descr="IMG_323"/>
                          <pic:cNvPicPr>
                            <a:picLocks noChangeAspect="1"/>
                          </pic:cNvPicPr>
                        </pic:nvPicPr>
                        <pic:blipFill>
                          <a:blip r:embed="rId20"/>
                          <a:stretch>
                            <a:fillRect/>
                          </a:stretch>
                        </pic:blipFill>
                        <pic:spPr>
                          <a:xfrm>
                            <a:off x="0" y="0"/>
                            <a:ext cx="1638300" cy="12096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主席台（4000*600*760mm，共4米）：</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1.基材采用中密度纤维板，甲醛释放限量 （1m³气候箱法） E₁≤0.028 mg/m³、含水率6.6%。；漆膜耐液性、漆膜耐湿热、漆膜耐干热、漆膜附着力、漆膜耐磨性均须达到1级；木制件甲醛释放量≤0.5mg/L.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2.桌面线盒符合GB/T 3325-2017 金属家具通用技术条件标准：金属件外观性能要求电镀层表面应无剥落、返锈、毛刺 、表面应无烧焦、起泡、针孔、裂纹、花斑（不包括镀彩锌）和划痕。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3.三合一连接件符合GB/T 28203-2011 家具用连接件技术要求及试验方法、QB/T 3826-1999 轻工产品金属镀层和化学处理层的耐腐蚀试验方法 中性盐雾试验(NSS)法、QB/T 3832-1999 轻工产品金属镀层腐蚀试验结果的评价、GB/T 223.79-2007 钢铁多元素含量的测定 X-射线荧光光谱法（常规法）检测标准，检测项目不低于4项必须包含100h中性盐雾试验（NSS）达到10级，至少4种涂层金属元素含量检测。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4.▲主席台（或主席桌、会议桌、会议台）符合GB/T 3324-2017 木家具通用技术条件：检测项目包含不限于“皮革可分解芳香胺染料检测；木制件甲醛释放量≤1.5 mg/L；平整度（面板、正视面板件≤0.20mm）；木工要求”。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3371850" cy="1524000"/>
                  <wp:effectExtent l="0" t="0" r="11430" b="0"/>
                  <wp:docPr id="107"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9" descr="IMG_324"/>
                          <pic:cNvPicPr>
                            <a:picLocks noChangeAspect="1"/>
                          </pic:cNvPicPr>
                        </pic:nvPicPr>
                        <pic:blipFill>
                          <a:blip r:embed="rId21"/>
                          <a:stretch>
                            <a:fillRect/>
                          </a:stretch>
                        </pic:blipFill>
                        <pic:spPr>
                          <a:xfrm>
                            <a:off x="0" y="0"/>
                            <a:ext cx="3371850" cy="152400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会议条桌1（2400*400*760mm，共2张）、会议条桌2（1200*400*760mm，共2张）：</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1.基材采用中密度纤维板，甲醛释放限量 （1m³气候箱法） E₁≤0.028 mg/m³、含水率6.6%。；漆膜耐液性、漆膜耐湿热、漆膜耐干热、漆膜附着力、漆膜耐磨性均须达到1级；木制件甲醛释放量≤0.5mg/L.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2.桌面线盒符合GB/T 3325-2017 金属家具通用技术条件标准：金属件外观性能要求电镀层表面应无剥落、返锈、毛刺 、表面应无烧焦、起泡、针孔、裂纹、花斑（不包括镀彩锌）和划痕。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3.三合一连接件符合GB/T 28203-2011 家具用连接件技术要求及试验方法、QB/T 3826-1999 轻工产品金属镀层和化学处理层的耐腐蚀试验方法 中性盐雾试验(NSS)法、QB/T 3832-1999 轻工产品金属镀层腐蚀试验结果的评价、GB/T 223.79-2007 钢铁多元素含量的测定 X-射线荧光光谱法（常规法）检测标准：检测项目不低于4项必须包含100h中性盐雾试验（NSS）达到10级，至少4种涂层金属元素含量检测。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4. ▲会议条桌(或条形会议桌）符合GB/T 3324-2017 木家具通用技术条件：检测项目包含不限于“底脚平稳性≤2.0 mm。涂层应平整光滑、清晰，无明显粒子、涨边现象；应无明显加工痕迹、划痕、裂纹、雾光、白棱、白点、鼓泡、油白、流挂、缩孔、刷毛、积粉和杂渣；每项缺陷数不超过4处。漆膜耐液性 10％乙酸溶液不低于3级。漆膜抗冲击不低于3级。木制件涂层可溶性重金属含量（限色漆）检测符合要求。木制件甲醛释放量≤1.5 mg/L”。</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2952750" cy="2181225"/>
                  <wp:effectExtent l="0" t="0" r="3810" b="13335"/>
                  <wp:docPr id="10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0" descr="IMG_325"/>
                          <pic:cNvPicPr>
                            <a:picLocks noChangeAspect="1"/>
                          </pic:cNvPicPr>
                        </pic:nvPicPr>
                        <pic:blipFill>
                          <a:blip r:embed="rId22"/>
                          <a:stretch>
                            <a:fillRect/>
                          </a:stretch>
                        </pic:blipFill>
                        <pic:spPr>
                          <a:xfrm>
                            <a:off x="0" y="0"/>
                            <a:ext cx="2952750" cy="218122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货物垫板（1000*800*140mm，共40个）：</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444444"/>
                <w:sz w:val="18"/>
                <w:szCs w:val="18"/>
                <w:bdr w:val="none" w:color="auto" w:sz="0" w:space="0"/>
              </w:rPr>
              <w:t>HDPE全新料。</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962150" cy="1438275"/>
                  <wp:effectExtent l="0" t="0" r="3810" b="9525"/>
                  <wp:docPr id="105"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1" descr="IMG_326"/>
                          <pic:cNvPicPr>
                            <a:picLocks noChangeAspect="1"/>
                          </pic:cNvPicPr>
                        </pic:nvPicPr>
                        <pic:blipFill>
                          <a:blip r:embed="rId23"/>
                          <a:stretch>
                            <a:fillRect/>
                          </a:stretch>
                        </pic:blipFill>
                        <pic:spPr>
                          <a:xfrm>
                            <a:off x="0" y="0"/>
                            <a:ext cx="1962150" cy="14382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礼堂椅（标准，共134位）：</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1.座壳规格（长*宽*高）：512*488*（83-97）mm，背壳规格（长*宽*高）：815*491*113mm(误差值±5mm)，带书写板.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2.座背面料采用高级绒布，绒布符合 GB 18401-2010 国家纺织产品基本安全技术规范：甲醛含量检测,未检测出；可分解致癌芳香胺染料检测，未检测出。</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3.扶手采用★枫香木，符合 GB 18584-2001 室内装饰装修材料木家具中有害物质限量、GB/T 1933-2009 木材密度测定方法标准：检测项目不低于 4项必须甲醛释放量≤1.5mg/L，木材全干密≥0.60 g/cm，木材气干密度≥0.60 g/cm³。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4.座板和靠背内置阻燃海绵，海绵（阻燃）符合 GB/T 10802-2006 通用软质聚醚型聚氨酯泡沫塑料、GB 8624-2012 建筑材料及制品燃烧性能分级：B1 级燃烧性能（单位面积热释放速率峰值≤280 KW/m²、平均燃烧时间≤15 s 、平均燃烧高度≤200 mm）检测和恒定负荷反复压陷疲劳性能 ≤35 ％检测，25％压陷硬度 146N，65％/25％压陷比≥2.0。</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5.座、背外壳：座、背塑塑壳采用全新 PP 料经模具一次压注成型，韧性高，不易破裂；高温、低寒环境不变形。造型具有美学设计，满足使用条件，线条感强。其中，座壳规格（长*宽*高）：512*488*（83-97）mm，背壳规格（长*宽*高）：815*491*113mm(误</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差值±5mm)。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6.前置写字板规格 260*210*18mm(误差值+-5mm)，后置写字板规格：360*251*18mm(误差值±5mm)，写字板基材采用中密度纤维板，甲醛释放量限量符合国家标准。写字板不用的时候可以收放。 (投标时提供座、背外壳样品各一个）。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7.脚架：扶手框架采用冷轧钢板，下脚脚框两侧配有 6 根外凸加强筋，增强稳固性，造型为两节脚精致而成，稳定性强，表面采用防锈静电喷亚光黑处理。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800225" cy="2314575"/>
                  <wp:effectExtent l="0" t="0" r="13335" b="1905"/>
                  <wp:docPr id="104"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2" descr="IMG_327"/>
                          <pic:cNvPicPr>
                            <a:picLocks noChangeAspect="1"/>
                          </pic:cNvPicPr>
                        </pic:nvPicPr>
                        <pic:blipFill>
                          <a:blip r:embed="rId24"/>
                          <a:stretch>
                            <a:fillRect/>
                          </a:stretch>
                        </pic:blipFill>
                        <pic:spPr>
                          <a:xfrm>
                            <a:off x="0" y="0"/>
                            <a:ext cx="1800225" cy="23145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单人沙发（单人位，共1张）、三人沙发（三人位，共17张）：</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1.实木框架，采用海绵符合GB/T10802-2006和GB/T6343-2009检验依据：回弹率≥35%，拉伸强度≥80KPa,伸长率≥150%，密度≥45kg/m。采用皮革符合GB/T16799-2008检验依据：游离甲醛含量≤75mg/kg。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2.沙发符合GB/T 16799-2018 家具用皮革、GB/T 35607-2017 绿色产品评价 家具、GB 17927.2-2011 软体家具 床垫和沙发 抗引燃特性的评定 第2部分：模拟火柴火焰、GB/T 19942-2005 皮革和毛皮 化学试验 禁用偶氮染料的测定标准：甲醛释放量（1m³以上气候舱法） 软体家具/沙发≤0.05 mg/m³；不少于18种皮革可分解芳香胺染料检测，要求未检测出；可接触的实木部件中五氯苯酚（PCP）检测，要求未检测出。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3.闪银色钢制脚架，钢度1.2mm。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3714750" cy="1685925"/>
                  <wp:effectExtent l="0" t="0" r="3810" b="5715"/>
                  <wp:docPr id="103"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3" descr="IMG_328"/>
                          <pic:cNvPicPr>
                            <a:picLocks noChangeAspect="1"/>
                          </pic:cNvPicPr>
                        </pic:nvPicPr>
                        <pic:blipFill>
                          <a:blip r:embed="rId25"/>
                          <a:stretch>
                            <a:fillRect/>
                          </a:stretch>
                        </pic:blipFill>
                        <pic:spPr>
                          <a:xfrm>
                            <a:off x="0" y="0"/>
                            <a:ext cx="3714750" cy="168592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档案密集架（定制，共123立方米）：</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1.▲档案密集架（或档案密集柜、手动档案密集架/柜、手动密集架）符合GB/T 13667.3-2013 钢制书架 第3部分：手动密集书架▲检测项目必须包含结构强度、稳定性、载重性能、固定、限位、防倾倒、传动装置的性能、互换性、可调性、间隙、金属件表面涂层耐腐蚀等检测合格.</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2.密集架架体要求：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（1）档案密集架主要由架体（底盘、立柱、挂板、搁板、档书条、顶板、门框、边门和主副侧板等零部件）、驱动系统组成。架顶设有防尘装置，列与列之间装有 25mm（±2mm） 厚防撞密封装置，边列门板装有防盗锁，边列前侧板装有总锁和制动装置，中列前侧板装有制动装置，每个单元密集架闭合后可用总锁锁住，形成一个封闭的整体，各列移开后可单独制动，整个架体具有良好的防尘、防潮、防火、防盗和保密功能。密集架规格尺寸根据房间实际尺寸确定。</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（2）辊压加筋立柱: 采用冷轧钢板，材料厚度δ≥1.1mm，中列立柱正面宽度为 45mm±2mm，侧面宽度为 36mm±2mm，立柱正面压一条 22mm 宽的加强筋，加强筋上压有“几”字形纹路造型，两侧面各压两条的加强筋，共五条加强筋。边列立柱与门框合为一体，其侧面的宽度为 60mm±2mm，不压加强筋，确保整体外观光滑平整美观大方。▲辊压加筋立柱符合：《家具用钢构件》（QB/T 4767-2014）的检验依据。</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搁板、挂板：采用冷轧钢板，材料厚度δ≥0.9mm，搁板采用六次折弯成型以增强其承载力，上五层搁板采用全自动滚压设备一次成型，搁板上面压八条加强筋，两侧面各压两条加强筋，为保证架体内良好通风效果，两张搁板安装好后中间间隙不小于 40mm。底层搁板不压加强筋，并且两张搁板之间缝隙小于 2mm，起到防鼠、防尘，保证每张搁板均匀载重不少于 50KG（每层两张搁板），满足负载 24 小时后扰度≤3mm；挂板上面压四条加强筋，挂板两端压自锁扣，与搁板孔配合，起到装配自锁，加强架体稳定性。</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（4）挡书条：采用冷轧钢板，材料厚度δ≥0.8mm，采用全自动滚压一次成型，四次折弯，并压三条加强筋，与挂板配合处有防脱落倒扣，防止挡条脱落，以增加整个架体的稳定性。</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（5）门框：采用冷轧钢板，材料厚度δ≥1.1mm，门板、防尘板、顶板、侧板：采用冷轧钢板，材料厚度材料厚度δ≥0.7mm。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（6）六驱底盘（含横、纵梁及轮架组合）：采用热轧钢板，材料厚度δ≥2.5 mm 热轧钢板制作，底盘净高度为 140 mm（±2 ㎜）。采用分段焊接后整体组装式，纵梁上按节距冲有矩形槽，以供立柱插入后用螺栓拧固。底盘两端封头横梁与纵梁牢固焊接，保证底盘架体不扭曲、错位和变形等；轴承：P204＃平面轴承，材质为轴承钢，精度≥P6 级（E）。</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（7）▲轴承（双排诛心 E 级）符合 QB/T 3826-1999 及 QB/T 3832-1999 的检验依据,耐腐蚀等级,100h 中性盐雾试验不低于 10 级。精密链轮：材质 45#。链条：型号为 428H#（具体参数为Φ8.5，节距 12.75）或同等及以上档次。传动管：要求为Φ25mm×壁厚 2.5mm 的钢管。承载轮轴：材质采用实芯圆钢，经车床精加工后镀锌处理，预防锈腐。根据承载轮轴与传动管、轴承、滚轮的连接部位、功能以及承重的不同，加工出不同直径的部位：Φ19.5mm（±0.2mm）的部位与传动管连接；Φ20mm（±0.2mm）的部位与轴承连接；Φ22mm（±0.2mm）的部位与滚轮连接；未加工的部分是Φ25mm（±0.2mm）起到限制滚轮脱轴、脱轨、承重的作用。为便于安装和拆卸，承载轮轴与齿轮、承载轮均采用贯穿销连接，不得采用顶丝或焊接方式固定。</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（8）▲传动轴（实心轴）符合 QB/T 3826-1999 及 QB/T 3832-1999 的检验依据，耐腐蚀等级,100h 中性盐雾试验不低于 10 级。承载轮：承载轮采用 HT200 灰口铸铁铁芯，抗拉强度≥200MPa，铁芯厚度 5.5mm-6.5mm,外包 PA6GF30 阻燃聚酰胺材料，一次注塑成型，外直径(125±2)㎜，厚度为(52±2)㎜,单轮承重达 800 公斤；整个底盘传动机构采用双向六根链条驱动，传动时以大齿 24 齿为主齿，6 个 14 齿和 6 个 18 齿为副齿，传动平稳，噪声小。实质性要求：投标时提六驱动底盘一套(如图）。</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（9）密集架门锁为三级管理锁，▲三级管理锁符合《轻工产品金属镀层和化学处理层的耐腐蚀试验方法 中性盐雾试验(NSS)法》（QB/T 3826-1999）、《轻工产品金属镀层腐蚀试验结果的评价》（QB/T 3832-1999）：100h 中性盐雾试验不低于 7 级。</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驱动系统要求：采用船舵式方向盘：舵手把为六个（其中五个为固定式，另外一个为伸缩折叠式），使用过程中既可以双手盘动舵手，驱动密集架移动，也可以利用伸缩折叠式舵手把单手摇动，驱动密集架移动，单手摇动的伸缩折叠式舵手把不使用时，可将其回位，与其它舵手把在同一个圆周面上。</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4.导轨要求：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（1）底座：采用热轧钢板，材料厚δ≥2.5mm，底座轧制成开放矩形结构。</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（2）轨芯为高 20±1mm×宽 20±1mm 的实芯钢制作。</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（3）底座宽度为 120（±2）mm。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（4）轨芯与底座采用明暗焊接方式进行焊接，以及轨道与轨道相连处采用公母焊接方式，焊接后经表面抛光打磨处理，处理后表面光滑平整结实牢固无毛刺。</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5.防护装置要求：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（1）防撞密封装置采用 25mm 厚磁性防撞密封条达到密集架的防撞及密封功能，采用卡槽方式固定，卡槽材质为 PVC 阻燃材料。</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（2）防尘：采用冷轧钢板，材料厚度δ≥0.7mm 冷轧钢板制作。在架体顶部装有防尘板，合拢后无空缝，功能达到防火、防尘、防盗、防光要求。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（3）限位装置：导正机构两端安装限位块，防止密集书架运行过程中脱轨。</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6.边门和主副侧板设计要求：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（1）边门设计：密集架边列均要求配有上下分体的带锁内嵌式对开门。</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（2）侧板标签框：采用一次冲压成型的 2 个标签框，标签框规格为 120 mm×80mm（±2 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（3）侧板设计：每列前后侧板采用整体凹凸式一次成型侧板，侧板两侧采用 R9 圆弧造型，外观美观大方。</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（4）边门设计：密集档案架边门均要求配有上下分体的带锁内嵌式对开门，门扣手要求采用镀铬扣手，扣手规格 130*65mm（±2.0mm）（该尺寸为安装好后正面整个扣手机构最长和最宽处尺寸），扣手板可以翻动，并在失去外力约束后自动回位。扣手板采用 ABS 注塑成型，经镀铜、镀铬的电镀工艺，便于开关，扣手下方装明锁，要求安全可靠；门板四角处冲压有花纹，花纹外形大于 95*95mm±5mm。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7.生产工艺要求：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（1）钣金件质量：所有钣金件、机加件加工后应无毛刺、无裂纹及伤痕；所有板材部件均不可焊拼接，要求一体成型；除底盘结构拼接外，其余部件原材料严禁采用人为拼接方式生产部件。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（2）表面处理：前处理工序：各部零件在涂覆前，必须进行预脱脂-脱脂-水洗-酸洗-水洗-中和-表调-皮膜-水 洗-钝化十工位表面前处理工序，所用标准件及紧固件均需氧化或镀锌处理。</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喷塑粉料：经过表面酸洗皮膜处理工艺后，采用环保粉末进行喷塑喷塑要求：涂层表面应光滑平整，色泽均匀一致，不应有流挂、起粒、皱皮、露底、剥落、伤痕等缺陷；密集架各工件弯角、边角折弯处不允许出现漏喷塑粉情况。</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7134225" cy="6219825"/>
                  <wp:effectExtent l="0" t="0" r="13335" b="13335"/>
                  <wp:docPr id="102"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4" descr="IMG_329"/>
                          <pic:cNvPicPr>
                            <a:picLocks noChangeAspect="1"/>
                          </pic:cNvPicPr>
                        </pic:nvPicPr>
                        <pic:blipFill>
                          <a:blip r:embed="rId26"/>
                          <a:stretch>
                            <a:fillRect/>
                          </a:stretch>
                        </pic:blipFill>
                        <pic:spPr>
                          <a:xfrm>
                            <a:off x="0" y="0"/>
                            <a:ext cx="7134225" cy="6219825"/>
                          </a:xfrm>
                          <a:prstGeom prst="rect">
                            <a:avLst/>
                          </a:prstGeom>
                          <a:noFill/>
                          <a:ln w="9525">
                            <a:noFill/>
                          </a:ln>
                        </pic:spPr>
                      </pic:pic>
                    </a:graphicData>
                  </a:graphic>
                </wp:inline>
              </w:drawing>
            </w:r>
            <w:r>
              <w:rPr>
                <w:rFonts w:hint="eastAsia" w:ascii="宋体" w:hAnsi="宋体" w:eastAsia="宋体" w:cs="宋体"/>
                <w:bdr w:val="none" w:color="auto" w:sz="0" w:space="0"/>
              </w:rPr>
              <w:drawing>
                <wp:inline distT="0" distB="0" distL="114300" distR="114300">
                  <wp:extent cx="2286000" cy="2009775"/>
                  <wp:effectExtent l="0" t="0" r="0" b="1905"/>
                  <wp:docPr id="101"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5" descr="IMG_330"/>
                          <pic:cNvPicPr>
                            <a:picLocks noChangeAspect="1"/>
                          </pic:cNvPicPr>
                        </pic:nvPicPr>
                        <pic:blipFill>
                          <a:blip r:embed="rId27"/>
                          <a:stretch>
                            <a:fillRect/>
                          </a:stretch>
                        </pic:blipFill>
                        <pic:spPr>
                          <a:xfrm>
                            <a:off x="0" y="0"/>
                            <a:ext cx="2286000" cy="20097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书柜（400*400*2000mm，共16组）：</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1.基材采用中密度纤维板，甲醛释放限量 （1m³气候箱法） E₁≤0.028 mg/m³、含水率6.6%。；漆膜耐液性、漆膜耐湿热、漆膜耐干热、漆膜附着力、漆膜耐磨性均须达到1级；木制件甲醛释放量≤0.5mg/L；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2.三合一连接件符合GB/T 28203-2011 家具用连接件技术要求及试验方法、QB/T 3826-1999 轻工产品金属镀层和化学处理层的耐腐蚀试验方法 中性盐雾试验(NSS)法、QB/T 3832-1999 轻工产品金属镀层腐蚀试验结果的评价、GB/T 223.79-2007 钢铁多元素含量的测定 X-射线荧光光谱法（常规法）检测标准：检测项目不低于4项必须包含100h中性盐雾试验（NSS）达到10级，至少4种涂层金属元素含量检测。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3.提供▲文件柜（书柜）符合GB/T 3324-2017 木家具通用技术条件。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2295525" cy="1476375"/>
                  <wp:effectExtent l="0" t="0" r="5715" b="1905"/>
                  <wp:docPr id="100"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6" descr="IMG_331"/>
                          <pic:cNvPicPr>
                            <a:picLocks noChangeAspect="1"/>
                          </pic:cNvPicPr>
                        </pic:nvPicPr>
                        <pic:blipFill>
                          <a:blip r:embed="rId28"/>
                          <a:stretch>
                            <a:fillRect/>
                          </a:stretch>
                        </pic:blipFill>
                        <pic:spPr>
                          <a:xfrm>
                            <a:off x="0" y="0"/>
                            <a:ext cx="2295525" cy="14763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文件柜（900*400*2020mm，共22组）：</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1.材料厚度：门板0.6mm,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2.★冷轧钢板符合：</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（1）GB/T 3325-2017 金属家具通用技术条件；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（2）QB/T 3827-1999 轻工产品金属镀层和化学处理层的耐腐蚀试验方法 乙酸盐雾试验(ASS)法；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（3）QB/T 3826-1999 轻工产品金属镀层和化学处理层的耐腐蚀试验方法 中性盐雾试验(NSS)法；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（4）QB/T 3832-1999 轻工产品金属镀层腐蚀试验结果的评价；</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（5）GB/T 11253-2019 碳素结构钢冷轧钢板及钢带；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（6）GB/T 708-2019 冷轧钢板和钢带的尺寸、外形、重量及允许偏差；</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（7）GB/T 4336-2016 碳素钢和中低合金钢 多元素含量的测定 火花放电原子发射光谱法（常规法）；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（8）GB/T 6739-2006 色漆和清漆 铅笔法测定漆膜硬度；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（9）GB/T 13298-2015 金属显微组织检验方法，检测项目包含不仅限于：①耐腐蚀等级：中性盐雾试验（NSS）、乙酸盐雾试验（ASS）：企业技术条件：连续喷雾120h，简易10级制定级法不低于7级（10级为最好，0级最差）；②涂层中可溶性重金属检测合格；③金属喷漆（塑）涂层附着力：应不</w:t>
            </w:r>
            <w:r>
              <w:rPr>
                <w:rFonts w:hint="eastAsia" w:ascii="宋体" w:hAnsi="宋体" w:eastAsia="宋体" w:cs="宋体"/>
                <w:sz w:val="21"/>
                <w:szCs w:val="21"/>
                <w:bdr w:val="none" w:color="auto" w:sz="0" w:space="0"/>
              </w:rPr>
              <w:drawing>
                <wp:inline distT="0" distB="0" distL="114300" distR="114300">
                  <wp:extent cx="304800" cy="304800"/>
                  <wp:effectExtent l="0" t="0" r="0" b="0"/>
                  <wp:docPr id="99"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7" descr="IMG_332"/>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color w:val="000000"/>
                <w:sz w:val="18"/>
                <w:szCs w:val="18"/>
                <w:bdr w:val="none" w:color="auto" w:sz="0" w:space="0"/>
              </w:rPr>
              <w:t>低于2级；④金相显微组织：企业技术条件：铁素体（F）+珠光体（P）检测合格；⑤弯曲试验：试样弯曲处的外面和侧面不应有目视可见的裂纹；⑥五种化学成分检测合格；⑦伸长率（A</w:t>
            </w:r>
            <w:r>
              <w:rPr>
                <w:rFonts w:hint="eastAsia" w:ascii="宋体" w:hAnsi="宋体" w:eastAsia="宋体" w:cs="宋体"/>
                <w:color w:val="000000"/>
                <w:sz w:val="20"/>
                <w:szCs w:val="20"/>
                <w:bdr w:val="none" w:color="auto" w:sz="0" w:space="0"/>
              </w:rPr>
              <w:t>₈₀</w:t>
            </w:r>
            <w:r>
              <w:rPr>
                <w:rFonts w:hint="eastAsia" w:ascii="宋体" w:hAnsi="宋体" w:eastAsia="宋体" w:cs="宋体"/>
                <w:color w:val="000000"/>
                <w:sz w:val="18"/>
                <w:szCs w:val="18"/>
                <w:bdr w:val="none" w:color="auto" w:sz="0" w:space="0"/>
              </w:rPr>
              <w:t>mm）：≥20%、抗拉强度（Rm）：370～500MPa。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3.柜体边框采用22mm成型；</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4.每节侧板具有4条成型加强筋，集美化与加固与一体；</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5.每节背板配置一条750mm*15mm双头圆弧过渡条形压型加强；</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6.独立分节式，柜体顶部带钣金一次成型限位凹点.方便组合，可随意增加或者减少堆叠数量。投标时提供规格：高390mm*宽900mm*厚400mm(±0.2mm）样品一组（如图）。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color w:val="000000"/>
                <w:sz w:val="18"/>
                <w:szCs w:val="18"/>
                <w:bdr w:val="none" w:color="auto" w:sz="0" w:space="0"/>
              </w:rPr>
              <w:t>7.▲文件柜（或钢制文件柜、铁皮文件柜）符合GB/T 3325-2017 金属家具通用技术条件。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524000" cy="685800"/>
                  <wp:effectExtent l="0" t="0" r="0" b="0"/>
                  <wp:docPr id="98"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8" descr="IMG_333"/>
                          <pic:cNvPicPr>
                            <a:picLocks noChangeAspect="1"/>
                          </pic:cNvPicPr>
                        </pic:nvPicPr>
                        <pic:blipFill>
                          <a:blip r:embed="rId29"/>
                          <a:stretch>
                            <a:fillRect/>
                          </a:stretch>
                        </pic:blipFill>
                        <pic:spPr>
                          <a:xfrm>
                            <a:off x="0" y="0"/>
                            <a:ext cx="1524000" cy="685800"/>
                          </a:xfrm>
                          <a:prstGeom prst="rect">
                            <a:avLst/>
                          </a:prstGeom>
                          <a:noFill/>
                          <a:ln w="9525">
                            <a:noFill/>
                          </a:ln>
                        </pic:spPr>
                      </pic:pic>
                    </a:graphicData>
                  </a:graphic>
                </wp:inline>
              </w:drawing>
            </w:r>
            <w:r>
              <w:rPr>
                <w:rFonts w:hint="eastAsia" w:ascii="宋体" w:hAnsi="宋体" w:eastAsia="宋体" w:cs="宋体"/>
                <w:bdr w:val="none" w:color="auto" w:sz="0" w:space="0"/>
              </w:rPr>
              <w:drawing>
                <wp:inline distT="0" distB="0" distL="114300" distR="114300">
                  <wp:extent cx="1838325" cy="2381250"/>
                  <wp:effectExtent l="0" t="0" r="5715" b="11430"/>
                  <wp:docPr id="97"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9" descr="IMG_334"/>
                          <pic:cNvPicPr>
                            <a:picLocks noChangeAspect="1"/>
                          </pic:cNvPicPr>
                        </pic:nvPicPr>
                        <pic:blipFill>
                          <a:blip r:embed="rId30"/>
                          <a:stretch>
                            <a:fillRect/>
                          </a:stretch>
                        </pic:blipFill>
                        <pic:spPr>
                          <a:xfrm>
                            <a:off x="0" y="0"/>
                            <a:ext cx="1838325" cy="2381250"/>
                          </a:xfrm>
                          <a:prstGeom prst="rect">
                            <a:avLst/>
                          </a:prstGeom>
                          <a:noFill/>
                          <a:ln w="9525">
                            <a:noFill/>
                          </a:ln>
                        </pic:spPr>
                      </pic:pic>
                    </a:graphicData>
                  </a:graphic>
                </wp:inline>
              </w:drawing>
            </w:r>
            <w:r>
              <w:rPr>
                <w:rFonts w:hint="eastAsia" w:ascii="宋体" w:hAnsi="宋体" w:eastAsia="宋体" w:cs="宋体"/>
                <w:bdr w:val="none" w:color="auto" w:sz="0" w:space="0"/>
              </w:rPr>
              <w:drawing>
                <wp:inline distT="0" distB="0" distL="114300" distR="114300">
                  <wp:extent cx="295275" cy="838200"/>
                  <wp:effectExtent l="0" t="0" r="9525" b="0"/>
                  <wp:docPr id="96"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0" descr="IMG_335"/>
                          <pic:cNvPicPr>
                            <a:picLocks noChangeAspect="1"/>
                          </pic:cNvPicPr>
                        </pic:nvPicPr>
                        <pic:blipFill>
                          <a:blip r:embed="rId31"/>
                          <a:stretch>
                            <a:fillRect/>
                          </a:stretch>
                        </pic:blipFill>
                        <pic:spPr>
                          <a:xfrm>
                            <a:off x="0" y="0"/>
                            <a:ext cx="295275" cy="838200"/>
                          </a:xfrm>
                          <a:prstGeom prst="rect">
                            <a:avLst/>
                          </a:prstGeom>
                          <a:noFill/>
                          <a:ln w="9525">
                            <a:noFill/>
                          </a:ln>
                        </pic:spPr>
                      </pic:pic>
                    </a:graphicData>
                  </a:graphic>
                </wp:inline>
              </w:drawing>
            </w:r>
            <w:r>
              <w:rPr>
                <w:rFonts w:hint="eastAsia" w:ascii="宋体" w:hAnsi="宋体" w:eastAsia="宋体" w:cs="宋体"/>
                <w:bdr w:val="none" w:color="auto" w:sz="0" w:space="0"/>
              </w:rPr>
              <w:drawing>
                <wp:inline distT="0" distB="0" distL="114300" distR="114300">
                  <wp:extent cx="647700" cy="133350"/>
                  <wp:effectExtent l="0" t="0" r="7620" b="3810"/>
                  <wp:docPr id="95"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1" descr="IMG_336"/>
                          <pic:cNvPicPr>
                            <a:picLocks noChangeAspect="1"/>
                          </pic:cNvPicPr>
                        </pic:nvPicPr>
                        <pic:blipFill>
                          <a:blip r:embed="rId32"/>
                          <a:stretch>
                            <a:fillRect/>
                          </a:stretch>
                        </pic:blipFill>
                        <pic:spPr>
                          <a:xfrm>
                            <a:off x="0" y="0"/>
                            <a:ext cx="647700" cy="133350"/>
                          </a:xfrm>
                          <a:prstGeom prst="rect">
                            <a:avLst/>
                          </a:prstGeom>
                          <a:noFill/>
                          <a:ln w="9525">
                            <a:noFill/>
                          </a:ln>
                        </pic:spPr>
                      </pic:pic>
                    </a:graphicData>
                  </a:graphic>
                </wp:inline>
              </w:drawing>
            </w:r>
            <w:r>
              <w:rPr>
                <w:rFonts w:hint="eastAsia" w:ascii="宋体" w:hAnsi="宋体" w:eastAsia="宋体" w:cs="宋体"/>
                <w:bdr w:val="none" w:color="auto" w:sz="0" w:space="0"/>
              </w:rPr>
              <w:drawing>
                <wp:inline distT="0" distB="0" distL="114300" distR="114300">
                  <wp:extent cx="457200" cy="742950"/>
                  <wp:effectExtent l="0" t="0" r="0" b="3810"/>
                  <wp:docPr id="94"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2" descr="IMG_337"/>
                          <pic:cNvPicPr>
                            <a:picLocks noChangeAspect="1"/>
                          </pic:cNvPicPr>
                        </pic:nvPicPr>
                        <pic:blipFill>
                          <a:blip r:embed="rId33"/>
                          <a:stretch>
                            <a:fillRect/>
                          </a:stretch>
                        </pic:blipFill>
                        <pic:spPr>
                          <a:xfrm>
                            <a:off x="0" y="0"/>
                            <a:ext cx="457200" cy="74295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值班床（含一个床头柜，1200*2000mm，共6张）：</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1.采用橡木实木，环保达到国家标准；游离甲醛含量小于4.3mg/100g．经防腐等化学处理,密度板之间用紧固体及强胶拼接；</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2.采用水性油漆（涂料）符合GB 24410-2009 室内装饰装修材料水性木器涂料中有害物质限量、GB/T 23999-2009 室内装饰装修用水性木器涂料标准：挥发性有机化合物含量≤260 g/L，苯系物含量（苯、甲苯、乙苯和二,甲苯总和）≤80mg/kg，乙二醇醚及其酯类含量（乙二醇甲醚、乙二醇甲醚醋酸酯、乙二醇乙,醚、乙二醇乙醚醋酸酯、二乙二醇丁醚醋酸酯）80mg/kg，游离甲醛含量≤10 mg/kg，可溶性重金属含量（限色漆和腻子）铅Pb≤90mg/kg，镉Cd≤5 mg/kg，铬Cr≤6 mg/kg，汞Hg≤6 mg/kg，硬度（擦伤）≥3H。</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3.床屏用面料符合GB 18401-2010 国家纺织产品基本安全技术规范：耐干摩擦≥3级，未检出甲醛含量。</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4.采用海绵符合GB/T 10802-2006 通用软质聚醚型聚氨酯泡沫塑料GB/T 6343-2009 泡沫塑料及橡胶 表观密度的测定检验依据：回弹率≥45%，拉伸强度≥110KPa,伸长率≥160%，表观密度≥45Kg/m³。5.床垫符合QB/T 1952.2-2011 软体家具 弹簧软床垫GB 17927.2-2011 软体家具 床垫和沙发 抗引燃特性的评定 第2部分：模拟火柴火焰检测标准，检测项目不少于15项包含但不限于：标志、使用说明，睡眠区域中心耐久性，公共场所用软体家具阻燃性能（应符合GB 17927.2-2011的要求，试样表面或内部未出现任何续燃、阴燃现象），床垫甲醛释放量≤0.016mg/m²·h，化纤（棉）毡强度。采用蛇形弹簧符合QB/T 1952.2-2011 软体家具 弹簧软床垫标准：弹簧不应有锈迹、不应有锈蚀、应无弹簧摩擦声。</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5.床垫符合QB/T 1952.2-2011 软体家具 弹簧软床垫GB 17927.2-2011 软体家具 床垫和沙发 抗引燃特性的评定 第2部分：模拟火柴火焰检测标准，检测项目不少于15项包含但不限于：标志、使用说明，睡眠区域中心耐久性，公共场所用软体家具阻燃性能（应符合GB 17927.2-2011的要求，试样表面或内部未出现任何续燃、阴燃现象），床垫甲醛释放量≤0.016mg/m²·h，化纤（棉）毡强度。采用蛇形弹簧符合QB/T 1952.2-2011 软体家具 弹簧软床垫标准：弹簧不应有锈迹、不应有锈蚀、应无弹簧摩擦声。</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6.实木床符合GB/T 3324-2017 木家具通用技术条件GB/T 35607-2017 绿色产品评价 家具GB/T 16799-2018 家具用皮革GB/T 19941-2005 皮革和毛皮 化学试验 甲醛含量的测定GB 18584-2001 室内装饰装修材料 木家具中有害物质限量检验依据，检测项目不少于28项必须包括不少于8项家具涂层可迁移元素检测、总挥发性有机化合物（TVOC）、皮革游离甲醛≤5 mg/kg、木制件甲醛释放量≤0.1mg/L、不少于23种皮革可分解芳香胺染料检测、单层床床铺面集中静载荷试验等。</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247775" cy="1095375"/>
                  <wp:effectExtent l="0" t="0" r="1905" b="1905"/>
                  <wp:docPr id="93"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3" descr="IMG_338"/>
                          <pic:cNvPicPr>
                            <a:picLocks noChangeAspect="1"/>
                          </pic:cNvPicPr>
                        </pic:nvPicPr>
                        <pic:blipFill>
                          <a:blip r:embed="rId34"/>
                          <a:stretch>
                            <a:fillRect/>
                          </a:stretch>
                        </pic:blipFill>
                        <pic:spPr>
                          <a:xfrm>
                            <a:off x="0" y="0"/>
                            <a:ext cx="1247775" cy="10953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鞋柜（900*550*1950mm，共6组）：</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1.基材采用冷轧钢板。</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2.★冷轧钢板符合</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（1）GB/T 3325-2017 金属家具通用技术条件；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（2）QB/T 3827-1999 轻工产品金属镀层和化学处理层的耐腐蚀试验方法 乙酸盐雾试验(ASS)法；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（3）QB/T 3826-1999 轻工产品金属镀层和化学处理层的耐腐蚀试验方法 中性盐雾试验(NSS)法；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（4）QB/T 3832-1999 轻工产品金属镀层腐蚀试验结果的评价；</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（5）GB/T 11253-2019 碳素结构钢冷轧钢板及钢带；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（6）GB/T 708-2019 冷轧钢板和钢带的尺寸、外形、重量及允许偏差；</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（7）GB/T 4336-2016 碳素钢和中低合金钢 多元素含量的测定 火花放电原子发射光谱法（常规法）；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（8）GB/T 6739-2006 色漆和清漆 铅笔法测定漆膜硬度；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（9）GB/T 13298-2015 金属显微组织检验方法，检测项目包含不仅限于：①耐腐蚀等级：中性盐雾试验（NSS）、乙酸盐雾试验（ASS）：企业技术条件：连续喷雾120h，简易10级制定级法不低于7级（10级为最好，0级最差）；②涂层中可溶性重金属检测合格；③金属喷漆（塑）涂层附着力：应不低于2级；④金相显微组织：企业技术条件：铁素体（F）+珠体（P）检测合格；⑤弯曲试验：试样弯曲处的外面和侧面不应有目视可见的裂纹；⑥五种化学成分检测合格；⑦伸长率（A</w:t>
            </w:r>
            <w:r>
              <w:rPr>
                <w:rFonts w:hint="default" w:ascii="Times New Roman" w:hAnsi="Times New Roman" w:eastAsia="宋体" w:cs="Times New Roman"/>
                <w:color w:val="000000"/>
                <w:sz w:val="18"/>
                <w:szCs w:val="18"/>
                <w:bdr w:val="none" w:color="auto" w:sz="0" w:space="0"/>
              </w:rPr>
              <w:t>₈₀</w:t>
            </w:r>
            <w:r>
              <w:rPr>
                <w:rFonts w:hint="eastAsia" w:ascii="宋体" w:hAnsi="宋体" w:eastAsia="宋体" w:cs="宋体"/>
                <w:color w:val="000000"/>
                <w:sz w:val="18"/>
                <w:szCs w:val="18"/>
                <w:bdr w:val="none" w:color="auto" w:sz="0" w:space="0"/>
              </w:rPr>
              <w:t>mm）：≥20%、抗拉强度（Rm）：370～500MPa。钢板厚度0.6mm。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3.表面采用静电喷塑，▲塑粉符合HG/T 2006-2006 热固性粉末涂料标椎：杯突≥4 mm；涂膜外观合格；硬度（擦伤）4H；耐冲击性≥40 cm；弯曲试验≤4 mm；耐酸性（3％HCl）240h无异常；耐碱性（5％NaOH）168h无异常；耐盐雾性试验（NSS）96小时 划线处：单向锈蚀≤2.0mm 未划线区：无异常；耐湿热性500h无异常。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4.带散气孔。</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371600" cy="2476500"/>
                  <wp:effectExtent l="0" t="0" r="0" b="7620"/>
                  <wp:docPr id="92"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4" descr="IMG_339"/>
                          <pic:cNvPicPr>
                            <a:picLocks noChangeAspect="1"/>
                          </pic:cNvPicPr>
                        </pic:nvPicPr>
                        <pic:blipFill>
                          <a:blip r:embed="rId35"/>
                          <a:stretch>
                            <a:fillRect/>
                          </a:stretch>
                        </pic:blipFill>
                        <pic:spPr>
                          <a:xfrm>
                            <a:off x="0" y="0"/>
                            <a:ext cx="1371600" cy="247650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换衣柜（900*550*1950mm，共6组）：</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1.基材采用冷轧钢板。</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2.★冷轧钢板符合</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（1）GB/T 3325-2017 金属家具通用技术条件；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（2）QB/T 3827-1999 轻工产品金属镀层和化学处理层的耐腐蚀试验方法 乙酸盐雾试验(ASS)法；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（3）QB/T 3826-1999 轻工产品金属镀层和化学处理层的耐腐蚀试验方法 中性盐雾试验(NSS)法；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（4）QB/T 3832-1999 轻工产品金属镀层腐蚀试验结果的评价；</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（5）GB/T 11253-2019 碳素结构钢冷轧钢板及钢带；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（6）GB/T 708-2019 冷轧钢板和钢带的尺寸、外形、重量及允许偏差；</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（7）GB/T 4336-2016 碳素钢和中低合金钢 多元素含量的测定 火花放电原子发射光谱法（常规法）；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（8）GB/T 6739-2006 色漆和清漆 铅笔法测定漆膜硬度；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（9）GB/T 13298-2015 金属显微组织检验方法，检测项目包含不仅限于：①耐腐蚀等级：中性盐雾试验（NSS）、乙酸盐雾试验（ASS）：企业技术条件：连续喷雾120h，简易10级制定级法不低于7级（10级为最好，0级最差）；②涂层中可溶性重金属检测合格；③金属喷漆（塑）涂层附着力：应不低于2级；④金相显微组织：企业技术条件：铁素体（F）+珠体（P）检测合格；⑤弯曲试验：试样弯曲处的外面和侧面不应有目视可见的裂纹；⑥五种化学成分检测合格；⑦伸长率（A</w:t>
            </w:r>
            <w:r>
              <w:rPr>
                <w:rFonts w:hint="default" w:ascii="Times New Roman" w:hAnsi="Times New Roman" w:eastAsia="宋体" w:cs="Times New Roman"/>
                <w:color w:val="000000"/>
                <w:sz w:val="18"/>
                <w:szCs w:val="18"/>
                <w:bdr w:val="none" w:color="auto" w:sz="0" w:space="0"/>
              </w:rPr>
              <w:t>₈₀</w:t>
            </w:r>
            <w:r>
              <w:rPr>
                <w:rFonts w:hint="eastAsia" w:ascii="宋体" w:hAnsi="宋体" w:eastAsia="宋体" w:cs="宋体"/>
                <w:color w:val="000000"/>
                <w:sz w:val="18"/>
                <w:szCs w:val="18"/>
                <w:bdr w:val="none" w:color="auto" w:sz="0" w:space="0"/>
              </w:rPr>
              <w:t>mm）：≥20%、抗拉强度（Rm）：370～500MPa。钢板厚度0.6mm。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3.表面采用静电喷塑，塑粉符合HG/T 2006-2006 热固性粉末涂料标椎：杯突≥4 mm；涂膜外观合格；硬度（擦伤）4H；耐冲击性≥40 cm；弯曲试验≤4 mm；耐酸性（3％HCl）240h无异常；耐碱性（5％NaOH）168h无异常；耐盐雾性试验（NSS）96小时 划线处：单向锈蚀≤2.0mm 未划线区：无异常；耐湿热性500h无异常。</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4.柜体正面边框厚度8mm薄边设计，柜体顶前边内置U型顶加强梁；柜体前框加强筋采用5次折弯成型筋条。</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5.ABS材质椭圆形扣手，扣手尺寸外观尺寸：29*120±2mm，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6.门板基材冲压双向成型式标签框，成型尺寸33*62±1mm,双向成型深度2mm；</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7.门内一根304#不锈钢材质Φ16挂衣杆,衣杆安装底座为钣金一次成型,与柜体焊接后配备ABS材质衣杆固定座,完全包覆衣杆安装底座。</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8.对应锁具配套安装PP材质锁舌盖,锁具开启状态锁舌不外露,免拆卸门板对锁具进行维护更换；</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9.柜体底部安装L型塑料防潮脚垫,高度不低于10mm。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10.▲换衣柜（或钢制衣柜、铁皮衣柜）符合GB/T 3325-2017 金属家具通用技术条件：检测项目包含不限于“着地平稳性、金属件外观性能要求、配件性能要求、涂层和覆面层中可溶性重金属、金属喷漆（塑）涂层附着力”</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504950" cy="2476500"/>
                  <wp:effectExtent l="0" t="0" r="3810" b="7620"/>
                  <wp:docPr id="91"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5" descr="IMG_340"/>
                          <pic:cNvPicPr>
                            <a:picLocks noChangeAspect="1"/>
                          </pic:cNvPicPr>
                        </pic:nvPicPr>
                        <pic:blipFill>
                          <a:blip r:embed="rId36"/>
                          <a:stretch>
                            <a:fillRect/>
                          </a:stretch>
                        </pic:blipFill>
                        <pic:spPr>
                          <a:xfrm>
                            <a:off x="0" y="0"/>
                            <a:ext cx="1504950" cy="2476500"/>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操作台1（1800*1200*760mm，共3张）、操作台2（1800*900*760mm，共3张）、操作台3（2000*700*760mm，共2张）：</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1.台面基材为★三聚氰胺板，符合</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（1）GB/T 15102-2017 浸渍胶膜纸饰面纤维板和刨花板；</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（2）GB 18580-2017 室内装饰装修材料人造板及其制品中甲醛释放限量；</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（3）GB/T 35601-2017 绿色产品评价 人造板和木质地板；</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（4）GB 8624-2012 建筑材料及制品燃烧性能分级，检测项目包含不仅限于：①静曲强度：公称厚度＞13～20（mm）≥11.0MPa；②内结合强度：公称厚度＞13～20（mm）≥0.35MPa；③表面胶合强度：≥0.60MPa；④耐光色牢度：蓝色羊毛布6级，达到灰度卡4级；⑤甲醛释放限量：（1m³气候箱法）E</w:t>
            </w:r>
            <w:r>
              <w:rPr>
                <w:rFonts w:hint="default" w:ascii="Times New Roman" w:hAnsi="Times New Roman" w:eastAsia="宋体" w:cs="Times New Roman"/>
                <w:color w:val="000000"/>
                <w:sz w:val="18"/>
                <w:szCs w:val="18"/>
                <w:bdr w:val="none" w:color="auto" w:sz="0" w:space="0"/>
              </w:rPr>
              <w:t>₁</w:t>
            </w:r>
            <w:r>
              <w:rPr>
                <w:rFonts w:hint="eastAsia" w:ascii="宋体" w:hAnsi="宋体" w:eastAsia="宋体" w:cs="宋体"/>
                <w:color w:val="000000"/>
                <w:sz w:val="18"/>
                <w:szCs w:val="18"/>
                <w:bdr w:val="none" w:color="auto" w:sz="0" w:space="0"/>
              </w:rPr>
              <w:t>≤0.124mg/m³；⑥燃烧性能等级B</w:t>
            </w:r>
            <w:r>
              <w:rPr>
                <w:rFonts w:hint="default" w:ascii="Times New Roman" w:hAnsi="Times New Roman" w:eastAsia="宋体" w:cs="Times New Roman"/>
                <w:color w:val="000000"/>
                <w:sz w:val="18"/>
                <w:szCs w:val="18"/>
                <w:bdr w:val="none" w:color="auto" w:sz="0" w:space="0"/>
              </w:rPr>
              <w:t>₁</w:t>
            </w:r>
            <w:r>
              <w:rPr>
                <w:rFonts w:hint="eastAsia" w:ascii="宋体" w:hAnsi="宋体" w:eastAsia="宋体" w:cs="宋体"/>
                <w:color w:val="000000"/>
                <w:sz w:val="18"/>
                <w:szCs w:val="18"/>
                <w:bdr w:val="none" w:color="auto" w:sz="0" w:space="0"/>
              </w:rPr>
              <w:t>（C）：燃烧增长速率指FIGR0.4MJ≤250W/s、火焰横向蔓延：火焰横向蔓延未到达试样长翼边缘、600s的总放热量THR600s≤15MJ、60s内焰尖高度FS≤150mm、燃烧滴落物：60s内无燃烧滴落物引燃滤纸现象。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2.采用▲ABS激光封边条，符合QB/T 4463-2013 家具用封边条技术要求：厚度≥2 mm ；封边条甲醛释放量E</w:t>
            </w:r>
            <w:r>
              <w:rPr>
                <w:rFonts w:hint="default" w:ascii="Times New Roman" w:hAnsi="Times New Roman" w:eastAsia="宋体" w:cs="Times New Roman"/>
                <w:color w:val="000000"/>
                <w:sz w:val="18"/>
                <w:szCs w:val="18"/>
                <w:bdr w:val="none" w:color="auto" w:sz="0" w:space="0"/>
              </w:rPr>
              <w:t>₁</w:t>
            </w:r>
            <w:r>
              <w:rPr>
                <w:rFonts w:hint="eastAsia" w:ascii="宋体" w:hAnsi="宋体" w:eastAsia="宋体" w:cs="宋体"/>
                <w:color w:val="000000"/>
                <w:sz w:val="18"/>
                <w:szCs w:val="18"/>
                <w:bdr w:val="none" w:color="auto" w:sz="0" w:space="0"/>
              </w:rPr>
              <w:t>≤1.5 mg/L。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3.桌脚采用▲无缝工型钢管符合QB/T 4767-2014 家具用钢构件标准：管壁厚度≥1.2 mm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2000250" cy="1209675"/>
                  <wp:effectExtent l="0" t="0" r="11430" b="9525"/>
                  <wp:docPr id="90"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6" descr="IMG_341"/>
                          <pic:cNvPicPr>
                            <a:picLocks noChangeAspect="1"/>
                          </pic:cNvPicPr>
                        </pic:nvPicPr>
                        <pic:blipFill>
                          <a:blip r:embed="rId37"/>
                          <a:stretch>
                            <a:fillRect/>
                          </a:stretch>
                        </pic:blipFill>
                        <pic:spPr>
                          <a:xfrm>
                            <a:off x="0" y="0"/>
                            <a:ext cx="2000250" cy="12096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治疗柜下柜(4900*700*850mm，共4.9米)：</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1.上柜配置：开门方式可选择平开门，采用防锈易消毒型拉手，▲防锈易消毒型拉手符合QB/T 3826-1999 轻工产品金属镀层和化学处理层的耐腐蚀试验方法 中性盐雾试验(NSS)法、QB/T 3832-1999 轻工产品金属镀层腐蚀试验结果的评价标准：连续喷雾18h，简易10级制定级法不低于7级（10级为最好，0级最差）。标签卡槽，方便物品分类。配置补强承重活动层板一块，可自由拆卸并逐级调整高度；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2.中柜配置：配置补强承重活动层板一块，可自由拆卸并逐级调整高度;立板分隔中间配液照明光带一组；</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下柜采用上抽下拉分类管理抽：配置钢制铜芯锁具，标准配置共2抽分类管理抽（数量可根据实际情况做调整），下抽需配置环保型ABS材质六宫格；如需要配置垃圾桶，下柜需配置推板式垃圾分类柜（二口一组、内配垃圾桶）； 需含嵌入式高危药品管理柜（需配置电子密码锁）：规格：615*409*490mm；柜体为8mm边框，内置加强筋,配置封闭式防虫底板,顶面加固设计；互锁块要求采用高品质ABS材质卡扣式互锁防止块，一次只能拉开一个抽屉，无需螺丝安装；连杆固定座要求采用高品质POM材质的卡扣式结构，无需螺丝安装，保证高效维护及保养；抽屉轨道要求采用三节全展型460mm静音滑轨，须为双位挂式安装，保证承重能力强、高效维护及保养；连杆要求采用截面尺寸为2.5mm*14mm带2条应力释放平衡槽的铝制连杆，保证锁机构开启的轻巧灵活.</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4.所有可开启柜门表面根据实际需求配置冲压式标签卡槽.    </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5.五金配件：采用杯状暗铰链、钢制铜芯锁具。</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6.踢脚线：304#不锈钢踢脚线。</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7.台面：采用12.7mm厚大理石</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8.基材采用冷轧钢板，★冷轧钢板符合：</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（1）GB/T 3325-2017 金属家具通用技术条件；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（2）QB/T 3827-1999 轻工产品金属镀层和化学处理层的耐腐蚀试验方法 乙酸盐雾试验(ASS)法；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（3）QB/T 3826-1999 轻工产品金属镀层和化学处理层的耐腐蚀试验方法 中性盐雾试验(NSS)法；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（4）QB/T 3832-1999 轻工产品金属镀层腐蚀试验结果的评价；</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（5）GB/T 11253-2019 碳素结构钢冷轧钢板及钢带；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（6）GB/T 708-2019 冷轧钢板和钢带的尺寸、外形、重量及允许偏差；</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（7）GB/T 4336-2016 碳素钢和中低合金钢 多元素含量的测定 火花放电原子发射光谱法（常规法）；</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（8）GB/T 6739-2006 色漆和清漆 铅笔法测定漆膜硬度；</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（9）GB/T 13298-2015 金属显微组织检验方法，检测项目包含不仅限于：①耐腐蚀等级：中性盐雾试验（NSS）、乙酸盐雾试验（ASS）：企业技术条件：连续喷雾120h，简易10级制定级法不低于7级（10级为最好，0级最差）；②涂层中可溶性重金属检测合格；③金属喷漆（塑）涂层附着力：应不低于2级；④金相显微组织：企业技术条件：铁素体（F）+珠光体（P）检测合格；⑤弯曲试验：试样弯曲处的外面和侧面不应有目视可见的裂纹；⑥五种化学成分检测合格；⑦伸长率（A</w:t>
            </w:r>
            <w:r>
              <w:rPr>
                <w:rFonts w:hint="default" w:ascii="Times New Roman" w:hAnsi="Times New Roman" w:eastAsia="宋体" w:cs="Times New Roman"/>
                <w:color w:val="000000"/>
                <w:sz w:val="18"/>
                <w:szCs w:val="18"/>
                <w:bdr w:val="none" w:color="auto" w:sz="0" w:space="0"/>
              </w:rPr>
              <w:t>₈₀</w:t>
            </w:r>
            <w:r>
              <w:rPr>
                <w:rFonts w:hint="eastAsia" w:ascii="宋体" w:hAnsi="宋体" w:eastAsia="宋体" w:cs="宋体"/>
                <w:color w:val="000000"/>
                <w:sz w:val="18"/>
                <w:szCs w:val="18"/>
                <w:bdr w:val="none" w:color="auto" w:sz="0" w:space="0"/>
              </w:rPr>
              <w:t>mm）：≥20%、抗拉强度（Rm）：370～500MPa。</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1676400" cy="1704975"/>
                  <wp:effectExtent l="0" t="0" r="0" b="1905"/>
                  <wp:docPr id="89"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descr="IMG_342"/>
                          <pic:cNvPicPr>
                            <a:picLocks noChangeAspect="1"/>
                          </pic:cNvPicPr>
                        </pic:nvPicPr>
                        <pic:blipFill>
                          <a:blip r:embed="rId38"/>
                          <a:stretch>
                            <a:fillRect/>
                          </a:stretch>
                        </pic:blipFill>
                        <pic:spPr>
                          <a:xfrm>
                            <a:off x="0" y="0"/>
                            <a:ext cx="1676400" cy="17049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Fonts w:hint="eastAsia" w:ascii="宋体" w:hAnsi="宋体" w:eastAsia="宋体" w:cs="宋体"/>
                <w:bdr w:val="none" w:color="auto" w:sz="0" w:space="0"/>
              </w:rPr>
              <w:t>治疗柜吊柜（4900*350*600/1150mm,共4.9米）：</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1.材料厚度：柜体采用1.0mm镀锌板，防潮防水，经久耐用。</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left"/>
              <w:rPr>
                <w:rFonts w:hint="eastAsia" w:ascii="宋体" w:hAnsi="宋体" w:eastAsia="宋体" w:cs="宋体"/>
              </w:rPr>
            </w:pPr>
            <w:r>
              <w:rPr>
                <w:rFonts w:hint="eastAsia" w:ascii="宋体" w:hAnsi="宋体" w:eastAsia="宋体" w:cs="宋体"/>
                <w:color w:val="000000"/>
                <w:sz w:val="18"/>
                <w:szCs w:val="18"/>
                <w:bdr w:val="none" w:color="auto" w:sz="0" w:space="0"/>
              </w:rPr>
              <w:t>2.表面处理采用抗菌塑粉，▲抗菌塑粉符合GB/T 3325-2017 金属家具通用技术条件、GB/T 35607-2017 绿色产品评价 家具、QB/T 3826-1999 轻工产品金属镀层和化学处理层的耐腐蚀试验方法 中性盐雾试验(NSS)法、GB/T 1740-2007 漆膜耐湿热测定法：金属喷漆（塑）涂层附着力应不低于2级；金属喷漆（塑）涂层耐湿热检测合格；家具涂层可迁移元素检测合格；耐腐蚀等级（连续喷雾120h，简易10级制定级法不低于7级（10级为最好，0级最差）检测合格。</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color w:val="000000"/>
                <w:sz w:val="18"/>
                <w:szCs w:val="18"/>
                <w:bdr w:val="none" w:color="auto" w:sz="0" w:space="0"/>
              </w:rPr>
              <w:t>3.▲治疗柜吊柜（或医药药品柜、药品柜）符合GB 24820-2009 实验室家具通用技术条件、GB/T 3325-2017 金属家具通用技术条件、GB 6566-2010 建筑材料放射性核素限量、GB/T 35607-2017 绿色产品评价 家具、QB/T 3826-1999 轻工产品金属镀层和化学处理层的耐腐蚀试验方法 中性盐雾试验(NSS)法、QB/T 3832-1999 轻工产品金属镀层腐蚀试验结果的评价：玻璃件外观检测合格；安全性要求检测合格（包含：与人体接触的零部件不应有毛刺、刃口、尖锐的棱角和端头；所有可拉伸的部件，应装配有效的限位装置，当其包括装载物在内质量超过10kg时，在拉手处施加200N力，该部件不应被拉脱；或者在其前端面贴一警示标签，说明该部件易被拉脱；活动部件间距离:≤8或≥25mm。）；金属电镀层耐腐蚀不低于7级；金属喷漆（塑）涂层冲击强度检测合格；拉门猛开试验、拉门耐久性试验检测合格；家具涂层可迁移元素检测合格；500h中性盐雾试验不低8级。</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jc w:val="both"/>
              <w:rPr>
                <w:rFonts w:hint="eastAsia" w:ascii="宋体" w:hAnsi="宋体" w:eastAsia="宋体" w:cs="宋体"/>
              </w:rPr>
            </w:pPr>
            <w:r>
              <w:rPr>
                <w:rFonts w:hint="eastAsia" w:ascii="宋体" w:hAnsi="宋体" w:eastAsia="宋体" w:cs="宋体"/>
                <w:bdr w:val="none" w:color="auto" w:sz="0" w:space="0"/>
              </w:rPr>
              <w:t>参考图片：</w:t>
            </w:r>
            <w:r>
              <w:rPr>
                <w:rFonts w:hint="eastAsia" w:ascii="宋体" w:hAnsi="宋体" w:eastAsia="宋体" w:cs="宋体"/>
                <w:bdr w:val="none" w:color="auto" w:sz="0" w:space="0"/>
              </w:rPr>
              <w:drawing>
                <wp:inline distT="0" distB="0" distL="114300" distR="114300">
                  <wp:extent cx="847725" cy="1057275"/>
                  <wp:effectExtent l="0" t="0" r="5715" b="9525"/>
                  <wp:docPr id="88"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343"/>
                          <pic:cNvPicPr>
                            <a:picLocks noChangeAspect="1"/>
                          </pic:cNvPicPr>
                        </pic:nvPicPr>
                        <pic:blipFill>
                          <a:blip r:embed="rId39"/>
                          <a:stretch>
                            <a:fillRect/>
                          </a:stretch>
                        </pic:blipFill>
                        <pic:spPr>
                          <a:xfrm>
                            <a:off x="0" y="0"/>
                            <a:ext cx="847725" cy="1057275"/>
                          </a:xfrm>
                          <a:prstGeom prst="rect">
                            <a:avLst/>
                          </a:prstGeom>
                          <a:noFill/>
                          <a:ln w="9525">
                            <a:noFill/>
                          </a:ln>
                        </pic:spPr>
                      </pic:pic>
                    </a:graphicData>
                  </a:graphic>
                </wp:inline>
              </w:drawing>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rPr>
                <w:rFonts w:hint="eastAsia"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keepNext w:val="0"/>
              <w:keepLines w:val="0"/>
              <w:widowControl/>
              <w:suppressLineNumbers w:val="0"/>
              <w:wordWrap w:val="0"/>
              <w:spacing w:before="0" w:beforeAutospacing="0" w:after="0" w:afterAutospacing="0" w:line="384" w:lineRule="atLeast"/>
              <w:ind w:left="0" w:right="0"/>
              <w:jc w:val="left"/>
              <w:rPr>
                <w:rFonts w:hint="eastAsia" w:ascii="宋体" w:hAnsi="宋体" w:eastAsia="宋体" w:cs="宋体"/>
              </w:rPr>
            </w:pPr>
            <w:r>
              <w:rPr>
                <w:rFonts w:hint="eastAsia" w:ascii="宋体" w:hAnsi="宋体" w:eastAsia="宋体" w:cs="宋体"/>
                <w:kern w:val="0"/>
                <w:sz w:val="24"/>
                <w:szCs w:val="24"/>
                <w:bdr w:val="none" w:color="auto" w:sz="0" w:space="0"/>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tcMar>
              <w:left w:w="96" w:type="dxa"/>
              <w:right w:w="96" w:type="dxa"/>
            </w:tcMar>
            <w:vAlign w:val="center"/>
          </w:tcPr>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0"/>
              <w:rPr>
                <w:rFonts w:hint="eastAsia" w:ascii="宋体" w:hAnsi="宋体" w:eastAsia="宋体" w:cs="宋体"/>
              </w:rPr>
            </w:pPr>
            <w:r>
              <w:rPr>
                <w:rStyle w:val="9"/>
                <w:rFonts w:hint="eastAsia" w:ascii="宋体" w:hAnsi="宋体" w:eastAsia="宋体" w:cs="宋体"/>
                <w:sz w:val="21"/>
                <w:szCs w:val="21"/>
                <w:bdr w:val="none" w:color="auto" w:sz="0" w:space="0"/>
              </w:rPr>
              <w:t>注：</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420"/>
              <w:jc w:val="both"/>
              <w:rPr>
                <w:rFonts w:hint="eastAsia" w:ascii="宋体" w:hAnsi="宋体" w:eastAsia="宋体" w:cs="宋体"/>
              </w:rPr>
            </w:pPr>
            <w:r>
              <w:rPr>
                <w:rStyle w:val="9"/>
                <w:rFonts w:hint="eastAsia" w:ascii="宋体" w:hAnsi="宋体" w:eastAsia="宋体" w:cs="宋体"/>
                <w:sz w:val="21"/>
                <w:szCs w:val="21"/>
                <w:bdr w:val="none" w:color="auto" w:sz="0" w:space="0"/>
              </w:rPr>
              <w:t>1.核心产品为：档案密集架。</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420"/>
              <w:jc w:val="both"/>
              <w:rPr>
                <w:rFonts w:hint="eastAsia" w:ascii="宋体" w:hAnsi="宋体" w:eastAsia="宋体" w:cs="宋体"/>
              </w:rPr>
            </w:pPr>
            <w:r>
              <w:rPr>
                <w:rStyle w:val="9"/>
                <w:rFonts w:hint="eastAsia" w:ascii="宋体" w:hAnsi="宋体" w:eastAsia="宋体" w:cs="宋体"/>
                <w:sz w:val="21"/>
                <w:szCs w:val="21"/>
                <w:bdr w:val="none" w:color="auto" w:sz="0" w:space="0"/>
              </w:rPr>
              <w:t>2.投标时▲参数仅作响应即可，供应商须承诺在合同签订前提供针对▲参数的由具有CMA资质的检测机构出具的检测报告复印件给采购人核验及确认，不能提供检测报告的、检测报告提供不全的以及检测报告无法佐证▲参数的，将视为供应商虚假响应，并依法上报财政部门，由此造成的后果由供应商自行承担。（提供承诺函原件加盖供应商公章）。</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420"/>
              <w:jc w:val="both"/>
              <w:rPr>
                <w:rFonts w:hint="eastAsia" w:ascii="宋体" w:hAnsi="宋体" w:eastAsia="宋体" w:cs="宋体"/>
              </w:rPr>
            </w:pPr>
            <w:r>
              <w:rPr>
                <w:rStyle w:val="9"/>
                <w:rFonts w:hint="eastAsia" w:ascii="宋体" w:hAnsi="宋体" w:eastAsia="宋体" w:cs="宋体"/>
                <w:sz w:val="21"/>
                <w:szCs w:val="21"/>
                <w:bdr w:val="none" w:color="auto" w:sz="0" w:space="0"/>
              </w:rPr>
              <w:t>3.投标时</w:t>
            </w:r>
            <w:r>
              <w:rPr>
                <w:rStyle w:val="9"/>
                <w:rFonts w:hint="eastAsia" w:ascii="宋体" w:hAnsi="宋体" w:eastAsia="宋体" w:cs="宋体"/>
                <w:color w:val="000000"/>
                <w:sz w:val="21"/>
                <w:szCs w:val="21"/>
                <w:bdr w:val="none" w:color="auto" w:sz="0" w:space="0"/>
              </w:rPr>
              <w:t>★</w:t>
            </w:r>
            <w:r>
              <w:rPr>
                <w:rStyle w:val="9"/>
                <w:rFonts w:hint="eastAsia" w:ascii="宋体" w:hAnsi="宋体" w:eastAsia="宋体" w:cs="宋体"/>
                <w:sz w:val="21"/>
                <w:szCs w:val="21"/>
                <w:bdr w:val="none" w:color="auto" w:sz="0" w:space="0"/>
              </w:rPr>
              <w:t>参数</w:t>
            </w:r>
            <w:r>
              <w:rPr>
                <w:rStyle w:val="9"/>
                <w:rFonts w:hint="eastAsia" w:ascii="宋体" w:hAnsi="宋体" w:eastAsia="宋体" w:cs="宋体"/>
                <w:color w:val="000000"/>
                <w:sz w:val="21"/>
                <w:szCs w:val="21"/>
                <w:bdr w:val="none" w:color="auto" w:sz="0" w:space="0"/>
              </w:rPr>
              <w:t>为实质性要求，投标供应商必须提供符合参数要求的“枫香木”、“冷轧钢板”、“三聚氰胺板”检测报告复印件加盖供应商鲜章作为符合性审核，合同签订前提供原件查看。</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left="0" w:right="0" w:firstLine="420"/>
              <w:jc w:val="both"/>
              <w:rPr>
                <w:rFonts w:hint="eastAsia" w:ascii="宋体" w:hAnsi="宋体" w:eastAsia="宋体" w:cs="宋体"/>
              </w:rPr>
            </w:pPr>
            <w:r>
              <w:rPr>
                <w:rStyle w:val="9"/>
                <w:rFonts w:hint="eastAsia" w:ascii="宋体" w:hAnsi="宋体" w:eastAsia="宋体" w:cs="宋体"/>
                <w:bdr w:val="none" w:color="auto" w:sz="0" w:space="0"/>
              </w:rPr>
              <w:t>4、</w:t>
            </w:r>
            <w:r>
              <w:rPr>
                <w:rFonts w:hint="eastAsia" w:ascii="宋体" w:hAnsi="宋体" w:eastAsia="宋体" w:cs="宋体"/>
                <w:bdr w:val="none" w:color="auto" w:sz="0" w:space="0"/>
              </w:rPr>
              <w:t>“采购文件中的图片供应商可不作响应，仅供参考”，供应商可依据采购需求的图片参与采购活动（详见采购公告附件）。</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b/>
          <w:bCs/>
          <w:i w:val="0"/>
          <w:iCs w:val="0"/>
          <w:caps w:val="0"/>
          <w:color w:val="333333"/>
          <w:spacing w:val="0"/>
          <w:sz w:val="21"/>
          <w:szCs w:val="21"/>
        </w:rPr>
      </w:pPr>
      <w:r>
        <w:rPr>
          <w:rFonts w:hint="eastAsia" w:ascii="宋体" w:hAnsi="宋体" w:eastAsia="宋体" w:cs="宋体"/>
          <w:b/>
          <w:bCs/>
          <w:i w:val="0"/>
          <w:iCs w:val="0"/>
          <w:caps w:val="0"/>
          <w:color w:val="333333"/>
          <w:spacing w:val="0"/>
          <w:sz w:val="21"/>
          <w:szCs w:val="21"/>
          <w:bdr w:val="none" w:color="auto" w:sz="0" w:space="0"/>
          <w:shd w:val="clear" w:fill="FFFFFF"/>
        </w:rPr>
        <w:t>3.4商务要求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left"/>
        <w:rPr>
          <w:rFonts w:hint="eastAsia" w:ascii="宋体" w:hAnsi="宋体" w:eastAsia="宋体" w:cs="宋体"/>
          <w:b/>
          <w:bCs/>
          <w:i w:val="0"/>
          <w:iCs w:val="0"/>
          <w:caps w:val="0"/>
          <w:color w:val="333333"/>
          <w:spacing w:val="0"/>
          <w:sz w:val="19"/>
          <w:szCs w:val="19"/>
        </w:rPr>
      </w:pPr>
      <w:r>
        <w:rPr>
          <w:rFonts w:hint="eastAsia" w:ascii="宋体" w:hAnsi="宋体" w:eastAsia="宋体" w:cs="宋体"/>
          <w:b/>
          <w:bCs/>
          <w:i w:val="0"/>
          <w:iCs w:val="0"/>
          <w:caps w:val="0"/>
          <w:color w:val="333333"/>
          <w:spacing w:val="0"/>
          <w:sz w:val="19"/>
          <w:szCs w:val="19"/>
          <w:bdr w:val="none" w:color="auto" w:sz="0" w:space="0"/>
          <w:shd w:val="clear" w:fill="FFFFFF"/>
        </w:rPr>
        <w:t>3.4.1交货时间</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自合同签订之日起30日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left"/>
        <w:rPr>
          <w:rFonts w:hint="eastAsia" w:ascii="宋体" w:hAnsi="宋体" w:eastAsia="宋体" w:cs="宋体"/>
          <w:b/>
          <w:bCs/>
          <w:i w:val="0"/>
          <w:iCs w:val="0"/>
          <w:caps w:val="0"/>
          <w:color w:val="333333"/>
          <w:spacing w:val="0"/>
          <w:sz w:val="19"/>
          <w:szCs w:val="19"/>
        </w:rPr>
      </w:pPr>
      <w:r>
        <w:rPr>
          <w:rFonts w:hint="eastAsia" w:ascii="宋体" w:hAnsi="宋体" w:eastAsia="宋体" w:cs="宋体"/>
          <w:b/>
          <w:bCs/>
          <w:i w:val="0"/>
          <w:iCs w:val="0"/>
          <w:caps w:val="0"/>
          <w:color w:val="333333"/>
          <w:spacing w:val="0"/>
          <w:sz w:val="19"/>
          <w:szCs w:val="19"/>
          <w:bdr w:val="none" w:color="auto" w:sz="0" w:space="0"/>
          <w:shd w:val="clear" w:fill="FFFFFF"/>
        </w:rPr>
        <w:t>3.4.2交货地点</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招标人指定地点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left"/>
        <w:rPr>
          <w:rFonts w:hint="eastAsia" w:ascii="宋体" w:hAnsi="宋体" w:eastAsia="宋体" w:cs="宋体"/>
          <w:b/>
          <w:bCs/>
          <w:i w:val="0"/>
          <w:iCs w:val="0"/>
          <w:caps w:val="0"/>
          <w:color w:val="333333"/>
          <w:spacing w:val="0"/>
          <w:sz w:val="19"/>
          <w:szCs w:val="19"/>
        </w:rPr>
      </w:pPr>
      <w:r>
        <w:rPr>
          <w:rFonts w:hint="eastAsia" w:ascii="宋体" w:hAnsi="宋体" w:eastAsia="宋体" w:cs="宋体"/>
          <w:b/>
          <w:bCs/>
          <w:i w:val="0"/>
          <w:iCs w:val="0"/>
          <w:caps w:val="0"/>
          <w:color w:val="333333"/>
          <w:spacing w:val="0"/>
          <w:sz w:val="19"/>
          <w:szCs w:val="19"/>
          <w:bdr w:val="none" w:color="auto" w:sz="0" w:space="0"/>
          <w:shd w:val="clear" w:fill="FFFFFF"/>
        </w:rPr>
        <w:t>3.4.3支付方式</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分期付款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left"/>
        <w:rPr>
          <w:rFonts w:hint="eastAsia" w:ascii="宋体" w:hAnsi="宋体" w:eastAsia="宋体" w:cs="宋体"/>
          <w:b/>
          <w:bCs/>
          <w:i w:val="0"/>
          <w:iCs w:val="0"/>
          <w:caps w:val="0"/>
          <w:color w:val="333333"/>
          <w:spacing w:val="0"/>
          <w:sz w:val="19"/>
          <w:szCs w:val="19"/>
        </w:rPr>
      </w:pPr>
      <w:r>
        <w:rPr>
          <w:rFonts w:hint="eastAsia" w:ascii="宋体" w:hAnsi="宋体" w:eastAsia="宋体" w:cs="宋体"/>
          <w:b/>
          <w:bCs/>
          <w:i w:val="0"/>
          <w:iCs w:val="0"/>
          <w:caps w:val="0"/>
          <w:color w:val="333333"/>
          <w:spacing w:val="0"/>
          <w:sz w:val="19"/>
          <w:szCs w:val="19"/>
          <w:bdr w:val="none" w:color="auto" w:sz="0" w:space="0"/>
          <w:shd w:val="clear" w:fill="FFFFFF"/>
        </w:rPr>
        <w:t>3.4.4支付约定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 付款条件说明： 合同签订后 ，达到付款条件起 10 日，支付合同总金额的 30.00%。</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 付款条件说明： 验收完成 ，达到付款条件起 10 日，支付合同总金额的 70.00%。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left"/>
        <w:rPr>
          <w:rFonts w:hint="eastAsia" w:ascii="宋体" w:hAnsi="宋体" w:eastAsia="宋体" w:cs="宋体"/>
          <w:b/>
          <w:bCs/>
          <w:i w:val="0"/>
          <w:iCs w:val="0"/>
          <w:caps w:val="0"/>
          <w:color w:val="333333"/>
          <w:spacing w:val="0"/>
          <w:sz w:val="19"/>
          <w:szCs w:val="19"/>
        </w:rPr>
      </w:pPr>
      <w:r>
        <w:rPr>
          <w:rFonts w:hint="eastAsia" w:ascii="宋体" w:hAnsi="宋体" w:eastAsia="宋体" w:cs="宋体"/>
          <w:b/>
          <w:bCs/>
          <w:i w:val="0"/>
          <w:iCs w:val="0"/>
          <w:caps w:val="0"/>
          <w:color w:val="333333"/>
          <w:spacing w:val="0"/>
          <w:sz w:val="19"/>
          <w:szCs w:val="19"/>
          <w:bdr w:val="none" w:color="auto" w:sz="0" w:space="0"/>
          <w:shd w:val="clear" w:fill="FFFFFF"/>
        </w:rPr>
        <w:t>3.4.5验收标准和方法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①验收由采购人组织，成交人配合。 ②货物在成交人通知安装调试完毕后 5 日内完成最终验收(需要分步验收的另外约定)；货物安装完成后 5 日内，采购人无故不进行验收工作并已使用货物的，视同已安装调试完成并验收合格。 ③验收标准：按国家有关规定以及采购人谈判文件的质量要求和技术指标、成交人的响应文件及承诺与本合同约定标准进行验收；甲乙双方如对质量要求和技术指标的约定标准有相互抵触或异议的事项，由采购人在谈判文件与响应文件中按质量要求和技术指标比较优胜的原则确定该项的约定标准进行验收； ④验收时如发现所交付的货物有短装、次品、损坏或其它不符合标准及本合同规定之情形者，采购人应做出详尽的现场记录，或由甲乙双方签署备忘录，此现场记录或备忘录可用作补充、缺失和更换损坏部件的有效证据，由此产生的时间延误与有关费用由成交人承担，验收期限相应顺延；如质量验收合格，双方签署质量验收报告。 ⑤成交人应将所提供货物的装箱清单、配件、随机工具、用户使用手册、原厂保修卡等资料交付给采购人；成交人不能完整交付货物及本款规定的单证和工具的，必须负责补齐，否则视为未按合同约定交货。 ⑥如货物经成交人 3 次维修仍不能达到合同约定的质量标准，采购人有权退货，并视作成交人不能交付货物而须支付违约赔偿金给采购人，采购人还可依法追究成交人的违约责任。  ⑦其他未尽事宜应按《财政部关于进一步加强政府采购需求和履约验收管理的指导意见》(财库(2016) 205号)和《关于沿用〈乐山市政府采购项目需求论证和履约验收管理实施细则〉的通知》（乐市财政采〔2021〕8号）的要求进行。</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left"/>
        <w:rPr>
          <w:rFonts w:hint="eastAsia" w:ascii="宋体" w:hAnsi="宋体" w:eastAsia="宋体" w:cs="宋体"/>
          <w:b/>
          <w:bCs/>
          <w:i w:val="0"/>
          <w:iCs w:val="0"/>
          <w:caps w:val="0"/>
          <w:color w:val="333333"/>
          <w:spacing w:val="0"/>
          <w:sz w:val="19"/>
          <w:szCs w:val="19"/>
        </w:rPr>
      </w:pPr>
      <w:r>
        <w:rPr>
          <w:rFonts w:hint="eastAsia" w:ascii="宋体" w:hAnsi="宋体" w:eastAsia="宋体" w:cs="宋体"/>
          <w:b/>
          <w:bCs/>
          <w:i w:val="0"/>
          <w:iCs w:val="0"/>
          <w:caps w:val="0"/>
          <w:color w:val="333333"/>
          <w:spacing w:val="0"/>
          <w:sz w:val="19"/>
          <w:szCs w:val="19"/>
          <w:bdr w:val="none" w:color="auto" w:sz="0" w:space="0"/>
          <w:shd w:val="clear" w:fill="FFFFFF"/>
        </w:rPr>
        <w:t>3.4.6包装方式及运输</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涉及的商品包装和快递包装，均应符合《商品包装政府采购需求标准（试行）》《快递包装政府采购需求标准（试行）》的要求，包装应适应于远距离运输、防潮、防震、防锈和防野蛮装卸，以确保货物安全无损运抵指定地点。</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left"/>
        <w:rPr>
          <w:rFonts w:hint="eastAsia" w:ascii="宋体" w:hAnsi="宋体" w:eastAsia="宋体" w:cs="宋体"/>
          <w:b/>
          <w:bCs/>
          <w:i w:val="0"/>
          <w:iCs w:val="0"/>
          <w:caps w:val="0"/>
          <w:color w:val="333333"/>
          <w:spacing w:val="0"/>
          <w:sz w:val="19"/>
          <w:szCs w:val="19"/>
        </w:rPr>
      </w:pPr>
      <w:r>
        <w:rPr>
          <w:rFonts w:hint="eastAsia" w:ascii="宋体" w:hAnsi="宋体" w:eastAsia="宋体" w:cs="宋体"/>
          <w:b/>
          <w:bCs/>
          <w:i w:val="0"/>
          <w:iCs w:val="0"/>
          <w:caps w:val="0"/>
          <w:color w:val="333333"/>
          <w:spacing w:val="0"/>
          <w:sz w:val="19"/>
          <w:szCs w:val="19"/>
          <w:bdr w:val="none" w:color="auto" w:sz="0" w:space="0"/>
          <w:shd w:val="clear" w:fill="FFFFFF"/>
        </w:rPr>
        <w:t>3.4.7质量保修范围和保修期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①质保期为验收合格后1年，质保期内出现质量问题，成交人在接到通知后 24 小时内响应到场， 7 个工作日内完成维修或更换，并承担调换的费用；如货物经成交人1次调换仍不能达到合同约定的质量标准，视作成交人未能按时交货，采购人有权退货并追究成交人的违约责任。货到现场后由于采购人保管不当造成的问题，成交人应负责解决，费用由采购人承担。 ②成交人须指派专人负责与采购人联系售后服务事宜。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left"/>
        <w:rPr>
          <w:rFonts w:hint="eastAsia" w:ascii="宋体" w:hAnsi="宋体" w:eastAsia="宋体" w:cs="宋体"/>
          <w:b/>
          <w:bCs/>
          <w:i w:val="0"/>
          <w:iCs w:val="0"/>
          <w:caps w:val="0"/>
          <w:color w:val="333333"/>
          <w:spacing w:val="0"/>
          <w:sz w:val="19"/>
          <w:szCs w:val="19"/>
        </w:rPr>
      </w:pPr>
      <w:r>
        <w:rPr>
          <w:rFonts w:hint="eastAsia" w:ascii="宋体" w:hAnsi="宋体" w:eastAsia="宋体" w:cs="宋体"/>
          <w:b/>
          <w:bCs/>
          <w:i w:val="0"/>
          <w:iCs w:val="0"/>
          <w:caps w:val="0"/>
          <w:color w:val="333333"/>
          <w:spacing w:val="0"/>
          <w:sz w:val="19"/>
          <w:szCs w:val="19"/>
          <w:bdr w:val="none" w:color="auto" w:sz="0" w:space="0"/>
          <w:shd w:val="clear" w:fill="FFFFFF"/>
        </w:rPr>
        <w:t>3.4.8违约责任与解决争议的方法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采购包1：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1.因货物的质量问题发生争议，由质量技术监督部门或其指定的质量鉴定机构进行质量鉴定。货物符合标准的，鉴定费由招标人承担；货物不符合质量标准的，鉴定费由中标人承担。 2.合同履行期间,若双方发生争议，可协商或由有关部门调解解决，协商或调解不成的，由当事人依法维护其合法权益。</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left"/>
        <w:rPr>
          <w:rFonts w:hint="eastAsia" w:ascii="宋体" w:hAnsi="宋体" w:eastAsia="宋体" w:cs="宋体"/>
          <w:b/>
          <w:bCs/>
          <w:i w:val="0"/>
          <w:iCs w:val="0"/>
          <w:caps w:val="0"/>
          <w:color w:val="333333"/>
          <w:spacing w:val="0"/>
          <w:sz w:val="19"/>
          <w:szCs w:val="19"/>
        </w:rPr>
      </w:pPr>
      <w:r>
        <w:rPr>
          <w:rFonts w:hint="eastAsia" w:ascii="宋体" w:hAnsi="宋体" w:eastAsia="宋体" w:cs="宋体"/>
          <w:b/>
          <w:bCs/>
          <w:i w:val="0"/>
          <w:iCs w:val="0"/>
          <w:caps w:val="0"/>
          <w:color w:val="333333"/>
          <w:spacing w:val="0"/>
          <w:sz w:val="19"/>
          <w:szCs w:val="19"/>
          <w:bdr w:val="none" w:color="auto" w:sz="0" w:space="0"/>
          <w:shd w:val="clear" w:fill="FFFFFF"/>
        </w:rPr>
        <w:t>3.5其他要求</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0A82E5"/>
          <w:spacing w:val="0"/>
          <w:sz w:val="16"/>
          <w:szCs w:val="16"/>
          <w:bdr w:val="none" w:color="auto" w:sz="0" w:space="0"/>
          <w:shd w:val="clear" w:fill="FFFFFF"/>
        </w:rPr>
        <w:t>（一）报价要求 （1）报价包含服务本身及其相关材料、运输、分装和相关税费等所有费用。 （2）报价人每种货物只允许有一个报价，并且在合同履行过程中是固定不变的，任何有选择或可调整的报价将不予接受，并按无效报价处理。 （3）报价人应合理报价，在成交候选供应商排名时，将按本文件报价人须知附表相关规定处理。 （二）政府采购合同内容主要条款要求 1、主要条款要求 （1）质量要求 ①成交人须提供全新的货物（含零部件、配件等），表面无划伤、无碰撞痕迹，且权属清楚，不得侵害他人的知识产权。 ②货物必须符合或优于国家（行业）标准，以及本项目谈判文件的质量要求和技术指标与出厂标准。 ③应有产品质量检验合格标志的货物均须有产品质量检验合格标志。 ④货物制造质量出现问题，成交人应负责三包（包修、包换、包退），费用由成交人负担。 ⑤货到现场后由于采购人保管不当造成的质量问题，成交人亦应负责修理，但费用可由采购人负担。</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420"/>
        <w:rPr>
          <w:rFonts w:hint="eastAsia" w:ascii="宋体" w:hAnsi="宋体" w:eastAsia="宋体" w:cs="宋体"/>
        </w:rPr>
      </w:pPr>
      <w:r>
        <w:rPr>
          <w:rFonts w:hint="eastAsia" w:ascii="宋体" w:hAnsi="宋体" w:eastAsia="宋体" w:cs="宋体"/>
          <w:i w:val="0"/>
          <w:iCs w:val="0"/>
          <w:caps w:val="0"/>
          <w:color w:val="333333"/>
          <w:spacing w:val="0"/>
          <w:sz w:val="16"/>
          <w:szCs w:val="16"/>
          <w:bdr w:val="none" w:color="auto" w:sz="0" w:space="0"/>
          <w:shd w:val="clear" w:fill="FFFFFF"/>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Gulim">
    <w:panose1 w:val="020B0600000101010101"/>
    <w:charset w:val="81"/>
    <w:family w:val="auto"/>
    <w:pitch w:val="default"/>
    <w:sig w:usb0="B00002AF" w:usb1="69D77CFB" w:usb2="00000030" w:usb3="00000000" w:csb0="4008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YTZiOTI1NDdkNWMyMzNhYzZlM2RhYWNiYmEyZGQifQ=="/>
  </w:docVars>
  <w:rsids>
    <w:rsidRoot w:val="00000000"/>
    <w:rsid w:val="07A0480F"/>
    <w:rsid w:val="0BC95CB2"/>
    <w:rsid w:val="12F20CAA"/>
    <w:rsid w:val="1D364DC6"/>
    <w:rsid w:val="2BB2297E"/>
    <w:rsid w:val="5DF94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Ascii" w:hAnsiTheme="minorAscii" w:cstheme="minorBidi"/>
      <w:kern w:val="2"/>
      <w:sz w:val="28"/>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qFormat/>
    <w:uiPriority w:val="0"/>
    <w:rPr>
      <w:rFonts w:ascii="Times New Roman" w:hAnsi="Times New Roman" w:eastAsia="仿宋_GB2312"/>
      <w:sz w:val="32"/>
    </w:rPr>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NUL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17250</Words>
  <Characters>21883</Characters>
  <Lines>0</Lines>
  <Paragraphs>0</Paragraphs>
  <TotalTime>5</TotalTime>
  <ScaleCrop>false</ScaleCrop>
  <LinksUpToDate>false</LinksUpToDate>
  <CharactersWithSpaces>24484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2022-09-22T03:52:00Z</dcterms:created>
  <dc:creator>Administrator</dc:creator>
  <cp:lastModifiedBy>Administrator</cp:lastModifiedBy>
  <dcterms:modified xsi:type="dcterms:W3CDTF">2023-01-31T01:42:40Z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3C26909F004E42CC8A1E54CB26746DDB</vt:lpwstr>
  </property>
</Properties>
</file>