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bCs/>
          <w:sz w:val="28"/>
          <w:szCs w:val="28"/>
          <w:lang w:val="en-US" w:eastAsia="zh-CN"/>
        </w:rPr>
      </w:pPr>
      <w:r>
        <w:rPr>
          <w:rFonts w:hint="eastAsia"/>
          <w:b/>
          <w:bCs/>
          <w:sz w:val="28"/>
          <w:szCs w:val="28"/>
          <w:lang w:val="en-US" w:eastAsia="zh-CN"/>
        </w:rPr>
        <w:t>采购需求</w:t>
      </w:r>
    </w:p>
    <w:p>
      <w:pPr>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rPr>
        <w:t>一、项目概况</w:t>
      </w:r>
    </w:p>
    <w:p>
      <w:pPr>
        <w:spacing w:line="360" w:lineRule="auto"/>
        <w:ind w:firstLine="548" w:firstLineChars="200"/>
        <w:rPr>
          <w:rFonts w:hint="eastAsia" w:ascii="宋体" w:hAnsi="宋体" w:eastAsia="宋体" w:cs="宋体"/>
          <w:sz w:val="24"/>
          <w:szCs w:val="24"/>
        </w:rPr>
      </w:pPr>
      <w:r>
        <w:rPr>
          <w:rFonts w:hint="eastAsia" w:ascii="宋体" w:hAnsi="宋体" w:eastAsia="宋体" w:cs="宋体"/>
          <w:spacing w:val="2"/>
          <w:sz w:val="27"/>
          <w:szCs w:val="27"/>
        </w:rPr>
        <w:t>农产品检测中心需购买畜禽、水产“双认证”扩项工作的相关设备及农残前处理设备</w:t>
      </w:r>
      <w:bookmarkStart w:id="0" w:name="_GoBack"/>
      <w:bookmarkEnd w:id="0"/>
      <w:r>
        <w:rPr>
          <w:rFonts w:ascii="宋体" w:hAnsi="宋体" w:eastAsia="宋体" w:cs="宋体"/>
          <w:spacing w:val="2"/>
          <w:sz w:val="27"/>
          <w:szCs w:val="27"/>
        </w:rPr>
        <w:t>。</w:t>
      </w:r>
    </w:p>
    <w:p>
      <w:pPr>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rPr>
        <w:t>二、项目内容</w:t>
      </w:r>
    </w:p>
    <w:p>
      <w:pPr>
        <w:spacing w:line="360" w:lineRule="auto"/>
        <w:ind w:firstLine="480" w:firstLineChars="200"/>
        <w:rPr>
          <w:rFonts w:hint="eastAsia" w:cs="宋体"/>
          <w:sz w:val="24"/>
          <w:szCs w:val="24"/>
          <w:lang w:val="en-US" w:eastAsia="zh-CN"/>
        </w:rPr>
      </w:pPr>
      <w:r>
        <w:rPr>
          <w:rFonts w:hint="eastAsia" w:cs="宋体"/>
          <w:sz w:val="24"/>
          <w:szCs w:val="24"/>
          <w:lang w:eastAsia="zh-CN"/>
        </w:rPr>
        <w:t>（</w:t>
      </w:r>
      <w:r>
        <w:rPr>
          <w:rFonts w:hint="eastAsia" w:ascii="宋体" w:hAnsi="宋体" w:eastAsia="宋体" w:cstheme="minorBidi"/>
          <w:b/>
          <w:bCs/>
          <w:color w:val="000000" w:themeColor="text1"/>
          <w:sz w:val="24"/>
          <w:szCs w:val="24"/>
          <w:lang w:val="en-US" w:eastAsia="zh-CN" w:bidi="ar-SA"/>
          <w14:textFill>
            <w14:solidFill>
              <w14:schemeClr w14:val="tx1"/>
            </w14:solidFill>
          </w14:textFill>
        </w:rPr>
        <w:t>一）产品清单</w:t>
      </w:r>
    </w:p>
    <w:tbl>
      <w:tblPr>
        <w:tblStyle w:val="7"/>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26"/>
        <w:gridCol w:w="2555"/>
        <w:gridCol w:w="825"/>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26" w:type="dxa"/>
            <w:vMerge w:val="restart"/>
            <w:shd w:val="clear" w:color="auto" w:fill="auto"/>
            <w:noWrap/>
            <w:vAlign w:val="center"/>
          </w:tcPr>
          <w:p>
            <w:pPr>
              <w:bidi w:val="0"/>
              <w:ind w:left="0" w:leftChars="0" w:firstLine="0" w:firstLineChars="0"/>
              <w:jc w:val="center"/>
            </w:pPr>
            <w:r>
              <w:rPr>
                <w:rFonts w:hint="eastAsia"/>
                <w:lang w:val="en-US" w:eastAsia="zh-CN"/>
              </w:rPr>
              <w:t>序号</w:t>
            </w:r>
          </w:p>
        </w:tc>
        <w:tc>
          <w:tcPr>
            <w:tcW w:w="2555" w:type="dxa"/>
            <w:vMerge w:val="restart"/>
            <w:shd w:val="clear" w:color="auto" w:fill="auto"/>
            <w:vAlign w:val="center"/>
          </w:tcPr>
          <w:p>
            <w:pPr>
              <w:bidi w:val="0"/>
              <w:ind w:left="0" w:leftChars="0" w:firstLine="0" w:firstLineChars="0"/>
              <w:jc w:val="center"/>
              <w:rPr>
                <w:rFonts w:hint="default" w:ascii="宋体" w:hAnsi="宋体" w:eastAsia="宋体"/>
                <w:lang w:val="en-US" w:eastAsia="zh-CN"/>
              </w:rPr>
            </w:pPr>
            <w:r>
              <w:rPr>
                <w:rFonts w:hint="eastAsia" w:ascii="宋体" w:hAnsi="宋体" w:eastAsia="宋体"/>
                <w:lang w:val="en-US" w:eastAsia="zh-CN"/>
              </w:rPr>
              <w:t>采购标的</w:t>
            </w:r>
          </w:p>
        </w:tc>
        <w:tc>
          <w:tcPr>
            <w:tcW w:w="825" w:type="dxa"/>
            <w:vMerge w:val="restar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数量</w:t>
            </w:r>
          </w:p>
        </w:tc>
        <w:tc>
          <w:tcPr>
            <w:tcW w:w="3999" w:type="dxa"/>
            <w:vMerge w:val="restart"/>
            <w:shd w:val="clear" w:color="auto" w:fill="auto"/>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26" w:type="dxa"/>
            <w:vMerge w:val="continue"/>
            <w:shd w:val="clear" w:color="auto" w:fill="auto"/>
            <w:noWrap/>
            <w:vAlign w:val="center"/>
          </w:tcPr>
          <w:p>
            <w:pPr>
              <w:bidi w:val="0"/>
              <w:jc w:val="center"/>
              <w:rPr>
                <w:rFonts w:hint="eastAsia"/>
              </w:rPr>
            </w:pPr>
          </w:p>
        </w:tc>
        <w:tc>
          <w:tcPr>
            <w:tcW w:w="2555" w:type="dxa"/>
            <w:vMerge w:val="continue"/>
            <w:shd w:val="clear" w:color="auto" w:fill="auto"/>
            <w:vAlign w:val="center"/>
          </w:tcPr>
          <w:p>
            <w:pPr>
              <w:bidi w:val="0"/>
              <w:jc w:val="center"/>
              <w:rPr>
                <w:rFonts w:hint="eastAsia"/>
              </w:rPr>
            </w:pPr>
          </w:p>
        </w:tc>
        <w:tc>
          <w:tcPr>
            <w:tcW w:w="825" w:type="dxa"/>
            <w:vMerge w:val="continue"/>
            <w:shd w:val="clear" w:color="auto" w:fill="auto"/>
            <w:noWrap/>
            <w:vAlign w:val="center"/>
          </w:tcPr>
          <w:p>
            <w:pPr>
              <w:bidi w:val="0"/>
              <w:jc w:val="center"/>
              <w:rPr>
                <w:rFonts w:hint="eastAsia"/>
              </w:rPr>
            </w:pPr>
          </w:p>
        </w:tc>
        <w:tc>
          <w:tcPr>
            <w:tcW w:w="3999" w:type="dxa"/>
            <w:vMerge w:val="continue"/>
            <w:shd w:val="clear" w:color="auto" w:fill="auto"/>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rPr>
            </w:pPr>
            <w:r>
              <w:rPr>
                <w:rFonts w:hint="eastAsia"/>
                <w:lang w:val="en-US" w:eastAsia="zh-CN"/>
              </w:rPr>
              <w:t>1</w:t>
            </w:r>
          </w:p>
        </w:tc>
        <w:tc>
          <w:tcPr>
            <w:tcW w:w="2555" w:type="dxa"/>
            <w:shd w:val="clear" w:color="auto" w:fill="auto"/>
            <w:vAlign w:val="center"/>
          </w:tcPr>
          <w:p>
            <w:pPr>
              <w:bidi w:val="0"/>
              <w:ind w:left="0" w:leftChars="0" w:firstLine="0" w:firstLineChars="0"/>
              <w:jc w:val="center"/>
              <w:rPr>
                <w:rFonts w:hint="eastAsia"/>
              </w:rPr>
            </w:pPr>
            <w:r>
              <w:rPr>
                <w:rFonts w:hint="eastAsia"/>
                <w:lang w:val="en-US" w:eastAsia="zh-CN"/>
              </w:rPr>
              <w:t>全自动固相萃取仪</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default"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2</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台式冷冻离心机</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3</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多管涡旋仪</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4</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纯水机</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5</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分光光度计</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6</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折光仪</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7</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水浴锅</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8</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分析天平</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9</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培养箱</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10</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PH酸度计</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11</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干燥箱</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12</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生物显微镜</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13</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超净工作台</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14</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电子天平</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15</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农药残检测仪</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16</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水果酸度计</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26"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17</w:t>
            </w:r>
          </w:p>
        </w:tc>
        <w:tc>
          <w:tcPr>
            <w:tcW w:w="2555" w:type="dxa"/>
            <w:shd w:val="clear" w:color="auto" w:fill="auto"/>
            <w:noWrap/>
            <w:vAlign w:val="center"/>
          </w:tcPr>
          <w:p>
            <w:pPr>
              <w:bidi w:val="0"/>
              <w:ind w:left="0" w:leftChars="0" w:firstLine="0" w:firstLineChars="0"/>
              <w:jc w:val="center"/>
              <w:rPr>
                <w:rFonts w:hint="eastAsia"/>
                <w:lang w:val="en-US" w:eastAsia="zh-CN"/>
              </w:rPr>
            </w:pPr>
            <w:r>
              <w:rPr>
                <w:rFonts w:hint="eastAsia"/>
                <w:lang w:val="en-US" w:eastAsia="zh-CN"/>
              </w:rPr>
              <w:t>土壤养分快速测定仪</w:t>
            </w:r>
          </w:p>
        </w:tc>
        <w:tc>
          <w:tcPr>
            <w:tcW w:w="825"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3999" w:type="dxa"/>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工业</w:t>
            </w:r>
          </w:p>
        </w:tc>
      </w:tr>
    </w:tbl>
    <w:p>
      <w:pPr>
        <w:spacing w:line="360" w:lineRule="auto"/>
        <w:ind w:firstLine="482" w:firstLineChars="200"/>
        <w:rPr>
          <w:rFonts w:hint="eastAsia"/>
          <w:b/>
          <w:bCs/>
          <w:lang w:val="en-US" w:eastAsia="zh-CN"/>
        </w:rPr>
      </w:pPr>
      <w:r>
        <w:rPr>
          <w:rFonts w:hint="eastAsia" w:cs="宋体"/>
          <w:b/>
          <w:bCs/>
          <w:sz w:val="24"/>
          <w:szCs w:val="24"/>
          <w:lang w:val="en-US" w:eastAsia="zh-CN"/>
        </w:rPr>
        <w:t>核心产品：</w:t>
      </w:r>
      <w:r>
        <w:rPr>
          <w:rFonts w:hint="eastAsia"/>
          <w:b/>
          <w:bCs/>
          <w:lang w:val="en-US" w:eastAsia="zh-CN"/>
        </w:rPr>
        <w:t>全自动固相萃取仪。</w:t>
      </w:r>
    </w:p>
    <w:p>
      <w:pPr>
        <w:pStyle w:val="2"/>
        <w:numPr>
          <w:ilvl w:val="0"/>
          <w:numId w:val="1"/>
        </w:numPr>
        <w:rPr>
          <w:rFonts w:hint="eastAsia"/>
          <w:b/>
          <w:bCs/>
          <w:lang w:val="en-US" w:eastAsia="zh-CN"/>
        </w:rPr>
      </w:pPr>
      <w:r>
        <w:rPr>
          <w:rFonts w:hint="eastAsia"/>
          <w:b/>
          <w:bCs/>
          <w:lang w:val="en-US" w:eastAsia="zh-CN"/>
        </w:rPr>
        <w:t>产品技术参数要求</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3"/>
        <w:gridCol w:w="831"/>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4" w:hRule="atLeast"/>
          <w:jc w:val="center"/>
        </w:trPr>
        <w:tc>
          <w:tcPr>
            <w:tcW w:w="424" w:type="pct"/>
            <w:shd w:val="clear" w:color="auto" w:fill="auto"/>
            <w:noWrap/>
            <w:vAlign w:val="center"/>
          </w:tcPr>
          <w:p>
            <w:pPr>
              <w:bidi w:val="0"/>
              <w:ind w:left="0" w:leftChars="0" w:firstLine="0" w:firstLineChars="0"/>
              <w:jc w:val="center"/>
            </w:pPr>
            <w:r>
              <w:rPr>
                <w:rFonts w:hint="eastAsia"/>
                <w:lang w:val="en-US" w:eastAsia="zh-CN"/>
              </w:rPr>
              <w:t>序号</w:t>
            </w:r>
          </w:p>
        </w:tc>
        <w:tc>
          <w:tcPr>
            <w:tcW w:w="487" w:type="pct"/>
            <w:shd w:val="clear" w:color="auto" w:fill="auto"/>
            <w:vAlign w:val="center"/>
          </w:tcPr>
          <w:p>
            <w:pPr>
              <w:bidi w:val="0"/>
              <w:ind w:left="0" w:leftChars="0" w:firstLine="0" w:firstLineChars="0"/>
              <w:jc w:val="center"/>
              <w:rPr>
                <w:rFonts w:hint="eastAsia"/>
              </w:rPr>
            </w:pPr>
            <w:r>
              <w:rPr>
                <w:rFonts w:hint="eastAsia"/>
                <w:lang w:val="en-US" w:eastAsia="zh-CN"/>
              </w:rPr>
              <w:t>产品名称</w:t>
            </w:r>
          </w:p>
        </w:tc>
        <w:tc>
          <w:tcPr>
            <w:tcW w:w="4088" w:type="pct"/>
            <w:shd w:val="clear" w:color="auto" w:fill="auto"/>
            <w:vAlign w:val="center"/>
          </w:tcPr>
          <w:p>
            <w:pPr>
              <w:bidi w:val="0"/>
              <w:ind w:left="0" w:leftChars="0" w:firstLine="0" w:firstLineChars="0"/>
              <w:jc w:val="center"/>
              <w:rPr>
                <w:rFonts w:hint="default"/>
                <w:lang w:val="en-US" w:eastAsia="zh-CN"/>
              </w:rPr>
            </w:pPr>
            <w:r>
              <w:rPr>
                <w:rFonts w:hint="eastAsia"/>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w:t>
            </w:r>
          </w:p>
        </w:tc>
        <w:tc>
          <w:tcPr>
            <w:tcW w:w="487" w:type="pct"/>
            <w:shd w:val="clear" w:color="auto" w:fill="auto"/>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全自动固相萃取仪</w:t>
            </w:r>
          </w:p>
        </w:tc>
        <w:tc>
          <w:tcPr>
            <w:tcW w:w="4088" w:type="pct"/>
            <w:shd w:val="clear" w:color="auto" w:fill="auto"/>
            <w:vAlign w:val="center"/>
          </w:tcPr>
          <w:p>
            <w:pPr>
              <w:bidi w:val="0"/>
            </w:pPr>
            <w:r>
              <w:t>一、工作条件</w:t>
            </w:r>
          </w:p>
          <w:p>
            <w:pPr>
              <w:bidi w:val="0"/>
            </w:pPr>
            <w:r>
              <w:t>1.1、环境温度：10℃~35℃</w:t>
            </w:r>
          </w:p>
          <w:p>
            <w:pPr>
              <w:bidi w:val="0"/>
            </w:pPr>
            <w:r>
              <w:t>1.2、相对湿度：10~80%</w:t>
            </w:r>
          </w:p>
          <w:p>
            <w:pPr>
              <w:bidi w:val="0"/>
            </w:pPr>
            <w:r>
              <w:t>1.3、工作电压：200~240VAC，50-60Hz</w:t>
            </w:r>
          </w:p>
          <w:p>
            <w:pPr>
              <w:bidi w:val="0"/>
            </w:pPr>
            <w:r>
              <w:t>1.4、工作功率：200W</w:t>
            </w:r>
          </w:p>
          <w:p>
            <w:pPr>
              <w:bidi w:val="0"/>
            </w:pPr>
            <w:r>
              <w:t>二、技术指标</w:t>
            </w:r>
          </w:p>
          <w:p>
            <w:pPr>
              <w:bidi w:val="0"/>
            </w:pPr>
            <w:r>
              <w:t>2.1、主要功能：全自动固相萃取系统。主要用于食品、农产品样品的分离、纯化和富集，整套系统可自动完成固相萃取柱的活化、样品过柱、清洗、氮气干燥、洗脱等操作，处理样品量大，自动化程度高；整套系统密封环保。</w:t>
            </w:r>
          </w:p>
          <w:p>
            <w:pPr>
              <w:bidi w:val="0"/>
            </w:pPr>
            <w:r>
              <w:t>2.2、萃取指标</w:t>
            </w:r>
          </w:p>
          <w:p>
            <w:pPr>
              <w:bidi w:val="0"/>
            </w:pPr>
            <w:r>
              <w:t>2.2.1、全自动完成固相萃取的全过程(包括萃取柱的活化、上样、淋洗、吹干、洗脱等)。</w:t>
            </w:r>
          </w:p>
          <w:p>
            <w:pPr>
              <w:bidi w:val="0"/>
              <w:rPr>
                <w:rFonts w:ascii="宋体" w:hAnsi="宋体" w:eastAsia="宋体"/>
              </w:rPr>
            </w:pPr>
            <w:r>
              <w:t>2.</w:t>
            </w:r>
            <w:r>
              <w:rPr>
                <w:rFonts w:ascii="宋体" w:hAnsi="宋体" w:eastAsia="宋体"/>
              </w:rPr>
              <w:t>2.2、并行通道数量：4通道,可同时自动处理4个样品，实现4通道的同时活化、上样、洗脱，提高工作效率。</w:t>
            </w:r>
          </w:p>
          <w:p>
            <w:pPr>
              <w:bidi w:val="0"/>
              <w:rPr>
                <w:rFonts w:ascii="宋体" w:hAnsi="宋体" w:eastAsia="宋体"/>
              </w:rPr>
            </w:pPr>
            <w:r>
              <w:rPr>
                <w:rFonts w:ascii="宋体" w:hAnsi="宋体" w:eastAsia="宋体"/>
              </w:rPr>
              <w:t>2.2.3、连续处理样品能力：标配连续自动化处理≥30个样品。整个处理过程不需要任何人工介入，完全达到全自动化要求。</w:t>
            </w:r>
          </w:p>
          <w:p>
            <w:pPr>
              <w:bidi w:val="0"/>
              <w:rPr>
                <w:rFonts w:ascii="宋体" w:hAnsi="宋体" w:eastAsia="宋体"/>
              </w:rPr>
            </w:pPr>
            <w:r>
              <w:rPr>
                <w:rFonts w:ascii="宋体" w:hAnsi="宋体" w:eastAsia="宋体"/>
              </w:rPr>
              <w:t>2.2.4、处理样品体积范围：0mL－60L，配置大体积上样组件后，可连续自动处理大体积样品≥30个。</w:t>
            </w:r>
          </w:p>
          <w:p>
            <w:pPr>
              <w:bidi w:val="0"/>
              <w:rPr>
                <w:rFonts w:ascii="宋体" w:hAnsi="宋体" w:eastAsia="宋体"/>
              </w:rPr>
            </w:pPr>
            <w:r>
              <w:rPr>
                <w:rFonts w:ascii="宋体" w:hAnsi="宋体" w:eastAsia="宋体"/>
              </w:rPr>
              <w:t>2.2.5、可全自动连续处理标准的1ml/3ml/6ml/12ml/20ml萃取小柱，包括萃取柱预处理、上样、清洗、柱干燥、洗脱、分析物收集等过程；整个过程无需人为干预，最大限度提高工作效率。</w:t>
            </w:r>
          </w:p>
          <w:p>
            <w:pPr>
              <w:bidi w:val="0"/>
            </w:pPr>
            <w:r>
              <w:rPr>
                <w:rFonts w:ascii="宋体" w:hAnsi="宋体" w:eastAsia="宋体"/>
              </w:rPr>
              <w:t>2.2.6、可</w:t>
            </w:r>
            <w:r>
              <w:t>配置10ml、20ml、60ml、80ml等多种样品架及收集架，另有带尾管的40-1ml浓缩杯可选，样品架及收集架可与同品牌的平行浓缩仪、凝胶净化系统通用，满足实验室各种应用方法需求。</w:t>
            </w:r>
          </w:p>
          <w:p>
            <w:pPr>
              <w:bidi w:val="0"/>
            </w:pPr>
            <w:r>
              <w:rPr>
                <w:rFonts w:hint="eastAsia" w:ascii="宋体" w:hAnsi="宋体" w:eastAsia="宋体" w:cs="宋体"/>
                <w:sz w:val="24"/>
                <w:szCs w:val="24"/>
              </w:rPr>
              <w:t>★</w:t>
            </w:r>
            <w:r>
              <w:t>2.2.7、可支持串柱功能，可支持≥60支固相萃取小柱。兼容6mL和3mL。(提供两根6ml柱子直接串联放置在萃取柱架上的照片证明)</w:t>
            </w:r>
          </w:p>
          <w:p>
            <w:pPr>
              <w:bidi w:val="0"/>
            </w:pPr>
            <w:r>
              <w:rPr>
                <w:rFonts w:hint="eastAsia" w:ascii="宋体" w:hAnsi="宋体" w:eastAsia="宋体" w:cs="宋体"/>
                <w:sz w:val="24"/>
                <w:szCs w:val="24"/>
              </w:rPr>
              <w:t>★</w:t>
            </w:r>
            <w:r>
              <w:t>2.2.8、SPE柱上采用膜片式弹性密封技术，独立的顶部弹性密封垫不会产生固定密封活塞反复使用而造成的交叉污染问题，同时也避免了硬质密封盖密封不严、进样针易损坏的问题。(提供固相萃取柱上端带弹性密封膜片放置于萃取柱架上的照片证明)</w:t>
            </w:r>
          </w:p>
          <w:p>
            <w:pPr>
              <w:bidi w:val="0"/>
            </w:pPr>
            <w:r>
              <w:rPr>
                <w:rFonts w:hint="eastAsia" w:ascii="宋体" w:hAnsi="宋体" w:eastAsia="宋体" w:cs="宋体"/>
                <w:sz w:val="24"/>
                <w:szCs w:val="24"/>
              </w:rPr>
              <w:t>★</w:t>
            </w:r>
            <w:r>
              <w:t>2.2.9、正压上样、洗脱的模式，采用高精度可视注射泵，注射泵与阀体相连，中间无管路，无死体积，流速：0.1-100mL/min。(提供注射泵直接与阀体相连的照片证明)</w:t>
            </w:r>
          </w:p>
          <w:p>
            <w:pPr>
              <w:bidi w:val="0"/>
            </w:pPr>
            <w:r>
              <w:t>2.2.10、双针结构，采用单独的移液上样针与柱密封针，双针特殊防腐处理，可最大程度解决交叉污染的问题。</w:t>
            </w:r>
          </w:p>
          <w:p>
            <w:pPr>
              <w:bidi w:val="0"/>
            </w:pPr>
            <w:r>
              <w:rPr>
                <w:rFonts w:hint="eastAsia" w:ascii="宋体" w:hAnsi="宋体" w:eastAsia="宋体" w:cs="宋体"/>
                <w:sz w:val="24"/>
                <w:szCs w:val="24"/>
              </w:rPr>
              <w:t>★</w:t>
            </w:r>
            <w:r>
              <w:t>2.2.11、多功能柱密封针可适配不同规格固相萃取柱，使用1ml/3ml/6ml/12ml萃取小柱时无需进行更换柱塞等操作，可在同一个序列批表内全自动连续处理1ml/3ml/6ml/12ml等不同规格的萃取小柱，而无需任何手动操作。(提供同一规格柱密封针同时通用1ml/3ml/6ml三种固相萃取柱的照片证明，提供一个萃取柱架同时可放置1ml/3ml/6ml三种固相萃取柱的照片证明)</w:t>
            </w:r>
          </w:p>
          <w:p>
            <w:pPr>
              <w:bidi w:val="0"/>
            </w:pPr>
            <w:r>
              <w:t>2.2.12、具有自动氮气溶剂混合喷淋清洗样品瓶功能，并将清洗液完全转移至固相萃取柱中，实现样品的真正完全上样，无样品损失。</w:t>
            </w:r>
          </w:p>
          <w:p>
            <w:pPr>
              <w:bidi w:val="0"/>
            </w:pPr>
            <w:r>
              <w:rPr>
                <w:rFonts w:hint="eastAsia" w:ascii="宋体" w:hAnsi="宋体" w:eastAsia="宋体" w:cs="宋体"/>
                <w:sz w:val="24"/>
                <w:szCs w:val="24"/>
              </w:rPr>
              <w:t>★</w:t>
            </w:r>
            <w:r>
              <w:t>2.2.13、做大体积样品时，对1L体积以上的样品瓶依然具有喷淋清洗样品瓶功能，实现大体积样品的真正完全上样而没有任何样品损失。(提供1L大体积样品瓶内喷淋头照片证明)</w:t>
            </w:r>
          </w:p>
          <w:p>
            <w:pPr>
              <w:bidi w:val="0"/>
            </w:pPr>
            <w:r>
              <w:t>2.2.14、上样针具有液面追随功能：采用非接触式流体传感器在吸液过程中实时监测,可以在吸液的同时进行液面探测，跟随吸液时不断下降的液面，保证进样针与液面的最小接触。同时非接触式传感器可避免浸入式传感器带来的交叉污染。</w:t>
            </w:r>
          </w:p>
          <w:p>
            <w:pPr>
              <w:bidi w:val="0"/>
            </w:pPr>
            <w:r>
              <w:t>2.2.15、上样针采用加压式溶剂逆流清洗方式，对上样针外壁有更好的清洗效果，清洗溶剂瓶具有加压装置。</w:t>
            </w:r>
          </w:p>
          <w:p>
            <w:pPr>
              <w:bidi w:val="0"/>
            </w:pPr>
            <w:r>
              <w:t>2.2.16、溶剂管理系统标配8种溶剂接口和1种清洗溶剂接口，标配1L溶剂瓶7个，2L溶剂瓶2个，系统可供使用的溶剂瓶体积不受限制，可选4L以及更大体积定制。</w:t>
            </w:r>
          </w:p>
          <w:p>
            <w:pPr>
              <w:bidi w:val="0"/>
            </w:pPr>
            <w:r>
              <w:t>2.2.17、四种废液接口，包含废水、一般有机废液、剧毒废液和含氯废液通道，实现废液的分类收集。</w:t>
            </w:r>
          </w:p>
          <w:p>
            <w:pPr>
              <w:bidi w:val="0"/>
            </w:pPr>
            <w:r>
              <w:t>2.2.18、整个固相萃取系统采用避光设计，可适用于对光敏感的样品进行固相萃取，例如样品中亚硝胺类物质的萃取等。</w:t>
            </w:r>
          </w:p>
          <w:p>
            <w:pPr>
              <w:bidi w:val="0"/>
            </w:pPr>
            <w:r>
              <w:rPr>
                <w:rFonts w:hint="eastAsia" w:ascii="宋体" w:hAnsi="宋体" w:eastAsia="宋体" w:cs="宋体"/>
                <w:sz w:val="24"/>
                <w:szCs w:val="24"/>
              </w:rPr>
              <w:t>★</w:t>
            </w:r>
            <w:r>
              <w:t>2.2.</w:t>
            </w:r>
            <w:r>
              <w:rPr>
                <w:rFonts w:hint="eastAsia"/>
                <w:lang w:val="en-US" w:eastAsia="zh-CN"/>
              </w:rPr>
              <w:t>19</w:t>
            </w:r>
            <w:r>
              <w:t>、整机系统密闭设计，且自带通风系统，实验中挥发的有毒有害气体可通过风扇，从通风管路排出，无需放置于通风橱中，节省了实验室宝贵的通风厨空间，保护实验人员。(提供仪器整体密闭和仪器自带风机通风口的照片证明，保证展示仪器四面体现仪器密闭性)</w:t>
            </w:r>
          </w:p>
          <w:p>
            <w:pPr>
              <w:bidi w:val="0"/>
            </w:pPr>
            <w:r>
              <w:t>2.2.</w:t>
            </w:r>
            <w:r>
              <w:rPr>
                <w:rFonts w:hint="eastAsia"/>
                <w:lang w:val="en-US" w:eastAsia="zh-CN"/>
              </w:rPr>
              <w:t>20</w:t>
            </w:r>
            <w:r>
              <w:t>、系统内置照明和双摄像头，利用本机监控摄像头，通过本机控制终端可以实时观察到仪器内部的运行状态。</w:t>
            </w:r>
          </w:p>
          <w:p>
            <w:pPr>
              <w:bidi w:val="0"/>
            </w:pPr>
            <w:r>
              <w:t>2.3、控制软件</w:t>
            </w:r>
          </w:p>
          <w:p>
            <w:pPr>
              <w:bidi w:val="0"/>
            </w:pPr>
            <w:r>
              <w:t>2.3.1、本机软件控制，≥15寸触屏工作站，可触屏控制，本机自带USB接口，也可外接鼠标键盘控制。</w:t>
            </w:r>
          </w:p>
          <w:p>
            <w:pPr>
              <w:bidi w:val="0"/>
            </w:pPr>
            <w:r>
              <w:t>2.3.2、工作站软件适用于电脑操作系统，可对仪器各部分进行实时反控。图形化界面设置，实时显示工作状态。</w:t>
            </w:r>
          </w:p>
          <w:p>
            <w:pPr>
              <w:bidi w:val="0"/>
            </w:pPr>
            <w:r>
              <w:t>2.3.3、系统具有一键式启动、定时预约运行方法及关机功能，做到低碳节能，延长耗材的使用寿命，降低维护成本。</w:t>
            </w:r>
          </w:p>
          <w:p>
            <w:pPr>
              <w:bidi w:val="0"/>
            </w:pPr>
            <w:r>
              <w:t>2.3.4、集成化的网口通讯，最大限度的保证仪器运行数据的安全、可靠、不丢失。</w:t>
            </w:r>
          </w:p>
          <w:p>
            <w:pPr>
              <w:bidi w:val="0"/>
            </w:pPr>
            <w:r>
              <w:t>2.3.5、具有批处理功能，可进行批表编辑、插入、删除、保存、暂停等功能。</w:t>
            </w:r>
          </w:p>
          <w:p>
            <w:pPr>
              <w:bidi w:val="0"/>
            </w:pPr>
            <w:r>
              <w:t>2.3.6、具备溯源功能，可根据日期查看工作日志。</w:t>
            </w:r>
          </w:p>
          <w:p>
            <w:pPr>
              <w:bidi w:val="0"/>
            </w:pPr>
            <w:r>
              <w:t>三、仪器配置</w:t>
            </w:r>
          </w:p>
          <w:p>
            <w:pPr>
              <w:bidi w:val="0"/>
            </w:pPr>
            <w:r>
              <w:t>3.1、全自动固相萃取系统主机1套</w:t>
            </w:r>
          </w:p>
          <w:p>
            <w:pPr>
              <w:bidi w:val="0"/>
            </w:pPr>
            <w:r>
              <w:t>3.2、移液针8根</w:t>
            </w:r>
          </w:p>
          <w:p>
            <w:pPr>
              <w:bidi w:val="0"/>
            </w:pPr>
            <w:r>
              <w:t>3.3、高精注射泵4个</w:t>
            </w:r>
          </w:p>
          <w:p>
            <w:pPr>
              <w:bidi w:val="0"/>
            </w:pPr>
            <w:r>
              <w:t>3.4、本机监控摄像头2个</w:t>
            </w:r>
          </w:p>
          <w:p>
            <w:pPr>
              <w:bidi w:val="0"/>
            </w:pPr>
            <w:r>
              <w:t>3.5、6mL萃取柱载架(80位)1个</w:t>
            </w:r>
          </w:p>
          <w:p>
            <w:pPr>
              <w:bidi w:val="0"/>
            </w:pPr>
            <w:r>
              <w:t>3.6、500mg/6mlC18U密封固相萃取柱(30个/包)1包</w:t>
            </w:r>
          </w:p>
          <w:p>
            <w:pPr>
              <w:bidi w:val="0"/>
            </w:pPr>
            <w:r>
              <w:t>3.7、6ml萃取柱密封盖(100个/包)1包</w:t>
            </w:r>
          </w:p>
          <w:p>
            <w:pPr>
              <w:bidi w:val="0"/>
            </w:pPr>
            <w:r>
              <w:t>3.8、20mL样品管架(64位)1个</w:t>
            </w:r>
          </w:p>
          <w:p>
            <w:pPr>
              <w:bidi w:val="0"/>
            </w:pPr>
            <w:r>
              <w:t>3.9、20mL收集管架(64位)1个</w:t>
            </w:r>
          </w:p>
          <w:p>
            <w:pPr>
              <w:bidi w:val="0"/>
            </w:pPr>
            <w:r>
              <w:t>3.10、20mL样品管(100个/包)2包</w:t>
            </w:r>
          </w:p>
          <w:p>
            <w:pPr>
              <w:bidi w:val="0"/>
            </w:pPr>
            <w:r>
              <w:t>3.11、1L溶剂瓶及瓶口适配器7个</w:t>
            </w:r>
          </w:p>
          <w:p>
            <w:pPr>
              <w:bidi w:val="0"/>
            </w:pPr>
            <w:r>
              <w:t>3.12、2L溶剂瓶及瓶口适配器2个</w:t>
            </w:r>
          </w:p>
          <w:p>
            <w:pPr>
              <w:bidi w:val="0"/>
            </w:pPr>
            <w:r>
              <w:t>3.13、2L溶剂瓶放置架1个</w:t>
            </w:r>
          </w:p>
          <w:p>
            <w:pPr>
              <w:bidi w:val="0"/>
            </w:pPr>
            <w:r>
              <w:t>3.14、附件包(包括排风管、液路接头等)1套</w:t>
            </w:r>
          </w:p>
          <w:p>
            <w:pPr>
              <w:bidi w:val="0"/>
              <w:rPr>
                <w:rFonts w:hint="eastAsia"/>
                <w:lang w:val="en-US" w:eastAsia="zh-CN"/>
              </w:rPr>
            </w:pPr>
            <w:r>
              <w:t>3.15、全自动固相萃取操作系统(包括安装光盘)1套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2</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台式冷冻离心机</w:t>
            </w:r>
          </w:p>
        </w:tc>
        <w:tc>
          <w:tcPr>
            <w:tcW w:w="4088" w:type="pct"/>
            <w:shd w:val="clear" w:color="auto" w:fill="auto"/>
            <w:noWrap/>
            <w:vAlign w:val="center"/>
          </w:tcPr>
          <w:p>
            <w:pPr>
              <w:numPr>
                <w:ilvl w:val="0"/>
                <w:numId w:val="0"/>
              </w:numPr>
              <w:bidi w:val="0"/>
              <w:ind w:firstLine="480" w:firstLineChars="200"/>
              <w:rPr>
                <w:rFonts w:ascii="宋体" w:hAnsi="宋体" w:eastAsia="宋体"/>
              </w:rPr>
            </w:pPr>
            <w:r>
              <w:rPr>
                <w:rFonts w:hint="eastAsia"/>
                <w:lang w:val="en-US" w:eastAsia="zh-CN"/>
              </w:rPr>
              <w:t>1.</w:t>
            </w:r>
            <w:r>
              <w:t>本机可配备多种角转子及适配器，适用于0.2ml-100ml离心管的高</w:t>
            </w:r>
            <w:r>
              <w:rPr>
                <w:rFonts w:ascii="宋体" w:hAnsi="宋体" w:eastAsia="宋体"/>
              </w:rPr>
              <w:t>速离心。</w:t>
            </w:r>
          </w:p>
          <w:p>
            <w:pPr>
              <w:numPr>
                <w:ilvl w:val="0"/>
                <w:numId w:val="0"/>
              </w:numPr>
              <w:bidi w:val="0"/>
              <w:ind w:firstLine="480" w:firstLineChars="200"/>
              <w:rPr>
                <w:rFonts w:ascii="宋体" w:hAnsi="宋体" w:eastAsia="宋体"/>
              </w:rPr>
            </w:pPr>
            <w:r>
              <w:rPr>
                <w:rFonts w:hint="eastAsia" w:ascii="宋体" w:hAnsi="宋体" w:eastAsia="宋体"/>
                <w:lang w:val="en-US" w:eastAsia="zh-CN"/>
              </w:rPr>
              <w:t>2.</w:t>
            </w:r>
            <w:r>
              <w:rPr>
                <w:rFonts w:ascii="宋体" w:hAnsi="宋体" w:eastAsia="宋体"/>
              </w:rPr>
              <w:t>结构设计紧凑，占地面积小，节省实验室空间。</w:t>
            </w:r>
          </w:p>
          <w:p>
            <w:pPr>
              <w:numPr>
                <w:ilvl w:val="0"/>
                <w:numId w:val="0"/>
              </w:numPr>
              <w:bidi w:val="0"/>
              <w:ind w:firstLine="480" w:firstLineChars="200"/>
              <w:rPr>
                <w:rFonts w:ascii="宋体" w:hAnsi="宋体" w:eastAsia="宋体"/>
              </w:rPr>
            </w:pPr>
            <w:r>
              <w:rPr>
                <w:rFonts w:hint="eastAsia" w:ascii="宋体" w:hAnsi="宋体" w:eastAsia="宋体"/>
                <w:lang w:val="en-US" w:eastAsia="zh-CN"/>
              </w:rPr>
              <w:t>3.</w:t>
            </w:r>
            <w:r>
              <w:rPr>
                <w:rFonts w:ascii="宋体" w:hAnsi="宋体" w:eastAsia="宋体"/>
              </w:rPr>
              <w:t>智能温控系统，采用国际一线品牌，控温快速、准确。</w:t>
            </w:r>
          </w:p>
          <w:p>
            <w:pPr>
              <w:numPr>
                <w:ilvl w:val="0"/>
                <w:numId w:val="0"/>
              </w:numPr>
              <w:bidi w:val="0"/>
              <w:ind w:firstLine="480" w:firstLineChars="200"/>
              <w:rPr>
                <w:rFonts w:ascii="宋体" w:hAnsi="宋体" w:eastAsia="宋体"/>
              </w:rPr>
            </w:pPr>
            <w:r>
              <w:rPr>
                <w:rFonts w:hint="eastAsia" w:ascii="宋体" w:hAnsi="宋体" w:eastAsia="宋体" w:cs="宋体"/>
                <w:sz w:val="24"/>
                <w:szCs w:val="24"/>
              </w:rPr>
              <w:t>★</w:t>
            </w:r>
            <w:r>
              <w:rPr>
                <w:rFonts w:hint="eastAsia" w:ascii="宋体" w:hAnsi="宋体" w:eastAsia="宋体"/>
                <w:lang w:val="en-US" w:eastAsia="zh-CN"/>
              </w:rPr>
              <w:t>4.</w:t>
            </w:r>
            <w:r>
              <w:rPr>
                <w:rFonts w:ascii="宋体" w:hAnsi="宋体" w:eastAsia="宋体"/>
              </w:rPr>
              <w:t>采用一种离心机不平衡检测装置。(提供技术证明文件)</w:t>
            </w:r>
          </w:p>
          <w:p>
            <w:pPr>
              <w:numPr>
                <w:ilvl w:val="0"/>
                <w:numId w:val="0"/>
              </w:numPr>
              <w:bidi w:val="0"/>
              <w:ind w:firstLine="480" w:firstLineChars="200"/>
              <w:rPr>
                <w:rFonts w:ascii="宋体" w:hAnsi="宋体" w:eastAsia="宋体"/>
              </w:rPr>
            </w:pPr>
            <w:r>
              <w:rPr>
                <w:rFonts w:hint="eastAsia" w:ascii="宋体" w:hAnsi="宋体" w:eastAsia="宋体" w:cs="宋体"/>
                <w:sz w:val="24"/>
                <w:szCs w:val="24"/>
              </w:rPr>
              <w:t>★</w:t>
            </w:r>
            <w:r>
              <w:rPr>
                <w:rFonts w:hint="eastAsia" w:ascii="宋体" w:hAnsi="宋体" w:eastAsia="宋体"/>
                <w:lang w:val="en-US" w:eastAsia="zh-CN"/>
              </w:rPr>
              <w:t>5.</w:t>
            </w:r>
            <w:r>
              <w:rPr>
                <w:rFonts w:ascii="宋体" w:hAnsi="宋体" w:eastAsia="宋体"/>
              </w:rPr>
              <w:t>采用RFID技术的离心机转子识别装置。(提供技术证明文件)</w:t>
            </w:r>
          </w:p>
          <w:p>
            <w:pPr>
              <w:numPr>
                <w:ilvl w:val="0"/>
                <w:numId w:val="0"/>
              </w:numPr>
              <w:bidi w:val="0"/>
              <w:ind w:firstLine="480" w:firstLineChars="200"/>
              <w:rPr>
                <w:rFonts w:ascii="宋体" w:hAnsi="宋体" w:eastAsia="宋体"/>
              </w:rPr>
            </w:pPr>
            <w:r>
              <w:rPr>
                <w:rFonts w:hint="eastAsia" w:ascii="宋体" w:hAnsi="宋体" w:eastAsia="宋体"/>
                <w:lang w:val="en-US" w:eastAsia="zh-CN"/>
              </w:rPr>
              <w:t>6.</w:t>
            </w:r>
            <w:r>
              <w:rPr>
                <w:rFonts w:ascii="宋体" w:hAnsi="宋体" w:eastAsia="宋体"/>
              </w:rPr>
              <w:t>采用免维护变频电机驱动，LCD触摸屏，操作简便。</w:t>
            </w:r>
          </w:p>
          <w:p>
            <w:pPr>
              <w:numPr>
                <w:ilvl w:val="0"/>
                <w:numId w:val="0"/>
              </w:numPr>
              <w:bidi w:val="0"/>
              <w:ind w:firstLine="480" w:firstLineChars="200"/>
              <w:rPr>
                <w:rFonts w:ascii="宋体" w:hAnsi="宋体" w:eastAsia="宋体"/>
              </w:rPr>
            </w:pPr>
            <w:r>
              <w:rPr>
                <w:rFonts w:hint="eastAsia" w:ascii="宋体" w:hAnsi="宋体" w:eastAsia="宋体"/>
                <w:lang w:val="en-US" w:eastAsia="zh-CN"/>
              </w:rPr>
              <w:t>7.</w:t>
            </w:r>
            <w:r>
              <w:rPr>
                <w:rFonts w:ascii="宋体" w:hAnsi="宋体" w:eastAsia="宋体"/>
              </w:rPr>
              <w:t>全钢制机壳，316不锈钢内腔，三层保护钢套。</w:t>
            </w:r>
          </w:p>
          <w:p>
            <w:pPr>
              <w:numPr>
                <w:ilvl w:val="0"/>
                <w:numId w:val="0"/>
              </w:numPr>
              <w:bidi w:val="0"/>
              <w:ind w:firstLine="480" w:firstLineChars="200"/>
            </w:pPr>
            <w:r>
              <w:rPr>
                <w:rFonts w:hint="eastAsia" w:ascii="宋体" w:hAnsi="宋体" w:eastAsia="宋体"/>
                <w:lang w:val="en-US" w:eastAsia="zh-CN"/>
              </w:rPr>
              <w:t>8.</w:t>
            </w:r>
            <w:r>
              <w:rPr>
                <w:rFonts w:ascii="宋体" w:hAnsi="宋体" w:eastAsia="宋体"/>
              </w:rPr>
              <w:t>可存储100</w:t>
            </w:r>
            <w:r>
              <w:t>0个程序组，1000条使用记录。</w:t>
            </w:r>
          </w:p>
          <w:p>
            <w:pPr>
              <w:bidi w:val="0"/>
            </w:pPr>
            <w:r>
              <w:t>9.除了能通过密码锁定主机外，还可以单独用密码对程序组参数进行锁定，两种功能可以单独使用互不限制。</w:t>
            </w:r>
          </w:p>
          <w:p>
            <w:pPr>
              <w:bidi w:val="0"/>
            </w:pPr>
            <w:r>
              <w:t>10.最高转速≥16500r/min</w:t>
            </w:r>
          </w:p>
          <w:p>
            <w:pPr>
              <w:bidi w:val="0"/>
            </w:pPr>
            <w:r>
              <w:t>11.最大离心力≥24790×g</w:t>
            </w:r>
          </w:p>
          <w:p>
            <w:pPr>
              <w:bidi w:val="0"/>
            </w:pPr>
            <w:r>
              <w:t>12.最大容量≥6×100ml(9000rpm)</w:t>
            </w:r>
          </w:p>
          <w:p>
            <w:pPr>
              <w:bidi w:val="0"/>
            </w:pPr>
            <w:r>
              <w:t>13.转速精度±10r/min</w:t>
            </w:r>
          </w:p>
          <w:p>
            <w:pPr>
              <w:bidi w:val="0"/>
            </w:pPr>
            <w:r>
              <w:t>14.温控精度±1℃</w:t>
            </w:r>
          </w:p>
          <w:p>
            <w:pPr>
              <w:bidi w:val="0"/>
            </w:pPr>
            <w:r>
              <w:t>15.温度控制范围-20℃~40℃</w:t>
            </w:r>
          </w:p>
          <w:p>
            <w:pPr>
              <w:bidi w:val="0"/>
            </w:pPr>
            <w:r>
              <w:t>16.定时范围1s~99H59min59s</w:t>
            </w:r>
          </w:p>
          <w:p>
            <w:pPr>
              <w:bidi w:val="0"/>
            </w:pPr>
            <w:r>
              <w:t>17.噪声≤57dB(A)</w:t>
            </w:r>
          </w:p>
          <w:p>
            <w:pPr>
              <w:bidi w:val="0"/>
              <w:rPr>
                <w:rFonts w:hint="eastAsia"/>
                <w:lang w:val="en-US" w:eastAsia="zh-CN"/>
              </w:rPr>
            </w:pPr>
            <w:r>
              <w:t>18.配置6×100ml角转子(最高转速9000rpm最大离心力9770×g)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3</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多管涡旋仪</w:t>
            </w:r>
          </w:p>
        </w:tc>
        <w:tc>
          <w:tcPr>
            <w:tcW w:w="4088" w:type="pct"/>
            <w:shd w:val="clear" w:color="auto" w:fill="auto"/>
            <w:noWrap/>
            <w:vAlign w:val="center"/>
          </w:tcPr>
          <w:p>
            <w:pPr>
              <w:bidi w:val="0"/>
            </w:pPr>
            <w:r>
              <w:t>1．转速范围：500~2500rpm</w:t>
            </w:r>
          </w:p>
          <w:p>
            <w:pPr>
              <w:bidi w:val="0"/>
            </w:pPr>
            <w:r>
              <w:t>2．调速精度：±1rpm</w:t>
            </w:r>
          </w:p>
          <w:p>
            <w:pPr>
              <w:bidi w:val="0"/>
            </w:pPr>
            <w:r>
              <w:t>3．振幅：≥3.6mm</w:t>
            </w:r>
          </w:p>
          <w:p>
            <w:pPr>
              <w:bidi w:val="0"/>
            </w:pPr>
            <w:r>
              <w:t>4．定时范围：0s~99H59M</w:t>
            </w:r>
          </w:p>
          <w:p>
            <w:pPr>
              <w:bidi w:val="0"/>
            </w:pPr>
            <w:r>
              <w:t>5．间歇间隔定时范围：1~99S</w:t>
            </w:r>
          </w:p>
          <w:p>
            <w:pPr>
              <w:bidi w:val="0"/>
            </w:pPr>
            <w:r>
              <w:t>6．间歇运行定时范围：1S~999S</w:t>
            </w:r>
          </w:p>
          <w:p>
            <w:pPr>
              <w:bidi w:val="0"/>
            </w:pPr>
            <w:r>
              <w:t>7．最大载重：≥4.5kgs</w:t>
            </w:r>
          </w:p>
          <w:p>
            <w:pPr>
              <w:bidi w:val="0"/>
            </w:pPr>
            <w:r>
              <w:t>8．顶部盖板尺寸：L.310xW.180mm</w:t>
            </w:r>
          </w:p>
          <w:p>
            <w:pPr>
              <w:bidi w:val="0"/>
            </w:pPr>
            <w:r>
              <w:t>9．输入电源：AC100~230V,50/60Hz</w:t>
            </w:r>
          </w:p>
          <w:p>
            <w:pPr>
              <w:bidi w:val="0"/>
            </w:pPr>
            <w:r>
              <w:t>10．功率：≥75W</w:t>
            </w:r>
          </w:p>
          <w:p>
            <w:pPr>
              <w:bidi w:val="0"/>
              <w:rPr>
                <w:rFonts w:hint="eastAsia"/>
                <w:lang w:val="en-US" w:eastAsia="zh-CN"/>
              </w:rPr>
            </w:pPr>
            <w:r>
              <w:t>11．熔断器：≥250V,1A,Ф5×20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4</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纯水机</w:t>
            </w:r>
          </w:p>
        </w:tc>
        <w:tc>
          <w:tcPr>
            <w:tcW w:w="4088" w:type="pct"/>
            <w:shd w:val="clear" w:color="auto" w:fill="auto"/>
            <w:noWrap/>
            <w:vAlign w:val="center"/>
          </w:tcPr>
          <w:p>
            <w:pPr>
              <w:numPr>
                <w:ilvl w:val="0"/>
                <w:numId w:val="2"/>
              </w:numPr>
              <w:bidi w:val="0"/>
            </w:pPr>
            <w:r>
              <w:t>微电脑全自动控制，人性化设计，全中文显示运行状态，具备人机对话功能；</w:t>
            </w:r>
          </w:p>
          <w:p>
            <w:pPr>
              <w:numPr>
                <w:ilvl w:val="0"/>
                <w:numId w:val="0"/>
              </w:numPr>
              <w:bidi w:val="0"/>
              <w:ind w:firstLine="480" w:firstLineChars="200"/>
            </w:pPr>
            <w:r>
              <w:t>2.系统具备故障监测/诊断/修复功能，能自动检测/修复主机微电脑程序故障机错误；</w:t>
            </w:r>
          </w:p>
          <w:p>
            <w:pPr>
              <w:numPr>
                <w:ilvl w:val="0"/>
                <w:numId w:val="0"/>
              </w:numPr>
              <w:bidi w:val="0"/>
              <w:ind w:firstLine="480" w:firstLineChars="200"/>
            </w:pPr>
            <w:r>
              <w:t>3.系统具备特制控制程序，具有抗干扰功能</w:t>
            </w:r>
          </w:p>
          <w:p>
            <w:pPr>
              <w:numPr>
                <w:ilvl w:val="0"/>
                <w:numId w:val="0"/>
              </w:numPr>
              <w:bidi w:val="0"/>
              <w:ind w:firstLine="480" w:firstLineChars="200"/>
            </w:pPr>
            <w:r>
              <w:t>4.系统精确计算出设备运行时间及运行次数，最佳状态执行预处理/RO膜自动冲洗；</w:t>
            </w:r>
          </w:p>
          <w:p>
            <w:pPr>
              <w:numPr>
                <w:ilvl w:val="0"/>
                <w:numId w:val="0"/>
              </w:numPr>
              <w:bidi w:val="0"/>
              <w:ind w:firstLine="480" w:firstLineChars="200"/>
            </w:pPr>
            <w:r>
              <w:t>5.RO不合格产水排放系统，禁止不合格产水流入纯水箱，延长后级超纯化柱使用寿命；</w:t>
            </w:r>
          </w:p>
          <w:p>
            <w:pPr>
              <w:numPr>
                <w:ilvl w:val="0"/>
                <w:numId w:val="0"/>
              </w:numPr>
              <w:bidi w:val="0"/>
              <w:ind w:firstLine="480" w:firstLineChars="200"/>
            </w:pPr>
            <w:r>
              <w:t>6.128×64全中文大屏幕液晶显示，全程监控设备运行状态；</w:t>
            </w:r>
          </w:p>
          <w:p>
            <w:pPr>
              <w:bidi w:val="0"/>
            </w:pPr>
            <w:r>
              <w:t>7.纯水(Ro)电导率(μs/cm)在线监测水温/取水时间在线显示</w:t>
            </w:r>
          </w:p>
          <w:p>
            <w:pPr>
              <w:bidi w:val="0"/>
            </w:pPr>
            <w:r>
              <w:t>8.预处理系统采用预处理器2通道/内置式,PL线绕式滤芯+AC活性碳滤芯+KDF复合滤芯保证RO水水质稳定；</w:t>
            </w:r>
          </w:p>
          <w:p>
            <w:pPr>
              <w:bidi w:val="0"/>
            </w:pPr>
            <w:r>
              <w:t>9.进水水源：城市自来水TDS≤200PPM，水压0.1-0.4pa，水温5—35℃;</w:t>
            </w:r>
          </w:p>
          <w:p>
            <w:pPr>
              <w:bidi w:val="0"/>
            </w:pPr>
            <w:r>
              <w:t>10.制水量：≥5L/H；</w:t>
            </w:r>
          </w:p>
          <w:p>
            <w:pPr>
              <w:bidi w:val="0"/>
            </w:pPr>
            <w:r>
              <w:t>11.取水流速：1.5-2.0L/min(水箱储水时)；</w:t>
            </w:r>
          </w:p>
          <w:p>
            <w:pPr>
              <w:bidi w:val="0"/>
            </w:pPr>
            <w:r>
              <w:t>12.RO出水：(RO)纯水(电导率1μs/cm)@25℃(在线监测)、脱盐率≥99％、水质符合中国国家实验室分析用水标准(GB/T6682-2008)二级用水标准；</w:t>
            </w:r>
          </w:p>
          <w:p>
            <w:pPr>
              <w:bidi w:val="0"/>
              <w:rPr>
                <w:rFonts w:hint="eastAsia"/>
                <w:lang w:val="en-US" w:eastAsia="zh-CN"/>
              </w:rPr>
            </w:pPr>
            <w:r>
              <w:t>13.水箱配置：压力储水箱；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5</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分光光度计</w:t>
            </w:r>
          </w:p>
        </w:tc>
        <w:tc>
          <w:tcPr>
            <w:tcW w:w="4088" w:type="pct"/>
            <w:shd w:val="clear" w:color="auto" w:fill="auto"/>
            <w:noWrap/>
            <w:vAlign w:val="center"/>
          </w:tcPr>
          <w:p>
            <w:pPr>
              <w:bidi w:val="0"/>
            </w:pPr>
            <w:r>
              <w:t>1.单色器：自准式单色器，1200线全息光栅；</w:t>
            </w:r>
          </w:p>
          <w:p>
            <w:pPr>
              <w:bidi w:val="0"/>
            </w:pPr>
            <w:r>
              <w:t>2.检测器：硅光二极管；</w:t>
            </w:r>
          </w:p>
          <w:p>
            <w:pPr>
              <w:bidi w:val="0"/>
            </w:pPr>
            <w:r>
              <w:t>3.光源：≥20W/12V卤钨灯；</w:t>
            </w:r>
          </w:p>
          <w:p>
            <w:pPr>
              <w:bidi w:val="0"/>
            </w:pPr>
            <w:r>
              <w:rPr>
                <w:rFonts w:hint="eastAsia" w:ascii="宋体" w:hAnsi="宋体" w:eastAsia="宋体" w:cs="宋体"/>
                <w:sz w:val="24"/>
                <w:szCs w:val="24"/>
              </w:rPr>
              <w:t>★</w:t>
            </w:r>
            <w:r>
              <w:t>4.光谱带宽：4nm；(提供第三方检测报告证明)</w:t>
            </w:r>
          </w:p>
          <w:p>
            <w:pPr>
              <w:bidi w:val="0"/>
            </w:pPr>
            <w:r>
              <w:rPr>
                <w:rFonts w:hint="eastAsia" w:ascii="宋体" w:hAnsi="宋体" w:eastAsia="宋体" w:cs="宋体"/>
                <w:sz w:val="24"/>
                <w:szCs w:val="24"/>
              </w:rPr>
              <w:t>★</w:t>
            </w:r>
            <w:r>
              <w:t>5.波长范围：325~1000nm；(提供第三方检测报告证明)</w:t>
            </w:r>
          </w:p>
          <w:p>
            <w:pPr>
              <w:bidi w:val="0"/>
            </w:pPr>
            <w:r>
              <w:rPr>
                <w:rFonts w:hint="eastAsia" w:ascii="宋体" w:hAnsi="宋体" w:eastAsia="宋体" w:cs="宋体"/>
                <w:sz w:val="24"/>
                <w:szCs w:val="24"/>
              </w:rPr>
              <w:t>★</w:t>
            </w:r>
            <w:r>
              <w:t>6.波长最大允许误差：±2nm；(提供第三方检测报告证明)</w:t>
            </w:r>
          </w:p>
          <w:p>
            <w:pPr>
              <w:bidi w:val="0"/>
            </w:pPr>
            <w:r>
              <w:rPr>
                <w:rFonts w:hint="eastAsia" w:ascii="宋体" w:hAnsi="宋体" w:eastAsia="宋体" w:cs="宋体"/>
                <w:sz w:val="24"/>
                <w:szCs w:val="24"/>
              </w:rPr>
              <w:t>★</w:t>
            </w:r>
            <w:r>
              <w:t>7.波长重复性：≤1.0nm；(提供第三方检测报告证明)</w:t>
            </w:r>
          </w:p>
          <w:p>
            <w:pPr>
              <w:bidi w:val="0"/>
            </w:pPr>
            <w:r>
              <w:t>8.测定范围T：0~199.9%T，A：0~1.999Abs，C：0~1999；</w:t>
            </w:r>
          </w:p>
          <w:p>
            <w:pPr>
              <w:bidi w:val="0"/>
            </w:pPr>
            <w:r>
              <w:rPr>
                <w:rFonts w:hint="eastAsia" w:ascii="宋体" w:hAnsi="宋体" w:eastAsia="宋体" w:cs="宋体"/>
                <w:sz w:val="24"/>
                <w:szCs w:val="24"/>
              </w:rPr>
              <w:t>★</w:t>
            </w:r>
            <w:r>
              <w:t>9.透射比最大允许误差：±0.5%T；(提供第三方检测报告证明)</w:t>
            </w:r>
          </w:p>
          <w:p>
            <w:pPr>
              <w:bidi w:val="0"/>
            </w:pPr>
            <w:r>
              <w:rPr>
                <w:rFonts w:hint="eastAsia" w:ascii="宋体" w:hAnsi="宋体" w:eastAsia="宋体" w:cs="宋体"/>
                <w:sz w:val="24"/>
                <w:szCs w:val="24"/>
              </w:rPr>
              <w:t>★</w:t>
            </w:r>
            <w:r>
              <w:t>10.透射比重复性：≤0.2%T；(提供第三方检测报告证明)</w:t>
            </w:r>
          </w:p>
          <w:p>
            <w:pPr>
              <w:bidi w:val="0"/>
            </w:pPr>
            <w:r>
              <w:t>11.杂散光：≤0.5%T(在360nm处)；</w:t>
            </w:r>
          </w:p>
          <w:p>
            <w:pPr>
              <w:bidi w:val="0"/>
              <w:rPr>
                <w:rFonts w:hint="eastAsia"/>
                <w:lang w:val="en-US" w:eastAsia="zh-CN"/>
              </w:rPr>
            </w:pPr>
            <w:r>
              <w:t>12.稳定性/噪声：暗电流≤0.2%T、亮电流≤0.5%T；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6</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折光仪</w:t>
            </w:r>
          </w:p>
        </w:tc>
        <w:tc>
          <w:tcPr>
            <w:tcW w:w="4088" w:type="pct"/>
            <w:shd w:val="clear" w:color="auto" w:fill="auto"/>
            <w:noWrap/>
            <w:vAlign w:val="center"/>
          </w:tcPr>
          <w:p>
            <w:pPr>
              <w:bidi w:val="0"/>
            </w:pPr>
            <w:r>
              <w:t>1.测量范围：0-32%；</w:t>
            </w:r>
          </w:p>
          <w:p>
            <w:pPr>
              <w:bidi w:val="0"/>
            </w:pPr>
            <w:r>
              <w:t>2.精度：≤0.2%；</w:t>
            </w:r>
          </w:p>
          <w:p>
            <w:pPr>
              <w:bidi w:val="0"/>
            </w:pPr>
            <w:r>
              <w:t>3.ATC自动温度补偿性；</w:t>
            </w:r>
          </w:p>
          <w:p>
            <w:pPr>
              <w:bidi w:val="0"/>
            </w:pPr>
            <w:r>
              <w:t>4.主材为：铝；</w:t>
            </w:r>
          </w:p>
          <w:p>
            <w:pPr>
              <w:bidi w:val="0"/>
              <w:rPr>
                <w:rFonts w:hint="eastAsia"/>
                <w:lang w:val="en-US" w:eastAsia="zh-CN"/>
              </w:rPr>
            </w:pPr>
            <w:r>
              <w:t>5.仪器配件：仪器一只，吸管一个，螺丝刀一个，包装盒子一只，说明书一份，擦拭布一份；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7</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水浴锅</w:t>
            </w:r>
          </w:p>
        </w:tc>
        <w:tc>
          <w:tcPr>
            <w:tcW w:w="4088" w:type="pct"/>
            <w:shd w:val="clear" w:color="auto" w:fill="auto"/>
            <w:noWrap/>
            <w:vAlign w:val="center"/>
          </w:tcPr>
          <w:p>
            <w:pPr>
              <w:numPr>
                <w:ilvl w:val="0"/>
                <w:numId w:val="0"/>
              </w:numPr>
              <w:bidi w:val="0"/>
              <w:ind w:firstLine="480" w:firstLineChars="200"/>
            </w:pPr>
            <w:r>
              <w:rPr>
                <w:rFonts w:hint="eastAsia"/>
                <w:lang w:val="en-US" w:eastAsia="zh-CN"/>
              </w:rPr>
              <w:t>1.</w:t>
            </w:r>
            <w:r>
              <w:t>内胆和上盖均采用不锈钢板制造，不会生锈；</w:t>
            </w:r>
          </w:p>
          <w:p>
            <w:pPr>
              <w:numPr>
                <w:ilvl w:val="0"/>
                <w:numId w:val="0"/>
              </w:numPr>
              <w:bidi w:val="0"/>
              <w:ind w:leftChars="0" w:firstLine="480" w:firstLineChars="200"/>
            </w:pPr>
            <w:r>
              <w:rPr>
                <w:rFonts w:hint="eastAsia"/>
                <w:lang w:val="en-US" w:eastAsia="zh-CN"/>
              </w:rPr>
              <w:t>2.</w:t>
            </w:r>
            <w:r>
              <w:t>外壳采用喷塑处理；</w:t>
            </w:r>
          </w:p>
          <w:p>
            <w:pPr>
              <w:numPr>
                <w:ilvl w:val="0"/>
                <w:numId w:val="0"/>
              </w:numPr>
              <w:bidi w:val="0"/>
              <w:ind w:leftChars="0" w:firstLine="480" w:firstLineChars="200"/>
            </w:pPr>
            <w:r>
              <w:rPr>
                <w:rFonts w:hint="eastAsia"/>
                <w:lang w:val="en-US" w:eastAsia="zh-CN"/>
              </w:rPr>
              <w:t>3.</w:t>
            </w:r>
            <w:r>
              <w:t>采用微电脑智能仪表，具有微量显示，控温、方便耐用等特点；</w:t>
            </w:r>
          </w:p>
          <w:p>
            <w:pPr>
              <w:numPr>
                <w:ilvl w:val="0"/>
                <w:numId w:val="0"/>
              </w:numPr>
              <w:bidi w:val="0"/>
              <w:ind w:leftChars="0" w:firstLine="480" w:firstLineChars="200"/>
            </w:pPr>
            <w:r>
              <w:t>4.温控范围：室温-100℃；</w:t>
            </w:r>
          </w:p>
          <w:p>
            <w:pPr>
              <w:bidi w:val="0"/>
              <w:rPr>
                <w:rFonts w:hint="eastAsia"/>
                <w:lang w:val="en-US" w:eastAsia="zh-CN"/>
              </w:rPr>
            </w:pPr>
            <w:r>
              <w:t>5.四孔；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8</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分析天平</w:t>
            </w:r>
          </w:p>
        </w:tc>
        <w:tc>
          <w:tcPr>
            <w:tcW w:w="4088" w:type="pct"/>
            <w:shd w:val="clear" w:color="auto" w:fill="auto"/>
            <w:noWrap/>
            <w:vAlign w:val="center"/>
          </w:tcPr>
          <w:p>
            <w:pPr>
              <w:bidi w:val="0"/>
              <w:rPr>
                <w:rFonts w:ascii="宋体" w:hAnsi="宋体" w:eastAsia="宋体"/>
              </w:rPr>
            </w:pPr>
            <w:r>
              <w:rPr>
                <w:rFonts w:hint="eastAsia" w:ascii="宋体" w:hAnsi="宋体" w:eastAsia="宋体"/>
                <w:lang w:val="en-US" w:eastAsia="zh-CN"/>
              </w:rPr>
              <w:t>1.</w:t>
            </w:r>
            <w:r>
              <w:rPr>
                <w:rFonts w:ascii="宋体" w:hAnsi="宋体" w:eastAsia="宋体"/>
              </w:rPr>
              <w:t>超大带背光液晶显示屏，高灵敏度轻触按键，操作简便；</w:t>
            </w:r>
          </w:p>
          <w:p>
            <w:pPr>
              <w:bidi w:val="0"/>
              <w:rPr>
                <w:rFonts w:ascii="宋体" w:hAnsi="宋体" w:eastAsia="宋体"/>
              </w:rPr>
            </w:pPr>
            <w:r>
              <w:rPr>
                <w:rFonts w:hint="eastAsia" w:ascii="宋体" w:hAnsi="宋体" w:eastAsia="宋体"/>
                <w:lang w:val="en-US" w:eastAsia="zh-CN"/>
              </w:rPr>
              <w:t>2.</w:t>
            </w:r>
            <w:r>
              <w:rPr>
                <w:rFonts w:ascii="宋体" w:hAnsi="宋体" w:eastAsia="宋体"/>
              </w:rPr>
              <w:t>内藏式下称吊钩、过载保护秤盘；</w:t>
            </w:r>
          </w:p>
          <w:p>
            <w:pPr>
              <w:bidi w:val="0"/>
              <w:rPr>
                <w:rFonts w:ascii="宋体" w:hAnsi="宋体" w:eastAsia="宋体"/>
              </w:rPr>
            </w:pPr>
            <w:r>
              <w:rPr>
                <w:rFonts w:hint="eastAsia" w:ascii="宋体" w:hAnsi="宋体" w:eastAsia="宋体"/>
                <w:lang w:val="en-US" w:eastAsia="zh-CN"/>
              </w:rPr>
              <w:t>3.</w:t>
            </w:r>
            <w:r>
              <w:rPr>
                <w:rFonts w:ascii="宋体" w:hAnsi="宋体" w:eastAsia="宋体"/>
              </w:rPr>
              <w:t>秤盘下方配气流防风罩，使密闭性更高，数据真实可靠性更强；</w:t>
            </w:r>
          </w:p>
          <w:p>
            <w:pPr>
              <w:bidi w:val="0"/>
              <w:rPr>
                <w:rFonts w:ascii="宋体" w:hAnsi="宋体" w:eastAsia="宋体"/>
              </w:rPr>
            </w:pPr>
            <w:r>
              <w:rPr>
                <w:rFonts w:hint="eastAsia" w:ascii="宋体" w:hAnsi="宋体" w:eastAsia="宋体"/>
                <w:lang w:val="en-US" w:eastAsia="zh-CN"/>
              </w:rPr>
              <w:t>4.</w:t>
            </w:r>
            <w:r>
              <w:rPr>
                <w:rFonts w:ascii="宋体" w:hAnsi="宋体" w:eastAsia="宋体"/>
              </w:rPr>
              <w:t>显示屏防护罩：提供额外的防尘和防划保护，延长天平的使用寿命；</w:t>
            </w:r>
          </w:p>
          <w:p>
            <w:pPr>
              <w:bidi w:val="0"/>
              <w:rPr>
                <w:rFonts w:ascii="宋体" w:hAnsi="宋体" w:eastAsia="宋体"/>
              </w:rPr>
            </w:pPr>
            <w:r>
              <w:rPr>
                <w:rFonts w:hint="eastAsia" w:ascii="宋体" w:hAnsi="宋体" w:eastAsia="宋体"/>
                <w:lang w:val="en-US" w:eastAsia="zh-CN"/>
              </w:rPr>
              <w:t>5.</w:t>
            </w:r>
            <w:r>
              <w:rPr>
                <w:rFonts w:ascii="宋体" w:hAnsi="宋体" w:eastAsia="宋体"/>
              </w:rPr>
              <w:t>具有玻璃门运输保护锁，四面全透明的玻璃防风罩，一面铝合金背板；</w:t>
            </w:r>
          </w:p>
          <w:p>
            <w:pPr>
              <w:bidi w:val="0"/>
              <w:rPr>
                <w:rFonts w:ascii="宋体" w:hAnsi="宋体" w:eastAsia="宋体"/>
              </w:rPr>
            </w:pPr>
            <w:r>
              <w:rPr>
                <w:rFonts w:hint="eastAsia" w:ascii="宋体" w:hAnsi="宋体" w:eastAsia="宋体"/>
                <w:lang w:val="en-US" w:eastAsia="zh-CN"/>
              </w:rPr>
              <w:t>6.</w:t>
            </w:r>
            <w:r>
              <w:rPr>
                <w:rFonts w:ascii="宋体" w:hAnsi="宋体" w:eastAsia="宋体"/>
              </w:rPr>
              <w:t>具有全方位传感器保护保护功能，从六个方向最大限度保护传感器不受外力损害；</w:t>
            </w:r>
          </w:p>
          <w:p>
            <w:pPr>
              <w:bidi w:val="0"/>
              <w:rPr>
                <w:rFonts w:ascii="宋体" w:hAnsi="宋体" w:eastAsia="宋体"/>
              </w:rPr>
            </w:pPr>
            <w:r>
              <w:rPr>
                <w:rFonts w:hint="eastAsia" w:ascii="宋体" w:hAnsi="宋体" w:eastAsia="宋体"/>
                <w:lang w:val="en-US" w:eastAsia="zh-CN"/>
              </w:rPr>
              <w:t>7.</w:t>
            </w:r>
            <w:r>
              <w:rPr>
                <w:rFonts w:ascii="宋体" w:hAnsi="宋体" w:eastAsia="宋体"/>
              </w:rPr>
              <w:t>全铝制天平底座，防止低频振动，机身更加稳固；</w:t>
            </w:r>
          </w:p>
          <w:p>
            <w:pPr>
              <w:bidi w:val="0"/>
              <w:rPr>
                <w:rFonts w:ascii="宋体" w:hAnsi="宋体" w:eastAsia="宋体"/>
              </w:rPr>
            </w:pPr>
            <w:r>
              <w:rPr>
                <w:rFonts w:ascii="宋体" w:hAnsi="宋体" w:eastAsia="宋体"/>
              </w:rPr>
              <w:t>8.具有过载保护秤盘功能(采用秤盘锁死结构，防止称量过载，保护传感器)；</w:t>
            </w:r>
          </w:p>
          <w:p>
            <w:pPr>
              <w:bidi w:val="0"/>
              <w:rPr>
                <w:rFonts w:ascii="宋体" w:hAnsi="宋体" w:eastAsia="宋体"/>
              </w:rPr>
            </w:pPr>
            <w:r>
              <w:rPr>
                <w:rFonts w:ascii="宋体" w:hAnsi="宋体" w:eastAsia="宋体"/>
              </w:rPr>
              <w:t>9.实际分度值：0.0001g；</w:t>
            </w:r>
          </w:p>
          <w:p>
            <w:pPr>
              <w:bidi w:val="0"/>
              <w:rPr>
                <w:rFonts w:ascii="宋体" w:hAnsi="宋体" w:eastAsia="宋体"/>
              </w:rPr>
            </w:pPr>
            <w:r>
              <w:rPr>
                <w:rFonts w:ascii="宋体" w:hAnsi="宋体" w:eastAsia="宋体"/>
              </w:rPr>
              <w:t>10.最大称量范围：200g；</w:t>
            </w:r>
          </w:p>
          <w:p>
            <w:pPr>
              <w:bidi w:val="0"/>
              <w:rPr>
                <w:rFonts w:ascii="宋体" w:hAnsi="宋体" w:eastAsia="宋体"/>
              </w:rPr>
            </w:pPr>
            <w:r>
              <w:rPr>
                <w:rFonts w:ascii="宋体" w:hAnsi="宋体" w:eastAsia="宋体"/>
              </w:rPr>
              <w:t>11.重复性(≤)：±0.0001g；</w:t>
            </w:r>
          </w:p>
          <w:p>
            <w:pPr>
              <w:bidi w:val="0"/>
              <w:rPr>
                <w:rFonts w:ascii="宋体" w:hAnsi="宋体" w:eastAsia="宋体"/>
              </w:rPr>
            </w:pPr>
            <w:r>
              <w:rPr>
                <w:rFonts w:ascii="宋体" w:hAnsi="宋体" w:eastAsia="宋体"/>
              </w:rPr>
              <w:t>12.最大允许误差(≤)：±0.0002g；</w:t>
            </w:r>
          </w:p>
          <w:p>
            <w:pPr>
              <w:bidi w:val="0"/>
            </w:pPr>
            <w:r>
              <w:rPr>
                <w:rFonts w:ascii="宋体" w:hAnsi="宋体" w:eastAsia="宋体"/>
              </w:rPr>
              <w:t>13.校准砝</w:t>
            </w:r>
            <w:r>
              <w:t>码值：200g；</w:t>
            </w:r>
          </w:p>
          <w:p>
            <w:pPr>
              <w:bidi w:val="0"/>
              <w:rPr>
                <w:rFonts w:hint="eastAsia"/>
                <w:lang w:val="en-US" w:eastAsia="zh-CN"/>
              </w:rPr>
            </w:pPr>
            <w:r>
              <w:t>14.类型：外部自动校准；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9</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培养箱</w:t>
            </w:r>
          </w:p>
        </w:tc>
        <w:tc>
          <w:tcPr>
            <w:tcW w:w="4088" w:type="pct"/>
            <w:shd w:val="clear" w:color="auto" w:fill="auto"/>
            <w:noWrap/>
            <w:vAlign w:val="center"/>
          </w:tcPr>
          <w:p>
            <w:pPr>
              <w:bidi w:val="0"/>
            </w:pPr>
            <w:r>
              <w:t>1.温度范围：室温+10度到70度；</w:t>
            </w:r>
          </w:p>
          <w:p>
            <w:pPr>
              <w:bidi w:val="0"/>
              <w:rPr>
                <w:rFonts w:hint="eastAsia"/>
                <w:lang w:val="en-US" w:eastAsia="zh-CN"/>
              </w:rPr>
            </w:pPr>
            <w:r>
              <w:t>2.容积≥16L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10</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PH酸度计</w:t>
            </w:r>
          </w:p>
        </w:tc>
        <w:tc>
          <w:tcPr>
            <w:tcW w:w="4088" w:type="pct"/>
            <w:shd w:val="clear" w:color="auto" w:fill="auto"/>
            <w:noWrap/>
            <w:vAlign w:val="center"/>
          </w:tcPr>
          <w:p>
            <w:pPr>
              <w:bidi w:val="0"/>
            </w:pPr>
            <w:r>
              <w:t>1.测量范围pH2.01-12；</w:t>
            </w:r>
          </w:p>
          <w:p>
            <w:pPr>
              <w:bidi w:val="0"/>
            </w:pPr>
            <w:r>
              <w:t>2.温度：0~50℃，32~122℉；</w:t>
            </w:r>
          </w:p>
          <w:p>
            <w:pPr>
              <w:bidi w:val="0"/>
              <w:rPr>
                <w:rFonts w:hint="eastAsia"/>
                <w:lang w:val="en-US" w:eastAsia="zh-CN"/>
              </w:rPr>
            </w:pPr>
            <w:r>
              <w:t>3.精度0.01；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11</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干燥箱</w:t>
            </w:r>
          </w:p>
        </w:tc>
        <w:tc>
          <w:tcPr>
            <w:tcW w:w="4088" w:type="pct"/>
            <w:shd w:val="clear" w:color="auto" w:fill="auto"/>
            <w:noWrap/>
            <w:vAlign w:val="center"/>
          </w:tcPr>
          <w:p>
            <w:pPr>
              <w:bidi w:val="0"/>
            </w:pPr>
            <w:r>
              <w:t>1.控温范围50~300℃；</w:t>
            </w:r>
          </w:p>
          <w:p>
            <w:pPr>
              <w:bidi w:val="0"/>
            </w:pPr>
            <w:r>
              <w:t>2.容积≥16L；</w:t>
            </w:r>
          </w:p>
          <w:p>
            <w:pPr>
              <w:bidi w:val="0"/>
            </w:pPr>
            <w:r>
              <w:rPr>
                <w:rFonts w:hint="eastAsia" w:ascii="宋体" w:hAnsi="宋体" w:eastAsia="宋体" w:cs="宋体"/>
                <w:sz w:val="24"/>
                <w:szCs w:val="24"/>
              </w:rPr>
              <w:t>★</w:t>
            </w:r>
            <w:r>
              <w:t>3.显示精度0.1℃(＞100℃显示精度为1℃)；(提供第三方检测报告证明)</w:t>
            </w:r>
          </w:p>
          <w:p>
            <w:pPr>
              <w:bidi w:val="0"/>
              <w:rPr>
                <w:rFonts w:hint="eastAsia"/>
                <w:lang w:val="en-US" w:eastAsia="zh-CN"/>
              </w:rPr>
            </w:pPr>
            <w:r>
              <w:rPr>
                <w:rFonts w:hint="eastAsia" w:ascii="宋体" w:hAnsi="宋体" w:eastAsia="宋体" w:cs="宋体"/>
                <w:sz w:val="24"/>
                <w:szCs w:val="24"/>
              </w:rPr>
              <w:t>★</w:t>
            </w:r>
            <w:r>
              <w:t>4.温度波动性：≤±1℃；(提供第三方检测报告证明)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12</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生物显微镜</w:t>
            </w:r>
          </w:p>
        </w:tc>
        <w:tc>
          <w:tcPr>
            <w:tcW w:w="4088" w:type="pct"/>
            <w:shd w:val="clear" w:color="auto" w:fill="auto"/>
            <w:noWrap/>
            <w:vAlign w:val="center"/>
          </w:tcPr>
          <w:p>
            <w:pPr>
              <w:bidi w:val="0"/>
            </w:pPr>
            <w:r>
              <w:t>1.目镜：10X一对，20X一对；</w:t>
            </w:r>
          </w:p>
          <w:p>
            <w:pPr>
              <w:bidi w:val="0"/>
            </w:pPr>
            <w:r>
              <w:t>2.倍数：40~1600倍；</w:t>
            </w:r>
          </w:p>
          <w:p>
            <w:pPr>
              <w:bidi w:val="0"/>
            </w:pPr>
            <w:r>
              <w:t>3.物镜：消色差4X、10X、40X；</w:t>
            </w:r>
          </w:p>
          <w:p>
            <w:pPr>
              <w:bidi w:val="0"/>
            </w:pPr>
            <w:r>
              <w:t>4.电源：100V-240V标准电源；</w:t>
            </w:r>
          </w:p>
          <w:p>
            <w:pPr>
              <w:bidi w:val="0"/>
            </w:pPr>
            <w:r>
              <w:t>5.调焦系统：粗细同轴双速调焦；</w:t>
            </w:r>
          </w:p>
          <w:p>
            <w:pPr>
              <w:bidi w:val="0"/>
              <w:rPr>
                <w:rFonts w:hint="eastAsia"/>
                <w:lang w:val="en-US" w:eastAsia="zh-CN"/>
              </w:rPr>
            </w:pPr>
            <w:r>
              <w:t>6.遮光栏：六孔五色拨盘；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13</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超净工作台</w:t>
            </w:r>
          </w:p>
        </w:tc>
        <w:tc>
          <w:tcPr>
            <w:tcW w:w="4088" w:type="pct"/>
            <w:shd w:val="clear" w:color="auto" w:fill="auto"/>
            <w:noWrap/>
            <w:vAlign w:val="center"/>
          </w:tcPr>
          <w:p>
            <w:pPr>
              <w:bidi w:val="0"/>
            </w:pPr>
            <w:r>
              <w:t>1.工作尺寸(长x宽x高)≥500*480*450mm；</w:t>
            </w:r>
          </w:p>
          <w:p>
            <w:pPr>
              <w:bidi w:val="0"/>
              <w:rPr>
                <w:rFonts w:hint="eastAsia"/>
                <w:lang w:val="en-US" w:eastAsia="zh-CN"/>
              </w:rPr>
            </w:pPr>
            <w:r>
              <w:t>2.洁净等级≥0.5JM尘埃颗粒≤3.5颗；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14</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电子天平</w:t>
            </w:r>
          </w:p>
        </w:tc>
        <w:tc>
          <w:tcPr>
            <w:tcW w:w="4088" w:type="pct"/>
            <w:shd w:val="clear" w:color="auto" w:fill="auto"/>
            <w:noWrap/>
            <w:vAlign w:val="center"/>
          </w:tcPr>
          <w:p>
            <w:pPr>
              <w:bidi w:val="0"/>
              <w:rPr>
                <w:rFonts w:hint="eastAsia"/>
                <w:lang w:val="en-US" w:eastAsia="zh-CN"/>
              </w:rPr>
            </w:pPr>
            <w:r>
              <w:t>1.最大量程≥1000g，精度0.1g。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15</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农药残检测仪</w:t>
            </w:r>
          </w:p>
        </w:tc>
        <w:tc>
          <w:tcPr>
            <w:tcW w:w="4088" w:type="pct"/>
            <w:shd w:val="clear" w:color="auto" w:fill="auto"/>
            <w:noWrap/>
            <w:vAlign w:val="center"/>
          </w:tcPr>
          <w:p>
            <w:pPr>
              <w:bidi w:val="0"/>
            </w:pPr>
            <w:r>
              <w:t>1、检测试剂符合国家标准和农业部标准要求，自动判断样品是否合格，检测结果更加直观。</w:t>
            </w:r>
          </w:p>
          <w:p>
            <w:pPr>
              <w:bidi w:val="0"/>
            </w:pPr>
            <w:r>
              <w:t>2、检测通道：≥8个检测通道，各通道独立工作，每个通道可选择不同种类蔬菜名称。</w:t>
            </w:r>
          </w:p>
          <w:p>
            <w:pPr>
              <w:bidi w:val="0"/>
            </w:pPr>
            <w:r>
              <w:t>3、安卓智能操作系统，主控芯片采用4核处理器，运转速度更快速，稳定性更强。</w:t>
            </w:r>
          </w:p>
          <w:p>
            <w:pPr>
              <w:bidi w:val="0"/>
            </w:pPr>
            <w:r>
              <w:t>4、显示方式：7英寸真彩触摸屏显示，人性化中文操作界面，读数直观、简单。</w:t>
            </w:r>
          </w:p>
          <w:p>
            <w:pPr>
              <w:bidi w:val="0"/>
            </w:pPr>
            <w:r>
              <w:t>5、打印机采用串口5v打印，可直接打印检测结果和二维码，打印格式为检测人姓名、吸光度差值、检测时间、检测机构、样品名称及结果判定，手机扫码即可显示详细打印内容。检测结果可单条删除，可批量打印。</w:t>
            </w:r>
          </w:p>
          <w:p>
            <w:pPr>
              <w:bidi w:val="0"/>
            </w:pPr>
            <w:r>
              <w:t>6、仪器可连接网线或wiﬁ、快速上传数据，可配置GPRS远传功能，仪器带有监管平台。可将检测数据上传到监管平台，利用平台进行数据监测与数据统计。</w:t>
            </w:r>
          </w:p>
          <w:p>
            <w:pPr>
              <w:bidi w:val="0"/>
            </w:pPr>
            <w:r>
              <w:t>7、4G大容量存储，可随时进行数据查询、浏览、分析、统计、打印等，采用USB2.0接口设计，可随时用U盘考取检测数据，方便数据的存贮和移动。</w:t>
            </w:r>
          </w:p>
          <w:p>
            <w:pPr>
              <w:bidi w:val="0"/>
            </w:pPr>
            <w:r>
              <w:t>8、智能化程度高，仪器具有自检功能：具有开机自检和调零功能，具有自动检测重复性功能。</w:t>
            </w:r>
          </w:p>
          <w:p>
            <w:pPr>
              <w:bidi w:val="0"/>
            </w:pPr>
            <w:r>
              <w:t>9、能分别关闭和打开每个通道，并对使用中的通道属性和样品信息进行编辑。</w:t>
            </w:r>
          </w:p>
          <w:p>
            <w:pPr>
              <w:bidi w:val="0"/>
            </w:pPr>
            <w:r>
              <w:t>10、检测结果可显示酶活性强度，帮助判定有效性，检测结果更加直观。</w:t>
            </w:r>
          </w:p>
          <w:p>
            <w:pPr>
              <w:bidi w:val="0"/>
            </w:pPr>
            <w:r>
              <w:t>11、仪器具有100多种蔬菜名称数据库，直接点击可使用。并且可以编辑蔬菜名称，可直接打印出蔬菜名称。样品名称可自由删除或添加。并且每个通道可自由选择蔬菜名。</w:t>
            </w:r>
          </w:p>
          <w:p>
            <w:pPr>
              <w:bidi w:val="0"/>
            </w:pPr>
            <w:r>
              <w:t>12、汉字录入：内置拼音输入法，可编辑相关中英文信息。</w:t>
            </w:r>
          </w:p>
          <w:p>
            <w:pPr>
              <w:bidi w:val="0"/>
            </w:pPr>
            <w:r>
              <w:t>13、仪器具有语音播报功能，更加人性化与高用户操作体验。</w:t>
            </w:r>
          </w:p>
          <w:p>
            <w:pPr>
              <w:bidi w:val="0"/>
            </w:pPr>
            <w:r>
              <w:t>14、仪器具有自身保护功能，可设置用户名及密码，防止非工作人员操作等。</w:t>
            </w:r>
          </w:p>
          <w:p>
            <w:pPr>
              <w:bidi w:val="0"/>
            </w:pPr>
            <w:r>
              <w:t>15、采用DC12v直流供电，安全系统更高，可配置锂电池，可连接车载电源连接。</w:t>
            </w:r>
          </w:p>
          <w:p>
            <w:pPr>
              <w:bidi w:val="0"/>
            </w:pPr>
            <w:r>
              <w:t>16、仪器具有重新校准、锁定、恢复出厂设置功能。</w:t>
            </w:r>
          </w:p>
          <w:p>
            <w:pPr>
              <w:bidi w:val="0"/>
            </w:pPr>
            <w:r>
              <w:t>17、仪器可选配身份识别功能，检测人员通过刷身份证的方式激活仪器，方便专人专用。</w:t>
            </w:r>
          </w:p>
          <w:p>
            <w:pPr>
              <w:bidi w:val="0"/>
            </w:pPr>
            <w:r>
              <w:t>18、仪器可配置温控加热功能，20-60℃可设定，并在同一界面显示，无需单独加热。</w:t>
            </w:r>
          </w:p>
          <w:p>
            <w:pPr>
              <w:bidi w:val="0"/>
            </w:pPr>
            <w:r>
              <w:t>19、仪器内置详细操作步骤视频，方便现场学习和使用操作。</w:t>
            </w:r>
          </w:p>
          <w:p>
            <w:pPr>
              <w:bidi w:val="0"/>
            </w:pPr>
            <w:r>
              <w:rPr>
                <w:rFonts w:hint="eastAsia" w:ascii="宋体" w:hAnsi="宋体" w:eastAsia="宋体" w:cs="宋体"/>
                <w:sz w:val="24"/>
                <w:szCs w:val="24"/>
              </w:rPr>
              <w:t>★</w:t>
            </w:r>
            <w:r>
              <w:rPr>
                <w:rFonts w:hint="eastAsia"/>
                <w:lang w:val="en-US" w:eastAsia="zh-CN"/>
              </w:rPr>
              <w:t>20</w:t>
            </w:r>
            <w:r>
              <w:t>、具有对各农药标准液：0.02mg/L农药灭多威、0.1mg/L农药西维因(甲萘威)、0.8mg/L农药甲胺磷、0.002mg/L农药呋喃丹(克百威)、0.15mg/L农药马拉硫磷、0.05mg/L农药叶蝉散(异丙威)、0.05mg/L农药敌敌畏出具的酶抑制率。(提供第三方检测报告证明)</w:t>
            </w:r>
          </w:p>
          <w:p>
            <w:pPr>
              <w:bidi w:val="0"/>
            </w:pPr>
            <w:r>
              <w:rPr>
                <w:rFonts w:hint="eastAsia" w:ascii="宋体" w:hAnsi="宋体" w:eastAsia="宋体" w:cs="宋体"/>
                <w:sz w:val="24"/>
                <w:szCs w:val="24"/>
              </w:rPr>
              <w:t>★</w:t>
            </w:r>
            <w:r>
              <w:rPr>
                <w:rFonts w:hint="eastAsia"/>
                <w:lang w:val="en-US" w:eastAsia="zh-CN"/>
              </w:rPr>
              <w:t>21</w:t>
            </w:r>
            <w:r>
              <w:t>、农药残留检测试剂具有对农药标准物质溶液的酶抑制率验证报告。(提供第三方检测报告证明)</w:t>
            </w:r>
          </w:p>
          <w:p>
            <w:pPr>
              <w:bidi w:val="0"/>
            </w:pPr>
            <w:r>
              <w:rPr>
                <w:rFonts w:hint="eastAsia"/>
                <w:lang w:val="en-US" w:eastAsia="zh-CN"/>
              </w:rPr>
              <w:t>22</w:t>
            </w:r>
            <w:r>
              <w:t>、波长配置：国标412nm；</w:t>
            </w:r>
          </w:p>
          <w:p>
            <w:pPr>
              <w:bidi w:val="0"/>
            </w:pPr>
            <w:r>
              <w:rPr>
                <w:rFonts w:hint="eastAsia"/>
                <w:lang w:val="en-US" w:eastAsia="zh-CN"/>
              </w:rPr>
              <w:t>23</w:t>
            </w:r>
            <w:r>
              <w:t>、抑制率显示范围：0%~100%；</w:t>
            </w:r>
          </w:p>
          <w:p>
            <w:pPr>
              <w:bidi w:val="0"/>
            </w:pPr>
            <w:r>
              <w:rPr>
                <w:rFonts w:hint="eastAsia"/>
                <w:lang w:val="en-US" w:eastAsia="zh-CN"/>
              </w:rPr>
              <w:t>24</w:t>
            </w:r>
            <w:r>
              <w:t>、抑制率测量范围：0%~100%；</w:t>
            </w:r>
          </w:p>
          <w:p>
            <w:pPr>
              <w:bidi w:val="0"/>
            </w:pPr>
            <w:r>
              <w:rPr>
                <w:rFonts w:hint="eastAsia"/>
                <w:lang w:val="en-US" w:eastAsia="zh-CN"/>
              </w:rPr>
              <w:t>25</w:t>
            </w:r>
            <w:r>
              <w:t>、透射比准确度：±0.1%；</w:t>
            </w:r>
          </w:p>
          <w:p>
            <w:pPr>
              <w:bidi w:val="0"/>
            </w:pPr>
            <w:r>
              <w:rPr>
                <w:rFonts w:hint="eastAsia"/>
                <w:lang w:val="en-US" w:eastAsia="zh-CN"/>
              </w:rPr>
              <w:t>26</w:t>
            </w:r>
            <w:r>
              <w:t>、透射比重复性：≤0.1%；</w:t>
            </w:r>
          </w:p>
          <w:p>
            <w:pPr>
              <w:bidi w:val="0"/>
            </w:pPr>
            <w:r>
              <w:rPr>
                <w:rFonts w:hint="eastAsia"/>
                <w:lang w:val="en-US" w:eastAsia="zh-CN"/>
              </w:rPr>
              <w:t>27</w:t>
            </w:r>
            <w:r>
              <w:t>、漂移：≤0.005Abs/3min；</w:t>
            </w:r>
          </w:p>
          <w:p>
            <w:pPr>
              <w:bidi w:val="0"/>
            </w:pPr>
            <w:r>
              <w:rPr>
                <w:rFonts w:hint="eastAsia"/>
                <w:lang w:val="en-US" w:eastAsia="zh-CN"/>
              </w:rPr>
              <w:t>28</w:t>
            </w:r>
            <w:r>
              <w:t>、抑制率示值误差：≤5%</w:t>
            </w:r>
          </w:p>
          <w:p>
            <w:pPr>
              <w:bidi w:val="0"/>
            </w:pPr>
            <w:r>
              <w:rPr>
                <w:rFonts w:hint="eastAsia"/>
                <w:lang w:val="en-US" w:eastAsia="zh-CN"/>
              </w:rPr>
              <w:t>29</w:t>
            </w:r>
            <w:r>
              <w:t>、抑制率重复性：≤1%</w:t>
            </w:r>
          </w:p>
          <w:p>
            <w:pPr>
              <w:bidi w:val="0"/>
              <w:rPr>
                <w:rFonts w:hint="eastAsia"/>
                <w:lang w:val="en-US" w:eastAsia="zh-CN"/>
              </w:rPr>
            </w:pPr>
            <w:r>
              <w:rPr>
                <w:rFonts w:hint="eastAsia"/>
                <w:lang w:val="en-US" w:eastAsia="zh-CN"/>
              </w:rPr>
              <w:t>30</w:t>
            </w:r>
            <w:r>
              <w:t>、配置：主机1台、电源1根、说明书1份、合格证1张、小菜板1个、水果刀1把、镊子1个、电子称1台、比色皿10个、离心管10个、小试管10个、玻璃棒1个、试管架1个、试剂瓶1个、移液器1把、移液器1把、枪头6个、枪头10个、洗瓶1个、农残试剂1套、试管刷1个、打印纸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16</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水果酸度计</w:t>
            </w:r>
          </w:p>
        </w:tc>
        <w:tc>
          <w:tcPr>
            <w:tcW w:w="4088" w:type="pct"/>
            <w:shd w:val="clear" w:color="auto" w:fill="auto"/>
            <w:noWrap/>
            <w:vAlign w:val="center"/>
          </w:tcPr>
          <w:p>
            <w:pPr>
              <w:bidi w:val="0"/>
            </w:pPr>
            <w:r>
              <w:t>1.测量范围:低酸度柑橘0.10~4.00%,高酸度柑橘2.50~8.80%,(酸度＝柠檬酸总酸度转换)</w:t>
            </w:r>
          </w:p>
          <w:p>
            <w:pPr>
              <w:bidi w:val="0"/>
            </w:pPr>
            <w:r>
              <w:t>2.测量精度:±0.10%(Acid0.10~1.00%),相对精度±10%(Acid1.01~8.80%)</w:t>
            </w:r>
          </w:p>
          <w:p>
            <w:pPr>
              <w:bidi w:val="0"/>
            </w:pPr>
            <w:r>
              <w:t>3.分辨率:0.01%(0.00~9.99%),0.1%(10.0%或更高)</w:t>
            </w:r>
          </w:p>
          <w:p>
            <w:pPr>
              <w:bidi w:val="0"/>
            </w:pPr>
            <w:r>
              <w:t>4.自动温度补偿范围:10~40°C</w:t>
            </w:r>
          </w:p>
          <w:p>
            <w:pPr>
              <w:bidi w:val="0"/>
            </w:pPr>
            <w:r>
              <w:t>5.电源:AAA碱性电池x2</w:t>
            </w:r>
          </w:p>
          <w:p>
            <w:pPr>
              <w:bidi w:val="0"/>
              <w:rPr>
                <w:rFonts w:hint="eastAsia"/>
                <w:lang w:val="en-US" w:eastAsia="zh-CN"/>
              </w:rPr>
            </w:pPr>
            <w:r>
              <w:t>6.防护等级</w:t>
            </w:r>
            <w:r>
              <w:rPr>
                <w:rFonts w:hint="eastAsia"/>
                <w:lang w:val="en-US" w:eastAsia="zh-CN"/>
              </w:rPr>
              <w:t>I</w:t>
            </w:r>
            <w:r>
              <w:t>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424"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17</w:t>
            </w:r>
          </w:p>
        </w:tc>
        <w:tc>
          <w:tcPr>
            <w:tcW w:w="487" w:type="pct"/>
            <w:shd w:val="clear" w:color="auto" w:fill="auto"/>
            <w:noWrap/>
            <w:vAlign w:val="center"/>
          </w:tcPr>
          <w:p>
            <w:pPr>
              <w:bidi w:val="0"/>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t>土壤养分快速测定仪</w:t>
            </w:r>
          </w:p>
        </w:tc>
        <w:tc>
          <w:tcPr>
            <w:tcW w:w="4088" w:type="pct"/>
            <w:shd w:val="clear" w:color="auto" w:fill="auto"/>
            <w:noWrap/>
            <w:vAlign w:val="center"/>
          </w:tcPr>
          <w:p>
            <w:pPr>
              <w:bidi w:val="0"/>
              <w:rPr>
                <w:rFonts w:ascii="宋体" w:hAnsi="宋体" w:eastAsia="宋体"/>
              </w:rPr>
            </w:pPr>
            <w:r>
              <w:rPr>
                <w:rFonts w:hint="eastAsia"/>
                <w:lang w:val="en-US" w:eastAsia="zh-CN"/>
              </w:rPr>
              <w:t>1.</w:t>
            </w:r>
            <w:r>
              <w:t>无线通</w:t>
            </w:r>
            <w:r>
              <w:rPr>
                <w:rFonts w:ascii="宋体" w:hAnsi="宋体" w:eastAsia="宋体"/>
              </w:rPr>
              <w:t>讯功能：土壤养分快速检测仪支持自动上传测量数据，设备通过5G/4G网络方式与服务器通讯，实时发送至服务器，上网页查看数据，无论身在何处只要能上网，均可查看下载数据；</w:t>
            </w:r>
          </w:p>
          <w:p>
            <w:pPr>
              <w:bidi w:val="0"/>
              <w:rPr>
                <w:rFonts w:ascii="宋体" w:hAnsi="宋体" w:eastAsia="宋体"/>
              </w:rPr>
            </w:pPr>
            <w:r>
              <w:rPr>
                <w:rFonts w:ascii="宋体" w:hAnsi="宋体" w:eastAsia="宋体"/>
              </w:rPr>
              <w:t>2.含手机APP,支持安卓及苹果系统，无论身在何处只要能上网，均可查看实时数据；</w:t>
            </w:r>
          </w:p>
          <w:p>
            <w:pPr>
              <w:bidi w:val="0"/>
              <w:rPr>
                <w:rFonts w:ascii="宋体" w:hAnsi="宋体" w:eastAsia="宋体"/>
              </w:rPr>
            </w:pPr>
            <w:r>
              <w:rPr>
                <w:rFonts w:ascii="宋体" w:hAnsi="宋体" w:eastAsia="宋体"/>
              </w:rPr>
              <w:t>3.低功耗设计，增加系统监控和保护措施，避免系统死机；</w:t>
            </w:r>
          </w:p>
          <w:p>
            <w:pPr>
              <w:bidi w:val="0"/>
            </w:pPr>
            <w:r>
              <w:rPr>
                <w:rFonts w:ascii="宋体" w:hAnsi="宋体" w:eastAsia="宋体"/>
              </w:rPr>
              <w:t>4.中文液晶显示，</w:t>
            </w:r>
            <w:r>
              <w:t>可显示当前日期时间，各传感器测量数据，存储容量，已存储数据条数，等信息；</w:t>
            </w:r>
          </w:p>
          <w:p>
            <w:pPr>
              <w:bidi w:val="0"/>
            </w:pPr>
            <w:r>
              <w:t>5.主机数据存储容量大：设备内部Flash可存储近3万条数据，标配4G内存卡，亦可与Flash中数据同时存储；</w:t>
            </w:r>
          </w:p>
          <w:p>
            <w:pPr>
              <w:bidi w:val="0"/>
            </w:pPr>
            <w:r>
              <w:t>6.内置锂电池供电：7.4V2.8Ah锂电池，具有充电保护、电压过低提示功能。外接电源为8.4V(1000mA以上)直流电源；</w:t>
            </w:r>
          </w:p>
          <w:p>
            <w:pPr>
              <w:bidi w:val="0"/>
            </w:pPr>
            <w:r>
              <w:t>7.采集设置：可在无人看守的情况下使用，可设置定时采集，也可手动采集；</w:t>
            </w:r>
          </w:p>
          <w:p>
            <w:pPr>
              <w:bidi w:val="0"/>
            </w:pPr>
            <w:r>
              <w:t>8.语音设置：可根据需要设置语音播报功能开/关/超限开；</w:t>
            </w:r>
          </w:p>
          <w:p>
            <w:pPr>
              <w:bidi w:val="0"/>
            </w:pPr>
            <w:r>
              <w:t>9.语音报警功能：主机语音设置为超限开后，即可语音播报超限信息；</w:t>
            </w:r>
          </w:p>
          <w:p>
            <w:pPr>
              <w:bidi w:val="0"/>
            </w:pPr>
            <w:r>
              <w:t>10.主机可通过集线器接入不同类型的传感器，互不影响精度；</w:t>
            </w:r>
          </w:p>
          <w:p>
            <w:pPr>
              <w:bidi w:val="0"/>
            </w:pPr>
            <w:r>
              <w:t>11.自带GPS定位功能，数据采集时可自动显示采集点地理坐标；</w:t>
            </w:r>
          </w:p>
          <w:p>
            <w:pPr>
              <w:bidi w:val="0"/>
            </w:pPr>
            <w:r>
              <w:t>12.可扩展传感器类型及数量，最多32个种(扩展线为P67,一体结构)；</w:t>
            </w:r>
          </w:p>
          <w:p>
            <w:pPr>
              <w:bidi w:val="0"/>
              <w:rPr>
                <w:rFonts w:hint="eastAsia"/>
                <w:lang w:val="en-US" w:eastAsia="zh-CN"/>
              </w:rPr>
            </w:pPr>
            <w:r>
              <w:t>13.土壤氮磷钾范围：0~1999mg/kg，精度：士2%F.s，分辨率：1mg/kg；</w:t>
            </w:r>
          </w:p>
        </w:tc>
      </w:tr>
    </w:tbl>
    <w:p>
      <w:pPr>
        <w:spacing w:line="360" w:lineRule="auto"/>
        <w:ind w:left="0" w:leftChars="0" w:firstLine="0" w:firstLineChars="0"/>
        <w:rPr>
          <w:rFonts w:hint="eastAsia" w:ascii="宋体" w:hAnsi="宋体" w:eastAsia="宋体" w:cs="宋体"/>
          <w:sz w:val="24"/>
          <w:szCs w:val="24"/>
        </w:rPr>
      </w:pPr>
    </w:p>
    <w:p>
      <w:pPr>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b/>
          <w:bCs/>
          <w:sz w:val="24"/>
          <w:szCs w:val="24"/>
        </w:rPr>
        <w:t>三、商务要求</w:t>
      </w:r>
    </w:p>
    <w:p>
      <w:pPr>
        <w:spacing w:line="480" w:lineRule="exact"/>
        <w:ind w:firstLine="482" w:firstLineChars="20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w:t>
      </w:r>
      <w:r>
        <w:rPr>
          <w:rFonts w:hint="eastAsia" w:cs="宋体"/>
          <w:b/>
          <w:bCs/>
          <w:color w:val="000000"/>
          <w:sz w:val="24"/>
          <w:szCs w:val="24"/>
          <w:lang w:val="en-US" w:eastAsia="zh-CN"/>
        </w:rPr>
        <w:t>交货</w:t>
      </w:r>
      <w:r>
        <w:rPr>
          <w:rFonts w:hint="eastAsia" w:ascii="宋体" w:hAnsi="宋体" w:eastAsia="宋体" w:cs="宋体"/>
          <w:b/>
          <w:bCs/>
          <w:color w:val="000000"/>
          <w:sz w:val="24"/>
          <w:szCs w:val="24"/>
        </w:rPr>
        <w:t>期限：</w:t>
      </w:r>
      <w:r>
        <w:rPr>
          <w:rFonts w:hint="eastAsia" w:ascii="宋体" w:hAnsi="宋体" w:eastAsia="宋体" w:cs="宋体"/>
          <w:sz w:val="24"/>
          <w:szCs w:val="24"/>
        </w:rPr>
        <w:t>合同签订之日起</w:t>
      </w:r>
      <w:r>
        <w:rPr>
          <w:rFonts w:hint="eastAsia" w:cs="宋体"/>
          <w:sz w:val="24"/>
          <w:szCs w:val="24"/>
          <w:lang w:val="en-US" w:eastAsia="zh-CN"/>
        </w:rPr>
        <w:t>30日内完成交货及安装</w:t>
      </w:r>
      <w:r>
        <w:rPr>
          <w:rFonts w:hint="eastAsia" w:ascii="宋体" w:hAnsi="宋体" w:eastAsia="宋体" w:cs="宋体"/>
          <w:sz w:val="24"/>
          <w:szCs w:val="24"/>
        </w:rPr>
        <w:t>。</w:t>
      </w:r>
    </w:p>
    <w:p>
      <w:pPr>
        <w:spacing w:line="480" w:lineRule="exact"/>
        <w:ind w:firstLine="482" w:firstLineChars="20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w:t>
      </w:r>
      <w:r>
        <w:rPr>
          <w:rFonts w:hint="eastAsia" w:cs="宋体"/>
          <w:b/>
          <w:bCs/>
          <w:color w:val="000000"/>
          <w:sz w:val="24"/>
          <w:szCs w:val="24"/>
          <w:lang w:val="en-US" w:eastAsia="zh-CN"/>
        </w:rPr>
        <w:t>交货</w:t>
      </w:r>
      <w:r>
        <w:rPr>
          <w:rFonts w:hint="eastAsia" w:ascii="宋体" w:hAnsi="宋体" w:eastAsia="宋体" w:cs="宋体"/>
          <w:b/>
          <w:bCs/>
          <w:color w:val="000000"/>
          <w:sz w:val="24"/>
          <w:szCs w:val="24"/>
        </w:rPr>
        <w:t>地点：</w:t>
      </w:r>
      <w:r>
        <w:rPr>
          <w:rFonts w:hint="eastAsia" w:ascii="宋体" w:hAnsi="宋体" w:cs="宋体"/>
          <w:sz w:val="24"/>
          <w:highlight w:val="none"/>
          <w:lang w:eastAsia="zh-CN"/>
        </w:rPr>
        <w:t>仁寿县怀仁街道城北大道2号</w:t>
      </w:r>
      <w:r>
        <w:rPr>
          <w:rFonts w:hint="eastAsia" w:ascii="宋体" w:hAnsi="宋体" w:eastAsia="宋体" w:cs="宋体"/>
          <w:sz w:val="24"/>
          <w:szCs w:val="24"/>
          <w:lang w:val="en-US" w:eastAsia="zh-CN"/>
        </w:rPr>
        <w:t>。</w:t>
      </w:r>
    </w:p>
    <w:p>
      <w:pPr>
        <w:spacing w:line="480" w:lineRule="exact"/>
        <w:ind w:firstLine="482" w:firstLineChars="20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w:t>
      </w:r>
      <w:r>
        <w:rPr>
          <w:rFonts w:hint="eastAsia" w:cs="宋体"/>
          <w:b/>
          <w:bCs/>
          <w:color w:val="000000"/>
          <w:sz w:val="24"/>
          <w:szCs w:val="24"/>
          <w:lang w:val="en-US" w:eastAsia="zh-CN"/>
        </w:rPr>
        <w:t>三</w:t>
      </w:r>
      <w:r>
        <w:rPr>
          <w:rFonts w:hint="eastAsia" w:ascii="宋体" w:hAnsi="宋体" w:eastAsia="宋体" w:cs="宋体"/>
          <w:b/>
          <w:bCs/>
          <w:color w:val="000000"/>
          <w:sz w:val="24"/>
          <w:szCs w:val="24"/>
        </w:rPr>
        <w:t>）付款方式：</w:t>
      </w:r>
    </w:p>
    <w:p>
      <w:pPr>
        <w:numPr>
          <w:ilvl w:val="0"/>
          <w:numId w:val="3"/>
        </w:numPr>
        <w:spacing w:line="520" w:lineRule="exact"/>
        <w:ind w:left="0"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合同签订后，采购人收到供应商开具的发票后15日内，支付合同总金额的</w:t>
      </w:r>
      <w:r>
        <w:rPr>
          <w:rFonts w:hint="eastAsia" w:cs="宋体"/>
          <w:color w:val="000000"/>
          <w:sz w:val="24"/>
          <w:szCs w:val="24"/>
          <w:lang w:val="en-US" w:eastAsia="zh-CN"/>
        </w:rPr>
        <w:t>30</w:t>
      </w:r>
      <w:r>
        <w:rPr>
          <w:rFonts w:hint="eastAsia" w:ascii="宋体" w:hAnsi="宋体" w:eastAsia="宋体" w:cs="宋体"/>
          <w:color w:val="000000"/>
          <w:sz w:val="24"/>
          <w:szCs w:val="24"/>
        </w:rPr>
        <w:t>%；</w:t>
      </w:r>
      <w:r>
        <w:rPr>
          <w:rFonts w:hint="eastAsia" w:cs="宋体"/>
          <w:color w:val="000000"/>
          <w:sz w:val="24"/>
          <w:szCs w:val="24"/>
          <w:lang w:val="en-US" w:eastAsia="zh-CN"/>
        </w:rPr>
        <w:t>项目经</w:t>
      </w:r>
      <w:r>
        <w:rPr>
          <w:rFonts w:hint="eastAsia" w:ascii="宋体" w:hAnsi="宋体" w:eastAsia="宋体" w:cs="宋体"/>
          <w:color w:val="000000"/>
          <w:sz w:val="24"/>
          <w:szCs w:val="24"/>
        </w:rPr>
        <w:t>采购人</w:t>
      </w:r>
      <w:r>
        <w:rPr>
          <w:rFonts w:hint="eastAsia" w:cs="宋体"/>
          <w:color w:val="000000"/>
          <w:sz w:val="24"/>
          <w:szCs w:val="24"/>
          <w:lang w:val="en-US" w:eastAsia="zh-CN"/>
        </w:rPr>
        <w:t>验收合格且</w:t>
      </w:r>
      <w:r>
        <w:rPr>
          <w:rFonts w:hint="eastAsia" w:ascii="宋体" w:hAnsi="宋体" w:eastAsia="宋体" w:cs="宋体"/>
          <w:color w:val="000000"/>
          <w:sz w:val="24"/>
          <w:szCs w:val="24"/>
        </w:rPr>
        <w:t>收到供应商开具的发票后15日内，支付合同总金额的</w:t>
      </w:r>
      <w:r>
        <w:rPr>
          <w:rFonts w:hint="eastAsia" w:cs="宋体"/>
          <w:color w:val="000000"/>
          <w:sz w:val="24"/>
          <w:szCs w:val="24"/>
          <w:lang w:val="en-US" w:eastAsia="zh-CN"/>
        </w:rPr>
        <w:t>7</w:t>
      </w:r>
      <w:r>
        <w:rPr>
          <w:rFonts w:hint="eastAsia" w:ascii="宋体" w:hAnsi="宋体" w:eastAsia="宋体" w:cs="宋体"/>
          <w:color w:val="000000"/>
          <w:sz w:val="24"/>
          <w:szCs w:val="24"/>
        </w:rPr>
        <w:t>0%</w:t>
      </w:r>
      <w:r>
        <w:rPr>
          <w:rFonts w:hint="eastAsia" w:ascii="宋体" w:hAnsi="宋体" w:eastAsia="宋体" w:cs="宋体"/>
          <w:color w:val="000000"/>
          <w:sz w:val="24"/>
          <w:szCs w:val="24"/>
          <w:lang w:eastAsia="zh-CN"/>
        </w:rPr>
        <w:t>。</w:t>
      </w:r>
    </w:p>
    <w:p>
      <w:pPr>
        <w:spacing w:line="520" w:lineRule="exact"/>
        <w:ind w:firstLine="480" w:firstLineChars="200"/>
        <w:jc w:val="left"/>
        <w:rPr>
          <w:rFonts w:hint="eastAsia" w:cs="宋体"/>
          <w:color w:val="000000"/>
          <w:sz w:val="24"/>
          <w:szCs w:val="24"/>
          <w:lang w:val="en-US" w:eastAsia="zh-CN"/>
        </w:rPr>
      </w:pPr>
      <w:r>
        <w:rPr>
          <w:rFonts w:hint="eastAsia" w:ascii="宋体" w:hAnsi="宋体" w:eastAsia="宋体" w:cs="宋体"/>
          <w:color w:val="000000"/>
          <w:sz w:val="24"/>
          <w:szCs w:val="24"/>
        </w:rPr>
        <w:t>2、采购人每次付款前，成交人须向采购人出具合法有效完整的等额正规发票及凭证资料进行支付结算，因成交人原因延迟出具完税发票的，采购人付款时间相应顺延。</w:t>
      </w:r>
    </w:p>
    <w:p>
      <w:pPr>
        <w:spacing w:line="480" w:lineRule="exact"/>
        <w:ind w:firstLine="482" w:firstLineChars="20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四</w:t>
      </w:r>
      <w:r>
        <w:rPr>
          <w:rFonts w:hint="eastAsia" w:ascii="宋体" w:hAnsi="宋体" w:eastAsia="宋体" w:cs="宋体"/>
          <w:b/>
          <w:bCs/>
          <w:color w:val="000000"/>
          <w:sz w:val="24"/>
          <w:szCs w:val="24"/>
        </w:rPr>
        <w:t>）验收</w:t>
      </w:r>
      <w:r>
        <w:rPr>
          <w:rFonts w:hint="eastAsia" w:ascii="宋体" w:hAnsi="宋体" w:eastAsia="宋体" w:cs="宋体"/>
          <w:b/>
          <w:bCs/>
          <w:color w:val="000000"/>
          <w:sz w:val="24"/>
          <w:szCs w:val="24"/>
          <w:lang w:val="en-US" w:eastAsia="zh-CN"/>
        </w:rPr>
        <w:t>标准和方法</w:t>
      </w:r>
      <w:r>
        <w:rPr>
          <w:rFonts w:hint="eastAsia" w:ascii="宋体" w:hAnsi="宋体" w:eastAsia="宋体" w:cs="宋体"/>
          <w:b/>
          <w:bCs/>
          <w:color w:val="000000"/>
          <w:sz w:val="24"/>
          <w:szCs w:val="24"/>
        </w:rPr>
        <w:t>：</w:t>
      </w:r>
    </w:p>
    <w:p>
      <w:pPr>
        <w:spacing w:line="48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1、验收主体：采购人。</w:t>
      </w:r>
    </w:p>
    <w:p>
      <w:pPr>
        <w:spacing w:line="48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2、验收时间：供应</w:t>
      </w:r>
      <w:r>
        <w:rPr>
          <w:rFonts w:hint="eastAsia" w:ascii="宋体" w:hAnsi="宋体" w:eastAsia="宋体" w:cs="宋体"/>
          <w:spacing w:val="-4"/>
          <w:sz w:val="24"/>
          <w:szCs w:val="24"/>
        </w:rPr>
        <w:t xml:space="preserve">商提出验收申请之日起 </w:t>
      </w:r>
      <w:r>
        <w:rPr>
          <w:rFonts w:hint="eastAsia" w:ascii="宋体" w:hAnsi="宋体" w:eastAsia="宋体" w:cs="宋体"/>
          <w:sz w:val="24"/>
          <w:szCs w:val="24"/>
          <w:lang w:val="en-US" w:eastAsia="zh-CN"/>
        </w:rPr>
        <w:t>15</w:t>
      </w:r>
      <w:r>
        <w:rPr>
          <w:rFonts w:hint="eastAsia" w:ascii="宋体" w:hAnsi="宋体" w:eastAsia="宋体" w:cs="宋体"/>
          <w:spacing w:val="-8"/>
          <w:sz w:val="24"/>
          <w:szCs w:val="24"/>
        </w:rPr>
        <w:t xml:space="preserve"> 日内组织验收</w:t>
      </w:r>
      <w:r>
        <w:rPr>
          <w:rFonts w:hint="eastAsia" w:ascii="宋体" w:hAnsi="宋体" w:eastAsia="宋体" w:cs="宋体"/>
          <w:color w:val="000000"/>
          <w:sz w:val="24"/>
          <w:szCs w:val="24"/>
        </w:rPr>
        <w:t>。</w:t>
      </w:r>
    </w:p>
    <w:p>
      <w:pPr>
        <w:spacing w:line="48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验收程序、方式和标准：严格按照政府采购相关法律法规以及《财政部关于进一步加强政府采购需求和履约验收管理的指导意见》(财库〔2016〕205号)、《政府采购需求管理办法》（财库〔2021〕22号）的要求，根据</w:t>
      </w:r>
      <w:r>
        <w:rPr>
          <w:rFonts w:hint="eastAsia" w:ascii="宋体" w:hAnsi="宋体" w:eastAsia="宋体" w:cs="宋体"/>
          <w:color w:val="000000"/>
          <w:sz w:val="24"/>
          <w:szCs w:val="24"/>
          <w:lang w:val="en-US" w:eastAsia="zh-CN"/>
        </w:rPr>
        <w:t>谈判</w:t>
      </w:r>
      <w:r>
        <w:rPr>
          <w:rFonts w:hint="eastAsia" w:ascii="宋体" w:hAnsi="宋体" w:eastAsia="宋体" w:cs="宋体"/>
          <w:color w:val="000000"/>
          <w:sz w:val="24"/>
          <w:szCs w:val="24"/>
        </w:rPr>
        <w:t>文件的要求、供应商的响应文件承诺以及合同约定进行验收。</w:t>
      </w:r>
    </w:p>
    <w:p>
      <w:pPr>
        <w:spacing w:line="480" w:lineRule="exact"/>
        <w:ind w:firstLine="482" w:firstLineChars="20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五</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包装方式及运输</w:t>
      </w:r>
    </w:p>
    <w:p>
      <w:pPr>
        <w:spacing w:line="480" w:lineRule="exact"/>
        <w:ind w:firstLine="480" w:firstLineChars="200"/>
        <w:jc w:val="left"/>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numPr>
          <w:ilvl w:val="0"/>
          <w:numId w:val="4"/>
        </w:numPr>
        <w:spacing w:line="480" w:lineRule="exact"/>
        <w:ind w:firstLine="482" w:firstLineChars="200"/>
        <w:jc w:val="left"/>
        <w:rPr>
          <w:b/>
          <w:sz w:val="24"/>
        </w:rPr>
      </w:pPr>
      <w:r>
        <w:rPr>
          <w:b/>
          <w:sz w:val="24"/>
        </w:rPr>
        <w:t>质量保修范围和保修期</w:t>
      </w:r>
    </w:p>
    <w:p>
      <w:pPr>
        <w:pStyle w:val="11"/>
        <w:numPr>
          <w:ilvl w:val="0"/>
          <w:numId w:val="5"/>
        </w:numPr>
        <w:tabs>
          <w:tab w:val="left" w:pos="1276"/>
        </w:tabs>
        <w:adjustRightInd w:val="0"/>
        <w:snapToGrid w:val="0"/>
        <w:spacing w:line="480" w:lineRule="exact"/>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质量保修范围：本项目供货的全部产品（包含随机配件）。</w:t>
      </w:r>
    </w:p>
    <w:p>
      <w:pPr>
        <w:pStyle w:val="11"/>
        <w:numPr>
          <w:ilvl w:val="0"/>
          <w:numId w:val="0"/>
        </w:numPr>
        <w:tabs>
          <w:tab w:val="left" w:pos="1276"/>
        </w:tabs>
        <w:adjustRightInd w:val="0"/>
        <w:snapToGrid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2、保修期：验收合格之日起一年。</w:t>
      </w:r>
    </w:p>
    <w:p>
      <w:pPr>
        <w:numPr>
          <w:ilvl w:val="0"/>
          <w:numId w:val="4"/>
        </w:numPr>
        <w:spacing w:line="480" w:lineRule="exact"/>
        <w:ind w:left="0" w:leftChars="0" w:firstLine="482" w:firstLineChars="200"/>
        <w:jc w:val="left"/>
        <w:rPr>
          <w:b/>
          <w:sz w:val="24"/>
        </w:rPr>
      </w:pPr>
      <w:r>
        <w:rPr>
          <w:b/>
          <w:sz w:val="24"/>
        </w:rPr>
        <w:t>违约责任及解决争议的方法</w:t>
      </w:r>
    </w:p>
    <w:p>
      <w:pPr>
        <w:pStyle w:val="11"/>
        <w:tabs>
          <w:tab w:val="left" w:pos="1276"/>
        </w:tabs>
        <w:adjustRightInd w:val="0"/>
        <w:snapToGrid w:val="0"/>
        <w:spacing w:line="480" w:lineRule="exact"/>
        <w:ind w:firstLine="480"/>
        <w:rPr>
          <w:rFonts w:hint="eastAsia" w:ascii="宋体" w:hAnsi="宋体" w:eastAsia="宋体" w:cs="宋体"/>
          <w:sz w:val="24"/>
          <w:szCs w:val="24"/>
        </w:rPr>
      </w:pPr>
      <w:r>
        <w:rPr>
          <w:rFonts w:hint="eastAsia" w:ascii="宋体" w:hAnsi="宋体" w:eastAsia="宋体" w:cs="宋体"/>
          <w:sz w:val="24"/>
          <w:szCs w:val="24"/>
        </w:rPr>
        <w:t>1、采购人及供应商双方必须遵守采购合同并执行合同中的各项规定，保证采购合同的正常履行。任何一方违约给对方造成的直接损失均负有赔偿责任，对方均有权视情况要求对方继续履行合同或提出解除合同。</w:t>
      </w:r>
    </w:p>
    <w:p>
      <w:pPr>
        <w:pStyle w:val="11"/>
        <w:tabs>
          <w:tab w:val="left" w:pos="1276"/>
        </w:tabs>
        <w:adjustRightInd w:val="0"/>
        <w:snapToGrid w:val="0"/>
        <w:spacing w:line="480" w:lineRule="exact"/>
        <w:ind w:firstLine="480"/>
        <w:rPr>
          <w:rFonts w:hint="eastAsia" w:ascii="宋体" w:hAnsi="宋体" w:eastAsia="宋体" w:cs="宋体"/>
          <w:sz w:val="24"/>
          <w:szCs w:val="24"/>
        </w:rPr>
      </w:pPr>
      <w:r>
        <w:rPr>
          <w:rFonts w:hint="eastAsia" w:ascii="宋体" w:hAnsi="宋体" w:eastAsia="宋体" w:cs="宋体"/>
          <w:sz w:val="24"/>
          <w:szCs w:val="24"/>
        </w:rPr>
        <w:t>2、如因供应商在履行过程中的疏忽、失职、过错等故意或者过失原因给采购人造成损失或侵害，包括但不限于采购人本身的财产损失、由此而导致的采购人对任何第三方的法律责任等，供应商对此均应承担全部的赔偿责任。</w:t>
      </w:r>
    </w:p>
    <w:p>
      <w:pPr>
        <w:pStyle w:val="11"/>
        <w:tabs>
          <w:tab w:val="left" w:pos="1284"/>
        </w:tabs>
        <w:adjustRightInd w:val="0"/>
        <w:snapToGrid w:val="0"/>
        <w:spacing w:line="480" w:lineRule="exact"/>
        <w:ind w:firstLine="480"/>
        <w:jc w:val="left"/>
        <w:rPr>
          <w:rFonts w:hint="eastAsia" w:ascii="宋体" w:hAnsi="宋体" w:eastAsia="宋体" w:cs="宋体"/>
          <w:sz w:val="24"/>
          <w:szCs w:val="24"/>
        </w:rPr>
      </w:pPr>
      <w:r>
        <w:rPr>
          <w:rFonts w:hint="eastAsia" w:ascii="宋体" w:hAnsi="宋体" w:eastAsia="宋体" w:cs="宋体"/>
          <w:sz w:val="24"/>
          <w:szCs w:val="24"/>
        </w:rPr>
        <w:t>3、如供应商提交的成果达不到相关质量要求或未按采购人时间进度安排完成成果，采购人有权扣除合同支付金额和提出解除合同。</w:t>
      </w:r>
    </w:p>
    <w:p>
      <w:pPr>
        <w:pStyle w:val="11"/>
        <w:tabs>
          <w:tab w:val="left" w:pos="1276"/>
        </w:tabs>
        <w:adjustRightInd w:val="0"/>
        <w:snapToGrid w:val="0"/>
        <w:spacing w:line="480" w:lineRule="exact"/>
        <w:ind w:firstLine="480"/>
        <w:rPr>
          <w:rFonts w:hint="eastAsia" w:ascii="宋体" w:hAnsi="宋体" w:eastAsia="宋体" w:cs="宋体"/>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sz w:val="24"/>
          <w:szCs w:val="24"/>
        </w:rPr>
        <w:t>采购人及供应商双方就采购合同所产生的任何争议都应该进行友好协商，协商解决不成的，任何一方均可向采购人住所地人民法院提起诉讼。</w:t>
      </w:r>
    </w:p>
    <w:p>
      <w:pPr>
        <w:spacing w:line="480" w:lineRule="exact"/>
        <w:ind w:left="0" w:leftChars="0" w:firstLine="0" w:firstLineChars="0"/>
        <w:jc w:val="left"/>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四、其他要求</w:t>
      </w:r>
    </w:p>
    <w:p>
      <w:pPr>
        <w:pStyle w:val="11"/>
        <w:tabs>
          <w:tab w:val="left" w:pos="1276"/>
        </w:tabs>
        <w:adjustRightInd w:val="0"/>
        <w:snapToGrid w:val="0"/>
        <w:spacing w:line="480" w:lineRule="exact"/>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1、供应商须提供全新的货物（含零部件、配件等），表面无划伤、无碰撞痕迹，且权属清楚，不得侵害他人的知识产权。</w:t>
      </w:r>
    </w:p>
    <w:p>
      <w:pPr>
        <w:pStyle w:val="11"/>
        <w:tabs>
          <w:tab w:val="left" w:pos="1276"/>
        </w:tabs>
        <w:adjustRightInd w:val="0"/>
        <w:snapToGrid w:val="0"/>
        <w:spacing w:line="480" w:lineRule="exact"/>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2、货物质量必须符合或优于国家相关（行业）标准及项目需求。</w:t>
      </w:r>
    </w:p>
    <w:p>
      <w:pPr>
        <w:pStyle w:val="11"/>
        <w:tabs>
          <w:tab w:val="left" w:pos="1276"/>
        </w:tabs>
        <w:adjustRightInd w:val="0"/>
        <w:snapToGrid w:val="0"/>
        <w:spacing w:line="480" w:lineRule="exact"/>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3、其他未尽事宜：以国家现行法律、法规，规范、标准以及双方签订的合同为准。（如本项目采用相关法律、法规及规范、标准发生矛盾时，以最新法律法规及规范、标准执行。）</w:t>
      </w:r>
    </w:p>
    <w:p>
      <w:pPr>
        <w:spacing w:line="480" w:lineRule="exact"/>
        <w:ind w:firstLine="482" w:firstLineChars="200"/>
        <w:jc w:val="left"/>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rPr>
          <w:rFonts w:hint="eastAsia"/>
        </w:rPr>
      </w:pPr>
    </w:p>
    <w:p>
      <w:pPr>
        <w:spacing w:line="360" w:lineRule="auto"/>
        <w:ind w:firstLine="482" w:firstLineChars="200"/>
        <w:rPr>
          <w:rFonts w:hint="eastAsia" w:ascii="宋体" w:hAnsi="宋体" w:eastAsia="宋体" w:cs="宋体"/>
          <w:lang w:eastAsia="zh-CN"/>
        </w:rPr>
      </w:pPr>
      <w:r>
        <w:rPr>
          <w:rFonts w:hint="eastAsia" w:ascii="宋体" w:hAnsi="宋体" w:eastAsia="宋体" w:cs="宋体"/>
          <w:b/>
          <w:bCs/>
        </w:rPr>
        <w:t>注：</w:t>
      </w:r>
      <w:r>
        <w:rPr>
          <w:rFonts w:hint="eastAsia" w:ascii="宋体" w:hAnsi="宋体" w:eastAsia="宋体" w:cs="宋体"/>
          <w:lang w:val="en-US" w:eastAsia="zh-CN"/>
        </w:rPr>
        <w:t>1、</w:t>
      </w:r>
      <w:r>
        <w:rPr>
          <w:rFonts w:hint="eastAsia" w:ascii="宋体" w:hAnsi="宋体" w:eastAsia="宋体" w:cs="宋体"/>
          <w:lang w:eastAsia="zh-CN"/>
        </w:rPr>
        <w:t>本章节内容</w:t>
      </w:r>
      <w:r>
        <w:rPr>
          <w:rFonts w:hint="eastAsia" w:ascii="宋体" w:hAnsi="宋体" w:eastAsia="宋体" w:cs="宋体"/>
        </w:rPr>
        <w:t>在</w:t>
      </w:r>
      <w:r>
        <w:rPr>
          <w:rFonts w:hint="eastAsia" w:ascii="宋体" w:hAnsi="宋体" w:eastAsia="宋体" w:cs="宋体"/>
          <w:lang w:eastAsia="zh-CN"/>
        </w:rPr>
        <w:t>谈判</w:t>
      </w:r>
      <w:r>
        <w:rPr>
          <w:rFonts w:hint="eastAsia" w:ascii="宋体" w:hAnsi="宋体" w:eastAsia="宋体" w:cs="宋体"/>
        </w:rPr>
        <w:t>过程中，</w:t>
      </w:r>
      <w:r>
        <w:rPr>
          <w:rFonts w:hint="eastAsia" w:ascii="宋体" w:hAnsi="宋体" w:eastAsia="宋体" w:cs="宋体"/>
          <w:lang w:eastAsia="zh-CN"/>
        </w:rPr>
        <w:t>谈判</w:t>
      </w:r>
      <w:r>
        <w:rPr>
          <w:rFonts w:hint="eastAsia" w:ascii="宋体" w:hAnsi="宋体" w:eastAsia="宋体" w:cs="宋体"/>
        </w:rPr>
        <w:t>小组在获得采购人代表确认的前提下，可以根据</w:t>
      </w:r>
      <w:r>
        <w:rPr>
          <w:rFonts w:hint="eastAsia" w:ascii="宋体" w:hAnsi="宋体" w:eastAsia="宋体" w:cs="宋体"/>
          <w:lang w:eastAsia="zh-CN"/>
        </w:rPr>
        <w:t>谈判</w:t>
      </w:r>
      <w:r>
        <w:rPr>
          <w:rFonts w:hint="eastAsia" w:ascii="宋体" w:hAnsi="宋体" w:eastAsia="宋体" w:cs="宋体"/>
        </w:rPr>
        <w:t>情况实质性变动相关内容。</w:t>
      </w:r>
      <w:r>
        <w:rPr>
          <w:rFonts w:hint="eastAsia" w:ascii="宋体" w:hAnsi="宋体" w:eastAsia="宋体" w:cs="宋体"/>
          <w:lang w:eastAsia="zh-CN"/>
        </w:rPr>
        <w:t>谈判</w:t>
      </w:r>
      <w:r>
        <w:rPr>
          <w:rFonts w:hint="eastAsia" w:ascii="宋体" w:hAnsi="宋体" w:eastAsia="宋体" w:cs="宋体"/>
        </w:rPr>
        <w:t>小组对</w:t>
      </w:r>
      <w:r>
        <w:rPr>
          <w:rFonts w:hint="eastAsia" w:ascii="宋体" w:hAnsi="宋体" w:eastAsia="宋体" w:cs="宋体"/>
          <w:lang w:eastAsia="zh-CN"/>
        </w:rPr>
        <w:t>谈判</w:t>
      </w:r>
      <w:r>
        <w:rPr>
          <w:rFonts w:hint="eastAsia" w:ascii="宋体" w:hAnsi="宋体" w:eastAsia="宋体" w:cs="宋体"/>
        </w:rPr>
        <w:t>文件作出的实质性变动是</w:t>
      </w:r>
      <w:r>
        <w:rPr>
          <w:rFonts w:hint="eastAsia" w:ascii="宋体" w:hAnsi="宋体" w:eastAsia="宋体" w:cs="宋体"/>
          <w:lang w:eastAsia="zh-CN"/>
        </w:rPr>
        <w:t>谈判</w:t>
      </w:r>
      <w:r>
        <w:rPr>
          <w:rFonts w:hint="eastAsia" w:ascii="宋体" w:hAnsi="宋体" w:eastAsia="宋体" w:cs="宋体"/>
        </w:rPr>
        <w:t>文件的有效组成部分</w:t>
      </w:r>
      <w:r>
        <w:rPr>
          <w:rFonts w:hint="eastAsia" w:ascii="宋体" w:hAnsi="宋体" w:eastAsia="宋体" w:cs="宋体"/>
          <w:lang w:eastAsia="zh-CN"/>
        </w:rPr>
        <w:t>。</w:t>
      </w:r>
    </w:p>
    <w:p>
      <w:pPr>
        <w:spacing w:line="360" w:lineRule="auto"/>
        <w:ind w:firstLine="480" w:firstLineChars="200"/>
        <w:rPr>
          <w:rFonts w:hint="eastAsia" w:ascii="宋体" w:hAnsi="宋体"/>
        </w:rPr>
      </w:pPr>
      <w:r>
        <w:rPr>
          <w:rFonts w:hint="eastAsia" w:ascii="宋体" w:hAnsi="宋体"/>
          <w:lang w:val="en-US" w:eastAsia="zh-CN"/>
        </w:rPr>
        <w:t>2、以上打★号的为本次采购项目的实质性要求，不允许有负偏离，否则作无效响应处理。</w:t>
      </w:r>
    </w:p>
    <w:p>
      <w:pPr>
        <w:pStyle w:val="2"/>
        <w:rPr>
          <w:rFonts w:hint="default"/>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2491105</wp:posOffset>
              </wp:positionH>
              <wp:positionV relativeFrom="paragraph">
                <wp:posOffset>12065</wp:posOffset>
              </wp:positionV>
              <wp:extent cx="565785" cy="2165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5785" cy="216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6.15pt;margin-top:0.95pt;height:17.05pt;width:44.55pt;mso-position-horizontal-relative:margin;z-index:251659264;mso-width-relative:page;mso-height-relative:page;" filled="f" stroked="f" coordsize="21600,21600" o:gfxdata="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8BAro1gAAAAgBAAAPAAAAAAAAAAEAIAAAACIAAABkcnMvZG93bnJl&#10;di54bWxQSwECFAAUAAAACACHTuJATKrF3DgCAABhBAAADgAAAAAAAAABACAAAAAlAQAAZHJzL2Uy&#10;b0RvYy54bWxQSwUGAAAAAAYABgBZAQAAzwUAAAAA&#10;">
              <v:fill on="f" focussize="0,0"/>
              <v:stroke on="f" weight="0.5pt"/>
              <v:imagedata o:title=""/>
              <o:lock v:ext="edit" aspectratio="f"/>
              <v:textbox inset="0mm,0mm,0mm,0mm">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60D2B"/>
    <w:multiLevelType w:val="singleLevel"/>
    <w:tmpl w:val="88A60D2B"/>
    <w:lvl w:ilvl="0" w:tentative="0">
      <w:start w:val="2"/>
      <w:numFmt w:val="chineseCounting"/>
      <w:suff w:val="nothing"/>
      <w:lvlText w:val="（%1）"/>
      <w:lvlJc w:val="left"/>
      <w:rPr>
        <w:rFonts w:hint="eastAsia"/>
      </w:rPr>
    </w:lvl>
  </w:abstractNum>
  <w:abstractNum w:abstractNumId="1">
    <w:nsid w:val="9467A8EA"/>
    <w:multiLevelType w:val="singleLevel"/>
    <w:tmpl w:val="9467A8EA"/>
    <w:lvl w:ilvl="0" w:tentative="0">
      <w:start w:val="6"/>
      <w:numFmt w:val="chineseCounting"/>
      <w:suff w:val="nothing"/>
      <w:lvlText w:val="（%1）"/>
      <w:lvlJc w:val="left"/>
      <w:rPr>
        <w:rFonts w:hint="eastAsia"/>
      </w:rPr>
    </w:lvl>
  </w:abstractNum>
  <w:abstractNum w:abstractNumId="2">
    <w:nsid w:val="96121581"/>
    <w:multiLevelType w:val="singleLevel"/>
    <w:tmpl w:val="96121581"/>
    <w:lvl w:ilvl="0" w:tentative="0">
      <w:start w:val="1"/>
      <w:numFmt w:val="decimal"/>
      <w:suff w:val="nothing"/>
      <w:lvlText w:val="%1、"/>
      <w:lvlJc w:val="left"/>
    </w:lvl>
  </w:abstractNum>
  <w:abstractNum w:abstractNumId="3">
    <w:nsid w:val="97E869FC"/>
    <w:multiLevelType w:val="singleLevel"/>
    <w:tmpl w:val="97E869FC"/>
    <w:lvl w:ilvl="0" w:tentative="0">
      <w:start w:val="1"/>
      <w:numFmt w:val="decimal"/>
      <w:suff w:val="nothing"/>
      <w:lvlText w:val="%1、"/>
      <w:lvlJc w:val="left"/>
      <w:pPr>
        <w:ind w:left="-157"/>
      </w:pPr>
    </w:lvl>
  </w:abstractNum>
  <w:abstractNum w:abstractNumId="4">
    <w:nsid w:val="B9F1C154"/>
    <w:multiLevelType w:val="singleLevel"/>
    <w:tmpl w:val="B9F1C154"/>
    <w:lvl w:ilvl="0" w:tentative="0">
      <w:start w:val="1"/>
      <w:numFmt w:val="decimal"/>
      <w:lvlText w:val="%1."/>
      <w:lvlJc w:val="left"/>
      <w:pPr>
        <w:tabs>
          <w:tab w:val="left" w:pos="312"/>
        </w:tabs>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003D21B2"/>
    <w:rsid w:val="004C0647"/>
    <w:rsid w:val="00522102"/>
    <w:rsid w:val="00B22ED5"/>
    <w:rsid w:val="011949CD"/>
    <w:rsid w:val="016519C1"/>
    <w:rsid w:val="027F4D04"/>
    <w:rsid w:val="02EE59E6"/>
    <w:rsid w:val="03C03826"/>
    <w:rsid w:val="045126D0"/>
    <w:rsid w:val="04545D1C"/>
    <w:rsid w:val="052D4EEB"/>
    <w:rsid w:val="053A13B6"/>
    <w:rsid w:val="05A32BC9"/>
    <w:rsid w:val="05C55124"/>
    <w:rsid w:val="062C51A3"/>
    <w:rsid w:val="06A82E04"/>
    <w:rsid w:val="06E72E78"/>
    <w:rsid w:val="07106873"/>
    <w:rsid w:val="076D5A73"/>
    <w:rsid w:val="07CA07CF"/>
    <w:rsid w:val="07DE24CD"/>
    <w:rsid w:val="08381BDD"/>
    <w:rsid w:val="08CE2541"/>
    <w:rsid w:val="092E2FE0"/>
    <w:rsid w:val="093525C0"/>
    <w:rsid w:val="094D790A"/>
    <w:rsid w:val="095A3DD5"/>
    <w:rsid w:val="09EF451D"/>
    <w:rsid w:val="0ACC485F"/>
    <w:rsid w:val="0ACE4B50"/>
    <w:rsid w:val="0ADD4CBE"/>
    <w:rsid w:val="0B097861"/>
    <w:rsid w:val="0B100BEF"/>
    <w:rsid w:val="0B2C354F"/>
    <w:rsid w:val="0B5E5DFE"/>
    <w:rsid w:val="0BBC0D77"/>
    <w:rsid w:val="0BED7182"/>
    <w:rsid w:val="0C676F35"/>
    <w:rsid w:val="0C6D2071"/>
    <w:rsid w:val="0C963376"/>
    <w:rsid w:val="0C9D4705"/>
    <w:rsid w:val="0CDF2F6F"/>
    <w:rsid w:val="0D984ECC"/>
    <w:rsid w:val="0DF06AB6"/>
    <w:rsid w:val="0E082052"/>
    <w:rsid w:val="0E552DBD"/>
    <w:rsid w:val="0E601E8E"/>
    <w:rsid w:val="0E9953A0"/>
    <w:rsid w:val="0ED10695"/>
    <w:rsid w:val="0ED168E7"/>
    <w:rsid w:val="0EEA5BFB"/>
    <w:rsid w:val="0EEF4894"/>
    <w:rsid w:val="0F0A3BA7"/>
    <w:rsid w:val="0F9242C9"/>
    <w:rsid w:val="0FC63F72"/>
    <w:rsid w:val="0FFF7484"/>
    <w:rsid w:val="101E5B5C"/>
    <w:rsid w:val="105E064F"/>
    <w:rsid w:val="108A1444"/>
    <w:rsid w:val="109C2F25"/>
    <w:rsid w:val="10AD5132"/>
    <w:rsid w:val="10C30CE3"/>
    <w:rsid w:val="10CC380A"/>
    <w:rsid w:val="1122167C"/>
    <w:rsid w:val="127A7296"/>
    <w:rsid w:val="127E28E2"/>
    <w:rsid w:val="12D1335A"/>
    <w:rsid w:val="12ED7A68"/>
    <w:rsid w:val="13516249"/>
    <w:rsid w:val="137A57A0"/>
    <w:rsid w:val="138C102F"/>
    <w:rsid w:val="138E2FF9"/>
    <w:rsid w:val="13AE5449"/>
    <w:rsid w:val="13B32A60"/>
    <w:rsid w:val="13EE5846"/>
    <w:rsid w:val="13FA243C"/>
    <w:rsid w:val="13FD017F"/>
    <w:rsid w:val="14327E28"/>
    <w:rsid w:val="14DB04C0"/>
    <w:rsid w:val="14ED3D4F"/>
    <w:rsid w:val="15227E9D"/>
    <w:rsid w:val="15825B9B"/>
    <w:rsid w:val="15D942D4"/>
    <w:rsid w:val="16070E41"/>
    <w:rsid w:val="16111B25"/>
    <w:rsid w:val="1658169C"/>
    <w:rsid w:val="16B965DF"/>
    <w:rsid w:val="16C4678C"/>
    <w:rsid w:val="170A6E3A"/>
    <w:rsid w:val="174B2FAF"/>
    <w:rsid w:val="177D6B30"/>
    <w:rsid w:val="1783099B"/>
    <w:rsid w:val="17A4103D"/>
    <w:rsid w:val="17E27FC0"/>
    <w:rsid w:val="183028D1"/>
    <w:rsid w:val="1833416F"/>
    <w:rsid w:val="18826EA4"/>
    <w:rsid w:val="189866C8"/>
    <w:rsid w:val="189A41EE"/>
    <w:rsid w:val="18D25736"/>
    <w:rsid w:val="18DA0A8E"/>
    <w:rsid w:val="19061883"/>
    <w:rsid w:val="196D1903"/>
    <w:rsid w:val="198B3B37"/>
    <w:rsid w:val="1A206975"/>
    <w:rsid w:val="1AA255DC"/>
    <w:rsid w:val="1ADF413A"/>
    <w:rsid w:val="1AFA5418"/>
    <w:rsid w:val="1B157B5C"/>
    <w:rsid w:val="1B6F0B84"/>
    <w:rsid w:val="1B6F3710"/>
    <w:rsid w:val="1BE13EE2"/>
    <w:rsid w:val="1C0A3439"/>
    <w:rsid w:val="1C161DDD"/>
    <w:rsid w:val="1C177904"/>
    <w:rsid w:val="1CA218C3"/>
    <w:rsid w:val="1CF245F9"/>
    <w:rsid w:val="1D017037"/>
    <w:rsid w:val="1D1207F7"/>
    <w:rsid w:val="1D2642A2"/>
    <w:rsid w:val="1D412E8A"/>
    <w:rsid w:val="1DE07B06"/>
    <w:rsid w:val="1EE77A61"/>
    <w:rsid w:val="1EFA59E6"/>
    <w:rsid w:val="206A6B9C"/>
    <w:rsid w:val="20947775"/>
    <w:rsid w:val="20BB11A5"/>
    <w:rsid w:val="20F46465"/>
    <w:rsid w:val="21182154"/>
    <w:rsid w:val="21555156"/>
    <w:rsid w:val="217E28FF"/>
    <w:rsid w:val="218F11C8"/>
    <w:rsid w:val="219F4623"/>
    <w:rsid w:val="21A63C04"/>
    <w:rsid w:val="21CB5418"/>
    <w:rsid w:val="22AC349C"/>
    <w:rsid w:val="234B6811"/>
    <w:rsid w:val="235C6C70"/>
    <w:rsid w:val="236B2A0F"/>
    <w:rsid w:val="23E80503"/>
    <w:rsid w:val="244A4D1A"/>
    <w:rsid w:val="24E30CCB"/>
    <w:rsid w:val="2556504B"/>
    <w:rsid w:val="256E4A38"/>
    <w:rsid w:val="25822292"/>
    <w:rsid w:val="25951FC5"/>
    <w:rsid w:val="25B83F05"/>
    <w:rsid w:val="25C33C3F"/>
    <w:rsid w:val="26151358"/>
    <w:rsid w:val="2624159B"/>
    <w:rsid w:val="267C4F33"/>
    <w:rsid w:val="269009DE"/>
    <w:rsid w:val="27167136"/>
    <w:rsid w:val="277976C4"/>
    <w:rsid w:val="27893DAB"/>
    <w:rsid w:val="27AB1F74"/>
    <w:rsid w:val="27DA4607"/>
    <w:rsid w:val="280B2A12"/>
    <w:rsid w:val="281C077C"/>
    <w:rsid w:val="28333D17"/>
    <w:rsid w:val="288E0ECE"/>
    <w:rsid w:val="2890116A"/>
    <w:rsid w:val="28A349F9"/>
    <w:rsid w:val="28C3509B"/>
    <w:rsid w:val="28F80C5D"/>
    <w:rsid w:val="29086F52"/>
    <w:rsid w:val="293E2974"/>
    <w:rsid w:val="29C72969"/>
    <w:rsid w:val="29FB2613"/>
    <w:rsid w:val="2A1738F0"/>
    <w:rsid w:val="2A4E4E38"/>
    <w:rsid w:val="2AC375D4"/>
    <w:rsid w:val="2B634913"/>
    <w:rsid w:val="2B8D373E"/>
    <w:rsid w:val="2B9D7E25"/>
    <w:rsid w:val="2BD4136D"/>
    <w:rsid w:val="2BFA0DD4"/>
    <w:rsid w:val="2C6721E1"/>
    <w:rsid w:val="2C9034E6"/>
    <w:rsid w:val="2CB216AE"/>
    <w:rsid w:val="2DAA4A7C"/>
    <w:rsid w:val="2E13617D"/>
    <w:rsid w:val="2E474078"/>
    <w:rsid w:val="2E7806D6"/>
    <w:rsid w:val="2E782484"/>
    <w:rsid w:val="2ECB6A58"/>
    <w:rsid w:val="2F012479"/>
    <w:rsid w:val="2F0401BB"/>
    <w:rsid w:val="2F1523C9"/>
    <w:rsid w:val="2F350375"/>
    <w:rsid w:val="2F920605"/>
    <w:rsid w:val="30055F99"/>
    <w:rsid w:val="30843362"/>
    <w:rsid w:val="308C66BA"/>
    <w:rsid w:val="30977539"/>
    <w:rsid w:val="310944F3"/>
    <w:rsid w:val="31230DCD"/>
    <w:rsid w:val="31556AAC"/>
    <w:rsid w:val="31605B7D"/>
    <w:rsid w:val="3234700A"/>
    <w:rsid w:val="32601BAD"/>
    <w:rsid w:val="33484B1B"/>
    <w:rsid w:val="339A2E9C"/>
    <w:rsid w:val="33C10429"/>
    <w:rsid w:val="33D62126"/>
    <w:rsid w:val="347436ED"/>
    <w:rsid w:val="34825E0A"/>
    <w:rsid w:val="349B6ECC"/>
    <w:rsid w:val="34E645EB"/>
    <w:rsid w:val="353F1F4D"/>
    <w:rsid w:val="35906305"/>
    <w:rsid w:val="359A7184"/>
    <w:rsid w:val="35ED19A9"/>
    <w:rsid w:val="35FC7E3E"/>
    <w:rsid w:val="36032F7B"/>
    <w:rsid w:val="360B1E2F"/>
    <w:rsid w:val="36162CAE"/>
    <w:rsid w:val="365612FD"/>
    <w:rsid w:val="36851BE2"/>
    <w:rsid w:val="36981915"/>
    <w:rsid w:val="36A06A1C"/>
    <w:rsid w:val="370F4400"/>
    <w:rsid w:val="373C4996"/>
    <w:rsid w:val="37841E99"/>
    <w:rsid w:val="37C130EE"/>
    <w:rsid w:val="37DA7D0B"/>
    <w:rsid w:val="38B93DC5"/>
    <w:rsid w:val="39113C01"/>
    <w:rsid w:val="39243934"/>
    <w:rsid w:val="398C3287"/>
    <w:rsid w:val="39E135D3"/>
    <w:rsid w:val="39EF3F42"/>
    <w:rsid w:val="3A092B2A"/>
    <w:rsid w:val="3A6571D1"/>
    <w:rsid w:val="3A6D30B9"/>
    <w:rsid w:val="3AF85078"/>
    <w:rsid w:val="3B0102C4"/>
    <w:rsid w:val="3B6E0E96"/>
    <w:rsid w:val="3BBF08F1"/>
    <w:rsid w:val="3C236125"/>
    <w:rsid w:val="3C265C15"/>
    <w:rsid w:val="3C8D7A42"/>
    <w:rsid w:val="3CB44FCF"/>
    <w:rsid w:val="3CE05DC4"/>
    <w:rsid w:val="3D3C1A85"/>
    <w:rsid w:val="3DD5344F"/>
    <w:rsid w:val="3DEB4A20"/>
    <w:rsid w:val="3E42660A"/>
    <w:rsid w:val="3E805DDC"/>
    <w:rsid w:val="3ED41958"/>
    <w:rsid w:val="3EFB0C93"/>
    <w:rsid w:val="3F6251B6"/>
    <w:rsid w:val="3F88629F"/>
    <w:rsid w:val="3F9B2476"/>
    <w:rsid w:val="3FB35A12"/>
    <w:rsid w:val="40063D93"/>
    <w:rsid w:val="40291830"/>
    <w:rsid w:val="40297A82"/>
    <w:rsid w:val="404C551E"/>
    <w:rsid w:val="406B3BF6"/>
    <w:rsid w:val="40864ED4"/>
    <w:rsid w:val="4110479E"/>
    <w:rsid w:val="41401527"/>
    <w:rsid w:val="42360234"/>
    <w:rsid w:val="42415557"/>
    <w:rsid w:val="425C413F"/>
    <w:rsid w:val="42B45D29"/>
    <w:rsid w:val="42B67175"/>
    <w:rsid w:val="42BF46CD"/>
    <w:rsid w:val="42E83C24"/>
    <w:rsid w:val="43672D9B"/>
    <w:rsid w:val="439134E8"/>
    <w:rsid w:val="43A643FA"/>
    <w:rsid w:val="43B104BA"/>
    <w:rsid w:val="444C3D3F"/>
    <w:rsid w:val="44D51F86"/>
    <w:rsid w:val="4582210E"/>
    <w:rsid w:val="45991206"/>
    <w:rsid w:val="45C2075D"/>
    <w:rsid w:val="45F60B3A"/>
    <w:rsid w:val="46276812"/>
    <w:rsid w:val="467852BF"/>
    <w:rsid w:val="46D87B0C"/>
    <w:rsid w:val="47413903"/>
    <w:rsid w:val="47AF6ABF"/>
    <w:rsid w:val="47E0311C"/>
    <w:rsid w:val="48027536"/>
    <w:rsid w:val="48315726"/>
    <w:rsid w:val="484C07B1"/>
    <w:rsid w:val="48AE6D76"/>
    <w:rsid w:val="48B325DE"/>
    <w:rsid w:val="48F21359"/>
    <w:rsid w:val="490C7F41"/>
    <w:rsid w:val="49180694"/>
    <w:rsid w:val="494871CB"/>
    <w:rsid w:val="496B4C67"/>
    <w:rsid w:val="49B20AE8"/>
    <w:rsid w:val="4A01737A"/>
    <w:rsid w:val="4A743FEF"/>
    <w:rsid w:val="4A791606"/>
    <w:rsid w:val="4B3A0D95"/>
    <w:rsid w:val="4B9E3112"/>
    <w:rsid w:val="4BA601D9"/>
    <w:rsid w:val="4BB548C0"/>
    <w:rsid w:val="4C2F6420"/>
    <w:rsid w:val="4C883D82"/>
    <w:rsid w:val="4CA02E7A"/>
    <w:rsid w:val="4CBB4158"/>
    <w:rsid w:val="4D6245D3"/>
    <w:rsid w:val="4D6D36A4"/>
    <w:rsid w:val="4D7D140D"/>
    <w:rsid w:val="4DA8648A"/>
    <w:rsid w:val="4DBA440F"/>
    <w:rsid w:val="4DD1647B"/>
    <w:rsid w:val="4E0631B0"/>
    <w:rsid w:val="4E222E8F"/>
    <w:rsid w:val="4E630603"/>
    <w:rsid w:val="4EB33338"/>
    <w:rsid w:val="4F0040A4"/>
    <w:rsid w:val="4F2C6C47"/>
    <w:rsid w:val="4F7C7BCE"/>
    <w:rsid w:val="4FD95020"/>
    <w:rsid w:val="50EE68AA"/>
    <w:rsid w:val="512322CB"/>
    <w:rsid w:val="518C1C1F"/>
    <w:rsid w:val="51C770FB"/>
    <w:rsid w:val="51D437CA"/>
    <w:rsid w:val="51F7178E"/>
    <w:rsid w:val="52180DC3"/>
    <w:rsid w:val="528B637A"/>
    <w:rsid w:val="52DF6231"/>
    <w:rsid w:val="53D13E42"/>
    <w:rsid w:val="53F35F85"/>
    <w:rsid w:val="542E0FB1"/>
    <w:rsid w:val="54712DD4"/>
    <w:rsid w:val="54DE09E3"/>
    <w:rsid w:val="54FF7E2F"/>
    <w:rsid w:val="55144405"/>
    <w:rsid w:val="552705DC"/>
    <w:rsid w:val="55432F3C"/>
    <w:rsid w:val="554C6B20"/>
    <w:rsid w:val="557B26D6"/>
    <w:rsid w:val="55894DF3"/>
    <w:rsid w:val="56170651"/>
    <w:rsid w:val="562C39D0"/>
    <w:rsid w:val="56633896"/>
    <w:rsid w:val="56707D61"/>
    <w:rsid w:val="569059EB"/>
    <w:rsid w:val="56AB0D99"/>
    <w:rsid w:val="56D2740B"/>
    <w:rsid w:val="571E156B"/>
    <w:rsid w:val="573A6470"/>
    <w:rsid w:val="57D305A7"/>
    <w:rsid w:val="58160069"/>
    <w:rsid w:val="581F1A3E"/>
    <w:rsid w:val="58276B38"/>
    <w:rsid w:val="58533496"/>
    <w:rsid w:val="588B70D4"/>
    <w:rsid w:val="58BD1EE8"/>
    <w:rsid w:val="58C16652"/>
    <w:rsid w:val="59284923"/>
    <w:rsid w:val="593257A1"/>
    <w:rsid w:val="59486D73"/>
    <w:rsid w:val="59956A89"/>
    <w:rsid w:val="599D70BF"/>
    <w:rsid w:val="59A26483"/>
    <w:rsid w:val="5A0A227A"/>
    <w:rsid w:val="5A0F7891"/>
    <w:rsid w:val="5A64198B"/>
    <w:rsid w:val="5B15237A"/>
    <w:rsid w:val="5B2D7FCE"/>
    <w:rsid w:val="5B3C6463"/>
    <w:rsid w:val="5B6D2AC1"/>
    <w:rsid w:val="5B793214"/>
    <w:rsid w:val="5B7C2D04"/>
    <w:rsid w:val="5BA81D4B"/>
    <w:rsid w:val="5C2C472A"/>
    <w:rsid w:val="5C761E49"/>
    <w:rsid w:val="5CBF10FA"/>
    <w:rsid w:val="5CE70651"/>
    <w:rsid w:val="5D6D2F55"/>
    <w:rsid w:val="5D8A795A"/>
    <w:rsid w:val="5D972077"/>
    <w:rsid w:val="5E1831B8"/>
    <w:rsid w:val="5E2D4789"/>
    <w:rsid w:val="5E9F7435"/>
    <w:rsid w:val="5EDE78C5"/>
    <w:rsid w:val="5F487ACD"/>
    <w:rsid w:val="5F546472"/>
    <w:rsid w:val="5F6576B2"/>
    <w:rsid w:val="5F8D1984"/>
    <w:rsid w:val="5F9C3975"/>
    <w:rsid w:val="5FB962D5"/>
    <w:rsid w:val="604364E6"/>
    <w:rsid w:val="60966616"/>
    <w:rsid w:val="609805E0"/>
    <w:rsid w:val="60BF3DBF"/>
    <w:rsid w:val="61021EFD"/>
    <w:rsid w:val="613025C6"/>
    <w:rsid w:val="61A46B11"/>
    <w:rsid w:val="61E635CD"/>
    <w:rsid w:val="61FB0E26"/>
    <w:rsid w:val="62652744"/>
    <w:rsid w:val="62740BD9"/>
    <w:rsid w:val="628232F6"/>
    <w:rsid w:val="62D60F4C"/>
    <w:rsid w:val="62E573E1"/>
    <w:rsid w:val="639871EC"/>
    <w:rsid w:val="640146EE"/>
    <w:rsid w:val="64FB738F"/>
    <w:rsid w:val="658A426F"/>
    <w:rsid w:val="659375C8"/>
    <w:rsid w:val="65C634F9"/>
    <w:rsid w:val="65D976D1"/>
    <w:rsid w:val="6679056C"/>
    <w:rsid w:val="66BC66AA"/>
    <w:rsid w:val="66D32372"/>
    <w:rsid w:val="66E31E89"/>
    <w:rsid w:val="672C1A82"/>
    <w:rsid w:val="686F7E78"/>
    <w:rsid w:val="68C06926"/>
    <w:rsid w:val="68C33D20"/>
    <w:rsid w:val="68D965C2"/>
    <w:rsid w:val="68E048D2"/>
    <w:rsid w:val="68EF0FB9"/>
    <w:rsid w:val="69004F74"/>
    <w:rsid w:val="69252C2D"/>
    <w:rsid w:val="695E1C9B"/>
    <w:rsid w:val="69C441F4"/>
    <w:rsid w:val="6A1D1B56"/>
    <w:rsid w:val="6A590DE0"/>
    <w:rsid w:val="6A6652AB"/>
    <w:rsid w:val="6B59096C"/>
    <w:rsid w:val="6B7D28AC"/>
    <w:rsid w:val="6BBD4A24"/>
    <w:rsid w:val="6BF30DC0"/>
    <w:rsid w:val="6CAD0F6F"/>
    <w:rsid w:val="6CC85DA9"/>
    <w:rsid w:val="6CEA21C3"/>
    <w:rsid w:val="6CFE5C6F"/>
    <w:rsid w:val="6D082649"/>
    <w:rsid w:val="6D090170"/>
    <w:rsid w:val="6D1159A2"/>
    <w:rsid w:val="6D4573FA"/>
    <w:rsid w:val="6D4A19D8"/>
    <w:rsid w:val="6DF826BE"/>
    <w:rsid w:val="6E0C43BB"/>
    <w:rsid w:val="6F2D45E9"/>
    <w:rsid w:val="6F3516F0"/>
    <w:rsid w:val="6F437969"/>
    <w:rsid w:val="6FC14D32"/>
    <w:rsid w:val="6FCF744E"/>
    <w:rsid w:val="6FDC5CF4"/>
    <w:rsid w:val="704A4D27"/>
    <w:rsid w:val="70CD7F27"/>
    <w:rsid w:val="70DF1913"/>
    <w:rsid w:val="71687B5B"/>
    <w:rsid w:val="71724535"/>
    <w:rsid w:val="71A32941"/>
    <w:rsid w:val="72563E57"/>
    <w:rsid w:val="72DA6836"/>
    <w:rsid w:val="73426189"/>
    <w:rsid w:val="73634A7D"/>
    <w:rsid w:val="74312486"/>
    <w:rsid w:val="74373814"/>
    <w:rsid w:val="7443040B"/>
    <w:rsid w:val="74A92964"/>
    <w:rsid w:val="754F0F70"/>
    <w:rsid w:val="757A171E"/>
    <w:rsid w:val="75ED062E"/>
    <w:rsid w:val="760B4F58"/>
    <w:rsid w:val="76164029"/>
    <w:rsid w:val="768371E5"/>
    <w:rsid w:val="769002EB"/>
    <w:rsid w:val="76A01B45"/>
    <w:rsid w:val="76DB2B7D"/>
    <w:rsid w:val="77320433"/>
    <w:rsid w:val="77336515"/>
    <w:rsid w:val="77877812"/>
    <w:rsid w:val="77A94A29"/>
    <w:rsid w:val="77AE203F"/>
    <w:rsid w:val="77F51A1C"/>
    <w:rsid w:val="78112CFA"/>
    <w:rsid w:val="7819395D"/>
    <w:rsid w:val="783E7867"/>
    <w:rsid w:val="78623556"/>
    <w:rsid w:val="786C6182"/>
    <w:rsid w:val="791F31F5"/>
    <w:rsid w:val="7936053E"/>
    <w:rsid w:val="79615FB4"/>
    <w:rsid w:val="79AE27CB"/>
    <w:rsid w:val="79EB1329"/>
    <w:rsid w:val="79FD2E0A"/>
    <w:rsid w:val="7A1C5986"/>
    <w:rsid w:val="7A401675"/>
    <w:rsid w:val="7A6F3D08"/>
    <w:rsid w:val="7AFB1A3F"/>
    <w:rsid w:val="7B1228E5"/>
    <w:rsid w:val="7B9F686F"/>
    <w:rsid w:val="7BBF2A6D"/>
    <w:rsid w:val="7BC2430B"/>
    <w:rsid w:val="7BCB31C0"/>
    <w:rsid w:val="7BF546E1"/>
    <w:rsid w:val="7C1A4147"/>
    <w:rsid w:val="7C3074C7"/>
    <w:rsid w:val="7CB73744"/>
    <w:rsid w:val="7CC52305"/>
    <w:rsid w:val="7CCA3477"/>
    <w:rsid w:val="7CD75B94"/>
    <w:rsid w:val="7CE41F2F"/>
    <w:rsid w:val="7D5B4A17"/>
    <w:rsid w:val="7D637428"/>
    <w:rsid w:val="7D7E4262"/>
    <w:rsid w:val="7DB61C4E"/>
    <w:rsid w:val="7DD32800"/>
    <w:rsid w:val="7DFD5ACF"/>
    <w:rsid w:val="7E6B0C8A"/>
    <w:rsid w:val="7EDE76AE"/>
    <w:rsid w:val="7F196938"/>
    <w:rsid w:val="7F475253"/>
    <w:rsid w:val="7FA06711"/>
    <w:rsid w:val="7FFC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43" w:firstLineChars="200"/>
      <w:jc w:val="both"/>
    </w:pPr>
    <w:rPr>
      <w:rFonts w:ascii="宋体" w:hAnsi="宋体" w:eastAsia="宋体" w:cstheme="minorBidi"/>
      <w:color w:val="000000" w:themeColor="text1"/>
      <w:sz w:val="24"/>
      <w:szCs w:val="24"/>
      <w:lang w:val="zh-CN" w:eastAsia="zh-CN" w:bidi="ar-SA"/>
      <w14:textFill>
        <w14:solidFill>
          <w14:schemeClr w14:val="tx1"/>
        </w14:solidFill>
      </w14:textFill>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cs="Times New Roman"/>
      <w:b/>
      <w:kern w:val="44"/>
      <w:sz w:val="32"/>
    </w:rPr>
  </w:style>
  <w:style w:type="paragraph" w:styleId="4">
    <w:name w:val="heading 2"/>
    <w:basedOn w:val="1"/>
    <w:next w:val="1"/>
    <w:link w:val="10"/>
    <w:semiHidden/>
    <w:unhideWhenUsed/>
    <w:qFormat/>
    <w:uiPriority w:val="0"/>
    <w:pPr>
      <w:keepNext/>
      <w:keepLines/>
      <w:spacing w:before="10" w:beforeLines="0" w:beforeAutospacing="0" w:after="10" w:afterLines="0" w:afterAutospacing="0" w:line="360" w:lineRule="auto"/>
      <w:jc w:val="left"/>
      <w:outlineLvl w:val="1"/>
    </w:pPr>
    <w:rPr>
      <w:rFonts w:ascii="Arial" w:hAnsi="Arial" w:eastAsia="宋体" w:cs="Times New Roman"/>
      <w:b/>
      <w:sz w:val="3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Char"/>
    <w:basedOn w:val="9"/>
    <w:link w:val="4"/>
    <w:qFormat/>
    <w:uiPriority w:val="0"/>
    <w:rPr>
      <w:rFonts w:ascii="Arial" w:hAnsi="Arial" w:eastAsia="宋体" w:cs="Times New Roman"/>
      <w:b/>
      <w:sz w:val="30"/>
    </w:rPr>
  </w:style>
  <w:style w:type="paragraph" w:styleId="11">
    <w:name w:val="List Paragraph"/>
    <w:basedOn w:val="1"/>
    <w:qFormat/>
    <w:uiPriority w:val="0"/>
    <w:pPr>
      <w:ind w:firstLine="420" w:firstLineChars="200"/>
    </w:pPr>
  </w:style>
  <w:style w:type="character" w:customStyle="1" w:styleId="12">
    <w:name w:val="NormalCharacter"/>
    <w:qFormat/>
    <w:uiPriority w:val="0"/>
    <w:rPr>
      <w:kern w:val="2"/>
      <w:sz w:val="21"/>
      <w:szCs w:val="24"/>
      <w:lang w:val="en-US" w:eastAsia="zh-CN" w:bidi="ar-SA"/>
    </w:rPr>
  </w:style>
  <w:style w:type="paragraph" w:customStyle="1" w:styleId="13">
    <w:name w:val="Table Paragraph"/>
    <w:basedOn w:val="1"/>
    <w:qFormat/>
    <w:uiPriority w:val="1"/>
    <w:rPr>
      <w:rFonts w:ascii="华文宋体" w:hAnsi="华文宋体" w:eastAsia="华文宋体" w:cs="华文宋体"/>
      <w:lang w:val="zh-CN" w:bidi="zh-CN"/>
    </w:rPr>
  </w:style>
  <w:style w:type="paragraph" w:styleId="14">
    <w:name w:val="No Spacing"/>
    <w:qFormat/>
    <w:uiPriority w:val="1"/>
    <w:pPr>
      <w:widowControl w:val="0"/>
      <w:spacing w:line="312" w:lineRule="auto"/>
      <w:jc w:val="both"/>
    </w:pPr>
    <w:rPr>
      <w:rFonts w:ascii="Times New Roman" w:hAnsi="Times New Roman" w:eastAsia="仿宋" w:cstheme="minorBidi"/>
      <w:kern w:val="2"/>
      <w:sz w:val="24"/>
      <w:szCs w:val="22"/>
      <w:lang w:val="en-US" w:eastAsia="zh-CN" w:bidi="ar-SA"/>
    </w:rPr>
  </w:style>
  <w:style w:type="paragraph" w:customStyle="1" w:styleId="15">
    <w:name w:val="正文1"/>
    <w:qFormat/>
    <w:uiPriority w:val="0"/>
    <w:pPr>
      <w:jc w:val="both"/>
    </w:pPr>
    <w:rPr>
      <w:rFonts w:ascii="等线" w:hAnsi="等线"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2021-04-11T08:45:00Z</dcterms:created>
  <dc:creator>lzp</dc:creator>
  <cp:lastModifiedBy>微光倾城</cp:lastModifiedBy>
  <dcterms:modified xsi:type="dcterms:W3CDTF">2023-01-04T02:53:06Z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6A7FB485086844729919B831727C3FA3</vt:lpwstr>
  </property>
</Properties>
</file>