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sz w:val="21"/>
          <w:szCs w:val="21"/>
          <w:bdr w:val="none" w:color="auto" w:sz="0" w:space="0"/>
          <w:shd w:val="clear" w:fill="FFFFFF"/>
        </w:rPr>
        <w:t>3.3、技术参数及要求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16"/>
          <w:szCs w:val="16"/>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16"/>
          <w:szCs w:val="16"/>
          <w:bdr w:val="none" w:color="auto" w:sz="0" w:space="0"/>
          <w:shd w:val="clear" w:fill="FFFFFF"/>
        </w:rPr>
        <w:t>标的名称：宜宾市公安局出入境管理支队政务大厅LED显示屏采购项目</w:t>
      </w:r>
    </w:p>
    <w:tbl>
      <w:tblPr>
        <w:tblpPr w:leftFromText="180" w:rightFromText="180" w:vertAnchor="text" w:horzAnchor="page" w:tblpX="1202" w:tblpY="448"/>
        <w:tblOverlap w:val="never"/>
        <w:tblW w:w="632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13"/>
        <w:gridCol w:w="713"/>
        <w:gridCol w:w="164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428" w:type="dxa"/>
            <w:tcBorders>
              <w:top w:val="single" w:color="000000" w:sz="4" w:space="0"/>
              <w:left w:val="single" w:color="000000" w:sz="4" w:space="0"/>
              <w:bottom w:val="single" w:color="000000" w:sz="4" w:space="0"/>
              <w:right w:val="single" w:color="000000" w:sz="4" w:space="0"/>
            </w:tcBorders>
            <w:shd w:val="clear"/>
            <w:tcMar>
              <w:left w:w="96" w:type="dxa"/>
              <w:right w:w="96" w:type="dxa"/>
            </w:tcMar>
            <w:vAlign w:val="center"/>
          </w:tcPr>
          <w:p>
            <w:pPr>
              <w:keepNext w:val="0"/>
              <w:keepLines w:val="0"/>
              <w:widowControl/>
              <w:suppressLineNumbers w:val="0"/>
              <w:wordWrap w:val="0"/>
              <w:spacing w:before="0" w:beforeAutospacing="0" w:after="0" w:afterAutospacing="0" w:line="384"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参数性质</w:t>
            </w:r>
          </w:p>
        </w:tc>
        <w:tc>
          <w:tcPr>
            <w:tcW w:w="428" w:type="dxa"/>
            <w:tcBorders>
              <w:top w:val="single" w:color="000000" w:sz="4" w:space="0"/>
              <w:left w:val="single" w:color="000000" w:sz="4" w:space="0"/>
              <w:bottom w:val="single" w:color="000000" w:sz="4" w:space="0"/>
              <w:right w:val="single" w:color="000000" w:sz="4" w:space="0"/>
            </w:tcBorders>
            <w:shd w:val="clear"/>
            <w:tcMar>
              <w:left w:w="96" w:type="dxa"/>
              <w:right w:w="96" w:type="dxa"/>
            </w:tcMar>
            <w:vAlign w:val="center"/>
          </w:tcPr>
          <w:p>
            <w:pPr>
              <w:keepNext w:val="0"/>
              <w:keepLines w:val="0"/>
              <w:widowControl/>
              <w:suppressLineNumbers w:val="0"/>
              <w:wordWrap w:val="0"/>
              <w:spacing w:before="0" w:beforeAutospacing="0" w:after="0" w:afterAutospacing="0" w:line="384"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序号</w:t>
            </w:r>
          </w:p>
        </w:tc>
        <w:tc>
          <w:tcPr>
            <w:tcW w:w="9886" w:type="dxa"/>
            <w:tcBorders>
              <w:top w:val="single" w:color="000000" w:sz="4" w:space="0"/>
              <w:left w:val="single" w:color="000000" w:sz="4" w:space="0"/>
              <w:bottom w:val="single" w:color="000000" w:sz="4" w:space="0"/>
              <w:right w:val="single" w:color="000000" w:sz="4" w:space="0"/>
            </w:tcBorders>
            <w:shd w:val="clear"/>
            <w:tcMar>
              <w:left w:w="96" w:type="dxa"/>
              <w:right w:w="96" w:type="dxa"/>
            </w:tcMar>
            <w:vAlign w:val="center"/>
          </w:tcPr>
          <w:p>
            <w:pPr>
              <w:keepNext w:val="0"/>
              <w:keepLines w:val="0"/>
              <w:widowControl/>
              <w:suppressLineNumbers w:val="0"/>
              <w:wordWrap w:val="0"/>
              <w:spacing w:before="0" w:beforeAutospacing="0" w:after="0" w:afterAutospacing="0" w:line="384"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428" w:type="dxa"/>
            <w:tcBorders>
              <w:top w:val="single" w:color="000000" w:sz="4" w:space="0"/>
              <w:left w:val="single" w:color="000000" w:sz="4" w:space="0"/>
              <w:bottom w:val="single" w:color="000000" w:sz="4" w:space="0"/>
              <w:right w:val="single" w:color="000000" w:sz="4" w:space="0"/>
            </w:tcBorders>
            <w:shd w:val="clear"/>
            <w:tcMar>
              <w:left w:w="96" w:type="dxa"/>
              <w:right w:w="96" w:type="dxa"/>
            </w:tcMar>
            <w:vAlign w:val="center"/>
          </w:tcPr>
          <w:p>
            <w:pPr>
              <w:keepNext w:val="0"/>
              <w:keepLines w:val="0"/>
              <w:widowControl/>
              <w:suppressLineNumbers w:val="0"/>
              <w:wordWrap w:val="0"/>
              <w:spacing w:before="0" w:beforeAutospacing="0" w:after="0" w:afterAutospacing="0" w:line="384"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tcMar>
              <w:left w:w="96" w:type="dxa"/>
              <w:right w:w="96" w:type="dxa"/>
            </w:tcMar>
            <w:vAlign w:val="center"/>
          </w:tcPr>
          <w:p>
            <w:pPr>
              <w:keepNext w:val="0"/>
              <w:keepLines w:val="0"/>
              <w:widowControl/>
              <w:suppressLineNumbers w:val="0"/>
              <w:wordWrap w:val="0"/>
              <w:spacing w:before="0" w:beforeAutospacing="0" w:after="0" w:afterAutospacing="0" w:line="384"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w:t>
            </w:r>
          </w:p>
        </w:tc>
        <w:tc>
          <w:tcPr>
            <w:tcW w:w="9886" w:type="dxa"/>
            <w:tcBorders>
              <w:top w:val="single" w:color="000000" w:sz="4" w:space="0"/>
              <w:left w:val="single" w:color="000000" w:sz="4" w:space="0"/>
              <w:bottom w:val="single" w:color="000000" w:sz="4" w:space="0"/>
              <w:right w:val="single" w:color="000000" w:sz="4" w:space="0"/>
            </w:tcBorders>
            <w:shd w:val="clear"/>
            <w:tcMar>
              <w:left w:w="96" w:type="dxa"/>
              <w:right w:w="96" w:type="dxa"/>
            </w:tcMar>
            <w:vAlign w:val="center"/>
          </w:tcPr>
          <w:tbl>
            <w:tblPr>
              <w:tblW w:w="1195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81"/>
              <w:gridCol w:w="1470"/>
              <w:gridCol w:w="261"/>
              <w:gridCol w:w="6902"/>
              <w:gridCol w:w="890"/>
              <w:gridCol w:w="974"/>
              <w:gridCol w:w="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1"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Style w:val="7"/>
                      <w:rFonts w:ascii="仿宋" w:hAnsi="仿宋" w:eastAsia="仿宋" w:cs="仿宋"/>
                      <w:color w:val="auto"/>
                      <w:sz w:val="24"/>
                      <w:szCs w:val="24"/>
                      <w:bdr w:val="none" w:color="auto" w:sz="0" w:space="0"/>
                    </w:rPr>
                    <w:t>序号</w:t>
                  </w:r>
                </w:p>
              </w:tc>
              <w:tc>
                <w:tcPr>
                  <w:tcW w:w="1731"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Style w:val="7"/>
                      <w:rFonts w:hint="eastAsia" w:ascii="仿宋" w:hAnsi="仿宋" w:eastAsia="仿宋" w:cs="仿宋"/>
                      <w:color w:val="auto"/>
                      <w:sz w:val="24"/>
                      <w:szCs w:val="24"/>
                      <w:bdr w:val="none" w:color="auto" w:sz="0" w:space="0"/>
                    </w:rPr>
                    <w:t>标的名称</w:t>
                  </w:r>
                </w:p>
              </w:tc>
              <w:tc>
                <w:tcPr>
                  <w:tcW w:w="690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Style w:val="7"/>
                      <w:rFonts w:hint="eastAsia" w:ascii="仿宋" w:hAnsi="仿宋" w:eastAsia="仿宋" w:cs="仿宋"/>
                      <w:color w:val="auto"/>
                      <w:sz w:val="24"/>
                      <w:szCs w:val="24"/>
                      <w:bdr w:val="none" w:color="auto" w:sz="0" w:space="0"/>
                    </w:rPr>
                    <w:t>技术参数要求</w:t>
                  </w:r>
                </w:p>
              </w:tc>
              <w:tc>
                <w:tcPr>
                  <w:tcW w:w="89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Style w:val="7"/>
                      <w:rFonts w:hint="eastAsia" w:ascii="仿宋" w:hAnsi="仿宋" w:eastAsia="仿宋" w:cs="仿宋"/>
                      <w:color w:val="auto"/>
                      <w:sz w:val="24"/>
                      <w:szCs w:val="24"/>
                      <w:bdr w:val="none" w:color="auto" w:sz="0" w:space="0"/>
                    </w:rPr>
                    <w:t>单位</w:t>
                  </w:r>
                </w:p>
              </w:tc>
              <w:tc>
                <w:tcPr>
                  <w:tcW w:w="97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Style w:val="7"/>
                      <w:rFonts w:hint="eastAsia" w:ascii="仿宋" w:hAnsi="仿宋" w:eastAsia="仿宋" w:cs="仿宋"/>
                      <w:color w:val="auto"/>
                      <w:sz w:val="24"/>
                      <w:szCs w:val="24"/>
                      <w:bdr w:val="none" w:color="auto" w:sz="0" w:space="0"/>
                    </w:rPr>
                    <w:t>数量</w:t>
                  </w:r>
                </w:p>
              </w:tc>
              <w:tc>
                <w:tcPr>
                  <w:tcW w:w="97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Style w:val="7"/>
                      <w:rFonts w:hint="eastAsia" w:ascii="仿宋" w:hAnsi="仿宋" w:eastAsia="仿宋" w:cs="仿宋"/>
                      <w:color w:val="auto"/>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1"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1</w:t>
                  </w:r>
                </w:p>
              </w:tc>
              <w:tc>
                <w:tcPr>
                  <w:tcW w:w="1470"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LED显示屏（P1.86）(核心产品）</w:t>
                  </w:r>
                </w:p>
              </w:tc>
              <w:tc>
                <w:tcPr>
                  <w:tcW w:w="7163"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屏幕物理点间距≤</w:t>
                  </w:r>
                  <w:r>
                    <w:rPr>
                      <w:rFonts w:hint="default" w:ascii="Times New Roman" w:hAnsi="Times New Roman" w:eastAsia="宋体" w:cs="Times New Roman"/>
                      <w:color w:val="auto"/>
                      <w:sz w:val="21"/>
                      <w:szCs w:val="21"/>
                      <w:bdr w:val="none" w:color="auto" w:sz="0" w:space="0"/>
                    </w:rPr>
                    <w:t>1.86mm</w:t>
                  </w:r>
                  <w:r>
                    <w:rPr>
                      <w:rFonts w:hint="eastAsia" w:ascii="宋体" w:hAnsi="宋体" w:eastAsia="宋体" w:cs="宋体"/>
                      <w:color w:val="auto"/>
                      <w:sz w:val="21"/>
                      <w:szCs w:val="21"/>
                      <w:bdr w:val="none" w:color="auto" w:sz="0" w:space="0"/>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灯珠为</w:t>
                  </w: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显示屏制造商自主封装；</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eastAsia" w:ascii="宋体" w:hAnsi="宋体" w:eastAsia="宋体" w:cs="宋体"/>
                      <w:color w:val="auto"/>
                      <w:sz w:val="21"/>
                      <w:szCs w:val="21"/>
                      <w:bdr w:val="none" w:color="auto" w:sz="0" w:space="0"/>
                    </w:rPr>
                    <w:t>为防止出现串亮、残影现象，</w:t>
                  </w: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屏幕应采用去消隐驱动保护电路；</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eastAsia" w:ascii="宋体" w:hAnsi="宋体" w:eastAsia="宋体" w:cs="宋体"/>
                      <w:color w:val="auto"/>
                      <w:sz w:val="21"/>
                      <w:szCs w:val="21"/>
                      <w:bdr w:val="none" w:color="auto" w:sz="0" w:space="0"/>
                    </w:rPr>
                    <w:t>为确保</w:t>
                  </w: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屏幕长时间观看效果，</w:t>
                  </w: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屏幕应采用高灰度高刷新设计；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屏幕通过组合逻辑电路，对使用中的一路输入信号进行实时监测、判断，当其出现故障时，自动切换到另一路，以使</w:t>
                  </w: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显示屏正常运行；</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屏幕采用无风扇静音设计，符合</w:t>
                  </w:r>
                  <w:r>
                    <w:rPr>
                      <w:rFonts w:hint="default" w:ascii="Times New Roman" w:hAnsi="Times New Roman" w:eastAsia="宋体" w:cs="Times New Roman"/>
                      <w:color w:val="auto"/>
                      <w:sz w:val="21"/>
                      <w:szCs w:val="21"/>
                      <w:bdr w:val="none" w:color="auto" w:sz="0" w:space="0"/>
                    </w:rPr>
                    <w:t>GB/T18313</w:t>
                  </w:r>
                  <w:r>
                    <w:rPr>
                      <w:rFonts w:hint="eastAsia" w:ascii="宋体" w:hAnsi="宋体" w:eastAsia="宋体" w:cs="宋体"/>
                      <w:color w:val="auto"/>
                      <w:sz w:val="21"/>
                      <w:szCs w:val="21"/>
                      <w:bdr w:val="none" w:color="auto" w:sz="0" w:space="0"/>
                    </w:rPr>
                    <w:t>－</w:t>
                  </w:r>
                  <w:r>
                    <w:rPr>
                      <w:rFonts w:hint="default" w:ascii="Times New Roman" w:hAnsi="Times New Roman" w:eastAsia="宋体" w:cs="Times New Roman"/>
                      <w:color w:val="auto"/>
                      <w:sz w:val="21"/>
                      <w:szCs w:val="21"/>
                      <w:bdr w:val="none" w:color="auto" w:sz="0" w:space="0"/>
                    </w:rPr>
                    <w:t>2001</w:t>
                  </w:r>
                  <w:r>
                    <w:rPr>
                      <w:rFonts w:hint="eastAsia" w:ascii="宋体" w:hAnsi="宋体" w:eastAsia="宋体" w:cs="宋体"/>
                      <w:color w:val="auto"/>
                      <w:sz w:val="21"/>
                      <w:szCs w:val="21"/>
                      <w:bdr w:val="none" w:color="auto" w:sz="0" w:space="0"/>
                    </w:rPr>
                    <w:t>的</w:t>
                  </w:r>
                  <w:r>
                    <w:rPr>
                      <w:rFonts w:hint="default" w:ascii="Times New Roman" w:hAnsi="Times New Roman" w:eastAsia="宋体" w:cs="Times New Roman"/>
                      <w:color w:val="auto"/>
                      <w:sz w:val="21"/>
                      <w:szCs w:val="21"/>
                      <w:bdr w:val="none" w:color="auto" w:sz="0" w:space="0"/>
                    </w:rPr>
                    <w:t>NR20</w:t>
                  </w:r>
                  <w:r>
                    <w:rPr>
                      <w:rFonts w:hint="eastAsia" w:ascii="宋体" w:hAnsi="宋体" w:eastAsia="宋体" w:cs="宋体"/>
                      <w:color w:val="auto"/>
                      <w:sz w:val="21"/>
                      <w:szCs w:val="21"/>
                      <w:bdr w:val="none" w:color="auto" w:sz="0" w:space="0"/>
                    </w:rPr>
                    <w:t>噪声特性，在不同频率情况下≤</w:t>
                  </w:r>
                  <w:r>
                    <w:rPr>
                      <w:rFonts w:hint="default" w:ascii="Times New Roman" w:hAnsi="Times New Roman" w:eastAsia="宋体" w:cs="Times New Roman"/>
                      <w:color w:val="auto"/>
                      <w:sz w:val="21"/>
                      <w:szCs w:val="21"/>
                      <w:bdr w:val="none" w:color="auto" w:sz="0" w:space="0"/>
                    </w:rPr>
                    <w:t>30db</w:t>
                  </w:r>
                  <w:r>
                    <w:rPr>
                      <w:rFonts w:hint="eastAsia" w:ascii="宋体" w:hAnsi="宋体" w:eastAsia="宋体" w:cs="宋体"/>
                      <w:color w:val="auto"/>
                      <w:sz w:val="21"/>
                      <w:szCs w:val="21"/>
                      <w:bdr w:val="none" w:color="auto" w:sz="0" w:space="0"/>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屏幕具备亮度与颜色校正功能；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屏幕白平衡亮度：</w:t>
                  </w:r>
                  <w:r>
                    <w:rPr>
                      <w:rFonts w:hint="default" w:ascii="Times New Roman" w:hAnsi="Times New Roman" w:eastAsia="宋体" w:cs="Times New Roman"/>
                      <w:color w:val="auto"/>
                      <w:sz w:val="21"/>
                      <w:szCs w:val="21"/>
                      <w:bdr w:val="none" w:color="auto" w:sz="0" w:space="0"/>
                    </w:rPr>
                    <w:t>0</w:t>
                  </w:r>
                  <w:r>
                    <w:rPr>
                      <w:rFonts w:hint="eastAsia" w:ascii="宋体" w:hAnsi="宋体" w:eastAsia="宋体" w:cs="宋体"/>
                      <w:color w:val="auto"/>
                      <w:sz w:val="21"/>
                      <w:szCs w:val="21"/>
                      <w:bdr w:val="none" w:color="auto" w:sz="0" w:space="0"/>
                    </w:rPr>
                    <w:t>－</w:t>
                  </w:r>
                  <w:r>
                    <w:rPr>
                      <w:rFonts w:hint="default" w:ascii="Times New Roman" w:hAnsi="Times New Roman" w:eastAsia="宋体" w:cs="Times New Roman"/>
                      <w:color w:val="auto"/>
                      <w:sz w:val="21"/>
                      <w:szCs w:val="21"/>
                      <w:bdr w:val="none" w:color="auto" w:sz="0" w:space="0"/>
                    </w:rPr>
                    <w:t>800cd/</w:t>
                  </w:r>
                  <w:r>
                    <w:rPr>
                      <w:rFonts w:hint="eastAsia" w:ascii="宋体" w:hAnsi="宋体" w:eastAsia="宋体" w:cs="宋体"/>
                      <w:color w:val="auto"/>
                      <w:sz w:val="21"/>
                      <w:szCs w:val="21"/>
                      <w:bdr w:val="none" w:color="auto" w:sz="0" w:space="0"/>
                    </w:rPr>
                    <w:t>㎡可调节；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屏幕色温调节范围：</w:t>
                  </w:r>
                  <w:r>
                    <w:rPr>
                      <w:rFonts w:hint="default" w:ascii="Times New Roman" w:hAnsi="Times New Roman" w:eastAsia="宋体" w:cs="Times New Roman"/>
                      <w:color w:val="auto"/>
                      <w:sz w:val="21"/>
                      <w:szCs w:val="21"/>
                      <w:bdr w:val="none" w:color="auto" w:sz="0" w:space="0"/>
                    </w:rPr>
                    <w:t>3200</w:t>
                  </w:r>
                  <w:r>
                    <w:rPr>
                      <w:rFonts w:hint="eastAsia" w:ascii="宋体" w:hAnsi="宋体" w:eastAsia="宋体" w:cs="宋体"/>
                      <w:color w:val="auto"/>
                      <w:sz w:val="21"/>
                      <w:szCs w:val="21"/>
                      <w:bdr w:val="none" w:color="auto" w:sz="0" w:space="0"/>
                    </w:rPr>
                    <w:t>－</w:t>
                  </w:r>
                  <w:r>
                    <w:rPr>
                      <w:rFonts w:hint="default" w:ascii="Times New Roman" w:hAnsi="Times New Roman" w:eastAsia="宋体" w:cs="Times New Roman"/>
                      <w:color w:val="auto"/>
                      <w:sz w:val="21"/>
                      <w:szCs w:val="21"/>
                      <w:bdr w:val="none" w:color="auto" w:sz="0" w:space="0"/>
                    </w:rPr>
                    <w:t>9300k</w:t>
                  </w:r>
                  <w:r>
                    <w:rPr>
                      <w:rFonts w:hint="eastAsia" w:ascii="宋体" w:hAnsi="宋体" w:eastAsia="宋体" w:cs="宋体"/>
                      <w:color w:val="auto"/>
                      <w:sz w:val="21"/>
                      <w:szCs w:val="21"/>
                      <w:bdr w:val="none" w:color="auto" w:sz="0" w:space="0"/>
                    </w:rPr>
                    <w:t>可调；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屏幕具备基色色度坐标检验功能；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屏幕整体色域覆盖范围包括</w:t>
                  </w:r>
                  <w:r>
                    <w:rPr>
                      <w:rFonts w:hint="default" w:ascii="Times New Roman" w:hAnsi="Times New Roman" w:eastAsia="宋体" w:cs="Times New Roman"/>
                      <w:color w:val="auto"/>
                      <w:sz w:val="21"/>
                      <w:szCs w:val="21"/>
                      <w:bdr w:val="none" w:color="auto" w:sz="0" w:space="0"/>
                    </w:rPr>
                    <w:t>PAL</w:t>
                  </w:r>
                  <w:r>
                    <w:rPr>
                      <w:rFonts w:hint="eastAsia" w:ascii="宋体" w:hAnsi="宋体" w:eastAsia="宋体" w:cs="宋体"/>
                      <w:color w:val="auto"/>
                      <w:sz w:val="21"/>
                      <w:szCs w:val="21"/>
                      <w:bdr w:val="none" w:color="auto" w:sz="0" w:space="0"/>
                    </w:rPr>
                    <w:t>制式色域范围，可通过色度校正将显示屏色域调整为</w:t>
                  </w:r>
                  <w:r>
                    <w:rPr>
                      <w:rFonts w:hint="default" w:ascii="Times New Roman" w:hAnsi="Times New Roman" w:eastAsia="宋体" w:cs="Times New Roman"/>
                      <w:color w:val="auto"/>
                      <w:sz w:val="21"/>
                      <w:szCs w:val="21"/>
                      <w:bdr w:val="none" w:color="auto" w:sz="0" w:space="0"/>
                    </w:rPr>
                    <w:t>PAL</w:t>
                  </w:r>
                  <w:r>
                    <w:rPr>
                      <w:rFonts w:hint="eastAsia" w:ascii="宋体" w:hAnsi="宋体" w:eastAsia="宋体" w:cs="宋体"/>
                      <w:color w:val="auto"/>
                      <w:sz w:val="21"/>
                      <w:szCs w:val="21"/>
                      <w:bdr w:val="none" w:color="auto" w:sz="0" w:space="0"/>
                    </w:rPr>
                    <w:t>制式色域；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屏幕可视角度：水平视角：≥</w:t>
                  </w:r>
                  <w:r>
                    <w:rPr>
                      <w:rFonts w:hint="default" w:ascii="Times New Roman" w:hAnsi="Times New Roman" w:eastAsia="宋体" w:cs="Times New Roman"/>
                      <w:color w:val="auto"/>
                      <w:sz w:val="21"/>
                      <w:szCs w:val="21"/>
                      <w:bdr w:val="none" w:color="auto" w:sz="0" w:space="0"/>
                    </w:rPr>
                    <w:t>165</w:t>
                  </w:r>
                  <w:r>
                    <w:rPr>
                      <w:rFonts w:hint="eastAsia" w:ascii="宋体" w:hAnsi="宋体" w:eastAsia="宋体" w:cs="宋体"/>
                      <w:color w:val="auto"/>
                      <w:sz w:val="21"/>
                      <w:szCs w:val="21"/>
                      <w:bdr w:val="none" w:color="auto" w:sz="0" w:space="0"/>
                    </w:rPr>
                    <w:t>°，垂直视角：≥</w:t>
                  </w:r>
                  <w:r>
                    <w:rPr>
                      <w:rFonts w:hint="default" w:ascii="Times New Roman" w:hAnsi="Times New Roman" w:eastAsia="宋体" w:cs="Times New Roman"/>
                      <w:color w:val="auto"/>
                      <w:sz w:val="21"/>
                      <w:szCs w:val="21"/>
                      <w:bdr w:val="none" w:color="auto" w:sz="0" w:space="0"/>
                    </w:rPr>
                    <w:t>165</w:t>
                  </w:r>
                  <w:r>
                    <w:rPr>
                      <w:rFonts w:hint="eastAsia" w:ascii="宋体" w:hAnsi="宋体" w:eastAsia="宋体" w:cs="宋体"/>
                      <w:color w:val="auto"/>
                      <w:sz w:val="21"/>
                      <w:szCs w:val="21"/>
                      <w:bdr w:val="none" w:color="auto" w:sz="0" w:space="0"/>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屏幕刷新频率≥</w:t>
                  </w:r>
                  <w:r>
                    <w:rPr>
                      <w:rFonts w:hint="default" w:ascii="Times New Roman" w:hAnsi="Times New Roman" w:eastAsia="宋体" w:cs="Times New Roman"/>
                      <w:color w:val="auto"/>
                      <w:sz w:val="21"/>
                      <w:szCs w:val="21"/>
                      <w:bdr w:val="none" w:color="auto" w:sz="0" w:space="0"/>
                    </w:rPr>
                    <w:t>3840Hz</w:t>
                  </w:r>
                  <w:r>
                    <w:rPr>
                      <w:rFonts w:hint="eastAsia" w:ascii="宋体" w:hAnsi="宋体" w:eastAsia="宋体" w:cs="宋体"/>
                      <w:color w:val="auto"/>
                      <w:sz w:val="21"/>
                      <w:szCs w:val="21"/>
                      <w:bdr w:val="none" w:color="auto" w:sz="0" w:space="0"/>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eastAsia" w:ascii="宋体" w:hAnsi="宋体" w:eastAsia="宋体" w:cs="宋体"/>
                      <w:color w:val="auto"/>
                      <w:sz w:val="21"/>
                      <w:szCs w:val="21"/>
                      <w:bdr w:val="none" w:color="auto" w:sz="0" w:space="0"/>
                    </w:rPr>
                    <w:t>支持防潮、防尘、防高温、防腐蚀、防燃烧、防静电、抗震动功能；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屏幕亮度均匀性：≥</w:t>
                  </w:r>
                  <w:r>
                    <w:rPr>
                      <w:rFonts w:hint="default" w:ascii="Times New Roman" w:hAnsi="Times New Roman" w:eastAsia="宋体" w:cs="Times New Roman"/>
                      <w:color w:val="auto"/>
                      <w:sz w:val="21"/>
                      <w:szCs w:val="21"/>
                      <w:bdr w:val="none" w:color="auto" w:sz="0" w:space="0"/>
                    </w:rPr>
                    <w:t>98%</w:t>
                  </w:r>
                  <w:r>
                    <w:rPr>
                      <w:rFonts w:hint="eastAsia" w:ascii="宋体" w:hAnsi="宋体" w:eastAsia="宋体" w:cs="宋体"/>
                      <w:color w:val="auto"/>
                      <w:sz w:val="21"/>
                      <w:szCs w:val="21"/>
                      <w:bdr w:val="none" w:color="auto" w:sz="0" w:space="0"/>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屏幕色温误差≤</w:t>
                  </w:r>
                  <w:r>
                    <w:rPr>
                      <w:rFonts w:hint="default" w:ascii="Times New Roman" w:hAnsi="Times New Roman" w:eastAsia="宋体" w:cs="Times New Roman"/>
                      <w:color w:val="auto"/>
                      <w:sz w:val="21"/>
                      <w:szCs w:val="21"/>
                      <w:bdr w:val="none" w:color="auto" w:sz="0" w:space="0"/>
                    </w:rPr>
                    <w:t>200K</w:t>
                  </w:r>
                  <w:r>
                    <w:rPr>
                      <w:rFonts w:hint="eastAsia" w:ascii="宋体" w:hAnsi="宋体" w:eastAsia="宋体" w:cs="宋体"/>
                      <w:color w:val="auto"/>
                      <w:sz w:val="21"/>
                      <w:szCs w:val="21"/>
                      <w:bdr w:val="none" w:color="auto" w:sz="0" w:space="0"/>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屏幕对比度：≥</w:t>
                  </w:r>
                  <w:r>
                    <w:rPr>
                      <w:rFonts w:hint="default" w:ascii="Times New Roman" w:hAnsi="Times New Roman" w:eastAsia="宋体" w:cs="Times New Roman"/>
                      <w:color w:val="auto"/>
                      <w:sz w:val="21"/>
                      <w:szCs w:val="21"/>
                      <w:bdr w:val="none" w:color="auto" w:sz="0" w:space="0"/>
                    </w:rPr>
                    <w:t>5000:1</w:t>
                  </w:r>
                  <w:r>
                    <w:rPr>
                      <w:rFonts w:hint="eastAsia" w:ascii="宋体" w:hAnsi="宋体" w:eastAsia="宋体" w:cs="宋体"/>
                      <w:color w:val="auto"/>
                      <w:sz w:val="21"/>
                      <w:szCs w:val="21"/>
                      <w:bdr w:val="none" w:color="auto" w:sz="0" w:space="0"/>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屏幕平整度≤</w:t>
                  </w:r>
                  <w:r>
                    <w:rPr>
                      <w:rFonts w:hint="default" w:ascii="Times New Roman" w:hAnsi="Times New Roman" w:eastAsia="宋体" w:cs="Times New Roman"/>
                      <w:color w:val="auto"/>
                      <w:sz w:val="21"/>
                      <w:szCs w:val="21"/>
                      <w:bdr w:val="none" w:color="auto" w:sz="0" w:space="0"/>
                    </w:rPr>
                    <w:t>0.1mm</w:t>
                  </w:r>
                  <w:r>
                    <w:rPr>
                      <w:rFonts w:hint="eastAsia" w:ascii="宋体" w:hAnsi="宋体" w:eastAsia="宋体" w:cs="宋体"/>
                      <w:color w:val="auto"/>
                      <w:sz w:val="21"/>
                      <w:szCs w:val="21"/>
                      <w:bdr w:val="none" w:color="auto" w:sz="0" w:space="0"/>
                    </w:rPr>
                    <w:t>，拼缝≤</w:t>
                  </w:r>
                  <w:r>
                    <w:rPr>
                      <w:rFonts w:hint="default" w:ascii="Times New Roman" w:hAnsi="Times New Roman" w:eastAsia="宋体" w:cs="Times New Roman"/>
                      <w:color w:val="auto"/>
                      <w:sz w:val="21"/>
                      <w:szCs w:val="21"/>
                      <w:bdr w:val="none" w:color="auto" w:sz="0" w:space="0"/>
                    </w:rPr>
                    <w:t>0.1mm</w:t>
                  </w:r>
                  <w:r>
                    <w:rPr>
                      <w:rFonts w:hint="eastAsia" w:ascii="宋体" w:hAnsi="宋体" w:eastAsia="宋体" w:cs="宋体"/>
                      <w:color w:val="auto"/>
                      <w:sz w:val="21"/>
                      <w:szCs w:val="21"/>
                      <w:bdr w:val="none" w:color="auto" w:sz="0" w:space="0"/>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屏幕需满足基于国家标准的击穿电压、绝缘电阻、泄露电流、静电放电、电快速瞬变脉冲群、传导抗扰度、辐射抗扰度、工频磁场、浪涌、电压暂降和短时中断等试验；</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w:t>
                  </w:r>
                  <w:r>
                    <w:rPr>
                      <w:rFonts w:hint="default" w:ascii="Times New Roman" w:hAnsi="Times New Roman" w:eastAsia="宋体" w:cs="Times New Roman"/>
                      <w:color w:val="auto"/>
                      <w:sz w:val="21"/>
                      <w:szCs w:val="21"/>
                      <w:bdr w:val="none" w:color="auto" w:sz="0" w:space="0"/>
                    </w:rPr>
                    <w:t>IP</w:t>
                  </w:r>
                  <w:r>
                    <w:rPr>
                      <w:rFonts w:hint="eastAsia" w:ascii="宋体" w:hAnsi="宋体" w:eastAsia="宋体" w:cs="宋体"/>
                      <w:color w:val="auto"/>
                      <w:sz w:val="21"/>
                      <w:szCs w:val="21"/>
                      <w:bdr w:val="none" w:color="auto" w:sz="0" w:space="0"/>
                    </w:rPr>
                    <w:t>防护等级≥</w:t>
                  </w:r>
                  <w:r>
                    <w:rPr>
                      <w:rFonts w:hint="default" w:ascii="Times New Roman" w:hAnsi="Times New Roman" w:eastAsia="宋体" w:cs="Times New Roman"/>
                      <w:color w:val="auto"/>
                      <w:sz w:val="21"/>
                      <w:szCs w:val="21"/>
                      <w:bdr w:val="none" w:color="auto" w:sz="0" w:space="0"/>
                    </w:rPr>
                    <w:t>IP5X</w:t>
                  </w:r>
                  <w:r>
                    <w:rPr>
                      <w:rFonts w:hint="eastAsia" w:ascii="宋体" w:hAnsi="宋体" w:eastAsia="宋体" w:cs="宋体"/>
                      <w:color w:val="auto"/>
                      <w:sz w:val="21"/>
                      <w:szCs w:val="21"/>
                      <w:bdr w:val="none" w:color="auto" w:sz="0" w:space="0"/>
                    </w:rPr>
                    <w:t>，温升应﹤</w:t>
                  </w:r>
                  <w:r>
                    <w:rPr>
                      <w:rFonts w:hint="default" w:ascii="Times New Roman" w:hAnsi="Times New Roman" w:eastAsia="宋体" w:cs="Times New Roman"/>
                      <w:color w:val="auto"/>
                      <w:sz w:val="21"/>
                      <w:szCs w:val="21"/>
                      <w:bdr w:val="none" w:color="auto" w:sz="0" w:space="0"/>
                    </w:rPr>
                    <w:t>15K</w:t>
                  </w:r>
                  <w:r>
                    <w:rPr>
                      <w:rFonts w:hint="eastAsia" w:ascii="宋体" w:hAnsi="宋体" w:eastAsia="宋体" w:cs="宋体"/>
                      <w:color w:val="auto"/>
                      <w:sz w:val="21"/>
                      <w:szCs w:val="21"/>
                      <w:bdr w:val="none" w:color="auto" w:sz="0" w:space="0"/>
                    </w:rPr>
                    <w:t>，以防止产品内部元器件因受潮、积尘、散热不佳、温升过快等原因导致的故障率升高、寿命减少等问题；</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default" w:ascii="Times New Roman" w:hAnsi="Times New Roman" w:eastAsia="宋体" w:cs="Times New Roman"/>
                      <w:color w:val="auto"/>
                      <w:sz w:val="21"/>
                      <w:szCs w:val="21"/>
                      <w:bdr w:val="none" w:color="auto" w:sz="0" w:space="0"/>
                    </w:rPr>
                    <w:t>LED</w:t>
                  </w:r>
                  <w:r>
                    <w:rPr>
                      <w:rFonts w:hint="eastAsia" w:ascii="宋体" w:hAnsi="宋体" w:eastAsia="宋体" w:cs="宋体"/>
                      <w:color w:val="auto"/>
                      <w:sz w:val="21"/>
                      <w:szCs w:val="21"/>
                      <w:bdr w:val="none" w:color="auto" w:sz="0" w:space="0"/>
                    </w:rPr>
                    <w:t>屏幕在正常工作条件下，连续工作时间不小于</w:t>
                  </w:r>
                  <w:r>
                    <w:rPr>
                      <w:rFonts w:hint="default" w:ascii="Times New Roman" w:hAnsi="Times New Roman" w:eastAsia="宋体" w:cs="Times New Roman"/>
                      <w:color w:val="auto"/>
                      <w:sz w:val="21"/>
                      <w:szCs w:val="21"/>
                      <w:bdr w:val="none" w:color="auto" w:sz="0" w:space="0"/>
                    </w:rPr>
                    <w:t>168</w:t>
                  </w:r>
                  <w:r>
                    <w:rPr>
                      <w:rFonts w:hint="eastAsia" w:ascii="宋体" w:hAnsi="宋体" w:eastAsia="宋体" w:cs="宋体"/>
                      <w:color w:val="auto"/>
                      <w:sz w:val="21"/>
                      <w:szCs w:val="21"/>
                      <w:bdr w:val="none" w:color="auto" w:sz="0" w:space="0"/>
                    </w:rPr>
                    <w:t>（</w:t>
                  </w:r>
                  <w:r>
                    <w:rPr>
                      <w:rFonts w:hint="default" w:ascii="Times New Roman" w:hAnsi="Times New Roman" w:eastAsia="宋体" w:cs="Times New Roman"/>
                      <w:color w:val="auto"/>
                      <w:sz w:val="21"/>
                      <w:szCs w:val="21"/>
                      <w:bdr w:val="none" w:color="auto" w:sz="0" w:space="0"/>
                    </w:rPr>
                    <w:t>7*24</w:t>
                  </w:r>
                  <w:r>
                    <w:rPr>
                      <w:rFonts w:hint="eastAsia" w:ascii="宋体" w:hAnsi="宋体" w:eastAsia="宋体" w:cs="宋体"/>
                      <w:color w:val="auto"/>
                      <w:sz w:val="21"/>
                      <w:szCs w:val="21"/>
                      <w:bdr w:val="none" w:color="auto" w:sz="0" w:space="0"/>
                    </w:rPr>
                    <w:t>）小时；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eastAsia" w:ascii="宋体" w:hAnsi="宋体" w:eastAsia="宋体" w:cs="宋体"/>
                      <w:color w:val="auto"/>
                      <w:sz w:val="21"/>
                      <w:szCs w:val="21"/>
                      <w:bdr w:val="none" w:color="auto" w:sz="0" w:space="0"/>
                      <w:shd w:val="clear" w:fill="FFFFFF"/>
                    </w:rPr>
                    <w:t>显示屏尺寸≥</w:t>
                  </w:r>
                  <w:r>
                    <w:rPr>
                      <w:rStyle w:val="7"/>
                      <w:rFonts w:hint="eastAsia" w:ascii="宋体" w:hAnsi="宋体" w:eastAsia="宋体" w:cs="宋体"/>
                      <w:color w:val="auto"/>
                      <w:sz w:val="21"/>
                      <w:szCs w:val="21"/>
                      <w:bdr w:val="none" w:color="auto" w:sz="0" w:space="0"/>
                      <w:shd w:val="clear" w:fill="FFFFFF"/>
                    </w:rPr>
                    <w:t>7.36m*4m</w:t>
                  </w:r>
                  <w:r>
                    <w:rPr>
                      <w:rFonts w:hint="eastAsia" w:ascii="宋体" w:hAnsi="宋体" w:eastAsia="宋体" w:cs="宋体"/>
                      <w:color w:val="auto"/>
                      <w:sz w:val="21"/>
                      <w:szCs w:val="21"/>
                      <w:bdr w:val="none" w:color="auto" w:sz="0" w:space="0"/>
                      <w:shd w:val="clear" w:fill="FFFFFF"/>
                    </w:rPr>
                    <w:t>（显示部分的净面积，不含包边的面积）；</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eastAsia" w:ascii="宋体" w:hAnsi="宋体" w:eastAsia="宋体" w:cs="宋体"/>
                      <w:color w:val="auto"/>
                      <w:sz w:val="21"/>
                      <w:szCs w:val="21"/>
                      <w:bdr w:val="none" w:color="auto" w:sz="0" w:space="0"/>
                    </w:rPr>
                    <w:t>整屏分辨率≥</w:t>
                  </w:r>
                  <w:r>
                    <w:rPr>
                      <w:rFonts w:hint="default" w:ascii="Times New Roman" w:hAnsi="Times New Roman" w:eastAsia="宋体" w:cs="Times New Roman"/>
                      <w:color w:val="auto"/>
                      <w:sz w:val="21"/>
                      <w:szCs w:val="21"/>
                      <w:bdr w:val="none" w:color="auto" w:sz="0" w:space="0"/>
                    </w:rPr>
                    <w:t>3956*2150</w:t>
                  </w:r>
                  <w:r>
                    <w:rPr>
                      <w:rFonts w:hint="eastAsia" w:ascii="宋体" w:hAnsi="宋体" w:eastAsia="宋体" w:cs="宋体"/>
                      <w:color w:val="auto"/>
                      <w:sz w:val="21"/>
                      <w:szCs w:val="21"/>
                      <w:bdr w:val="none" w:color="auto" w:sz="0" w:space="0"/>
                    </w:rPr>
                    <w:t>（显示比例接近标准</w:t>
                  </w:r>
                  <w:r>
                    <w:rPr>
                      <w:rFonts w:hint="default" w:ascii="Times New Roman" w:hAnsi="Times New Roman" w:eastAsia="宋体" w:cs="Times New Roman"/>
                      <w:color w:val="auto"/>
                      <w:sz w:val="21"/>
                      <w:szCs w:val="21"/>
                      <w:bdr w:val="none" w:color="auto" w:sz="0" w:space="0"/>
                    </w:rPr>
                    <w:t>16:9</w:t>
                  </w:r>
                  <w:r>
                    <w:rPr>
                      <w:rFonts w:hint="eastAsia" w:ascii="宋体" w:hAnsi="宋体" w:eastAsia="宋体" w:cs="宋体"/>
                      <w:color w:val="auto"/>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宋体" w:hAnsi="宋体" w:eastAsia="宋体" w:cs="宋体"/>
                      <w:color w:val="auto"/>
                      <w:sz w:val="21"/>
                      <w:szCs w:val="21"/>
                      <w:bdr w:val="none" w:color="auto" w:sz="0" w:space="0"/>
                    </w:rPr>
                    <w:t>注：供应商成交后，签订合同前，须提供</w:t>
                  </w:r>
                  <w:r>
                    <w:rPr>
                      <w:rFonts w:hint="default" w:ascii="Times New Roman" w:hAnsi="Times New Roman" w:eastAsia="宋体" w:cs="Times New Roman"/>
                      <w:color w:val="auto"/>
                      <w:sz w:val="21"/>
                      <w:szCs w:val="21"/>
                      <w:bdr w:val="none" w:color="auto" w:sz="0" w:space="0"/>
                    </w:rPr>
                    <w:t>1-23</w:t>
                  </w:r>
                  <w:r>
                    <w:rPr>
                      <w:rFonts w:hint="eastAsia" w:ascii="宋体" w:hAnsi="宋体" w:eastAsia="宋体" w:cs="宋体"/>
                      <w:color w:val="auto"/>
                      <w:sz w:val="21"/>
                      <w:szCs w:val="21"/>
                      <w:bdr w:val="none" w:color="auto" w:sz="0" w:space="0"/>
                    </w:rPr>
                    <w:t>项参数证明文件复印件（参数证明文件仅限于第三方检测机构出具的检测报告或权威机构出具的证书）；否则，采购人有权取消供应商成交资格。</w:t>
                  </w:r>
                </w:p>
              </w:tc>
              <w:tc>
                <w:tcPr>
                  <w:tcW w:w="890"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M2</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right"/>
                    <w:rPr>
                      <w:rFonts w:hint="eastAsia" w:ascii="宋体" w:hAnsi="宋体" w:eastAsia="宋体" w:cs="宋体"/>
                      <w:color w:val="auto"/>
                    </w:rPr>
                  </w:pPr>
                  <w:r>
                    <w:rPr>
                      <w:rFonts w:hint="eastAsia" w:ascii="仿宋" w:hAnsi="仿宋" w:eastAsia="仿宋" w:cs="仿宋"/>
                      <w:color w:val="auto"/>
                      <w:sz w:val="24"/>
                      <w:szCs w:val="24"/>
                      <w:bdr w:val="none" w:color="auto" w:sz="0" w:space="0"/>
                    </w:rPr>
                    <w:t>29.44</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rPr>
                      <w:rFonts w:hint="eastAsia" w:ascii="宋体" w:hAnsi="宋体" w:eastAsia="宋体" w:cs="宋体"/>
                      <w:color w:val="auto"/>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1"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2</w:t>
                  </w:r>
                </w:p>
              </w:tc>
              <w:tc>
                <w:tcPr>
                  <w:tcW w:w="1731" w:type="dxa"/>
                  <w:gridSpan w:val="2"/>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LED视频控制器（含播放控制软件）</w:t>
                  </w:r>
                </w:p>
              </w:tc>
              <w:tc>
                <w:tcPr>
                  <w:tcW w:w="6902"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eastAsia" w:ascii="宋体" w:hAnsi="宋体" w:eastAsia="宋体" w:cs="宋体"/>
                      <w:color w:val="auto"/>
                      <w:sz w:val="21"/>
                      <w:szCs w:val="21"/>
                      <w:bdr w:val="none" w:color="auto" w:sz="0" w:space="0"/>
                    </w:rPr>
                    <w:t>LED控制系统设备与LED显示屏为同一品牌，单台视频控制器不少于4个网口输出，USB接口控制，单台视频控制器最大带载能力不小于1920×1200或2048×1152，支持全屏亮度统一调节、支持硬件工作状态监控、支持配置文件回读等功能；</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eastAsia" w:ascii="宋体" w:hAnsi="宋体" w:eastAsia="宋体" w:cs="宋体"/>
                      <w:color w:val="auto"/>
                      <w:sz w:val="21"/>
                      <w:szCs w:val="21"/>
                      <w:bdr w:val="none" w:color="auto" w:sz="0" w:space="0"/>
                    </w:rPr>
                    <w:t>LED控制系统采用提高LED显示屏刷新率算法；</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eastAsia" w:ascii="宋体" w:hAnsi="宋体" w:eastAsia="宋体" w:cs="宋体"/>
                      <w:color w:val="auto"/>
                      <w:sz w:val="21"/>
                      <w:szCs w:val="21"/>
                      <w:bdr w:val="none" w:color="auto" w:sz="0" w:space="0"/>
                    </w:rPr>
                    <w:t>LED屏幕专用控制软件可实现对LED显示屏的智能配置、参数调节、亮度控制、电源管理、屏体校正以及硬件监控；</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left"/>
                    <w:rPr>
                      <w:rFonts w:hint="eastAsia" w:ascii="宋体" w:hAnsi="宋体" w:eastAsia="宋体" w:cs="宋体"/>
                      <w:color w:val="auto"/>
                    </w:rPr>
                  </w:pPr>
                  <w:r>
                    <w:rPr>
                      <w:rFonts w:hint="eastAsia" w:ascii="宋体" w:hAnsi="宋体" w:eastAsia="宋体" w:cs="宋体"/>
                      <w:color w:val="auto"/>
                      <w:sz w:val="21"/>
                      <w:szCs w:val="21"/>
                      <w:bdr w:val="none" w:color="auto" w:sz="0" w:space="0"/>
                    </w:rPr>
                    <w:t>LED屏幕专用控制软件应具备多媒体编辑、特效组合、伽马调节、权限管理、DES算法\IDEA算法\RS算法\DSA算法数据加密、屏体设置、等功能。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宋体" w:hAnsi="宋体" w:eastAsia="宋体" w:cs="宋体"/>
                      <w:color w:val="auto"/>
                      <w:sz w:val="21"/>
                      <w:szCs w:val="21"/>
                      <w:bdr w:val="none" w:color="auto" w:sz="0" w:space="0"/>
                    </w:rPr>
                    <w:t>注：供应商成交后，签订合同前，须提供以上参数证明文件复印件（参数证明文件仅限于第三方检测机构出具的检测报告或权威机构出具的证书）；否则，采购人有权取消供应商成交资格。</w:t>
                  </w:r>
                </w:p>
              </w:tc>
              <w:tc>
                <w:tcPr>
                  <w:tcW w:w="890"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台</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Fonts w:hint="eastAsia" w:ascii="仿宋" w:hAnsi="仿宋" w:eastAsia="仿宋" w:cs="仿宋"/>
                      <w:color w:val="auto"/>
                      <w:sz w:val="24"/>
                      <w:szCs w:val="24"/>
                      <w:bdr w:val="none" w:color="auto" w:sz="0" w:space="0"/>
                    </w:rPr>
                    <w:t>1</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rPr>
                      <w:rFonts w:hint="eastAsia" w:ascii="宋体" w:hAnsi="宋体" w:eastAsia="宋体" w:cs="宋体"/>
                      <w:color w:val="auto"/>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1"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3</w:t>
                  </w:r>
                </w:p>
              </w:tc>
              <w:tc>
                <w:tcPr>
                  <w:tcW w:w="1731" w:type="dxa"/>
                  <w:gridSpan w:val="2"/>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控制系统主机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（强制节能产品）</w:t>
                  </w:r>
                </w:p>
              </w:tc>
              <w:tc>
                <w:tcPr>
                  <w:tcW w:w="6902"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1.Intel酷睿I7处理器，8G内存，1T硬盘，2G独立显卡，21.5英寸宽屏液晶显示器。</w:t>
                  </w:r>
                </w:p>
              </w:tc>
              <w:tc>
                <w:tcPr>
                  <w:tcW w:w="890"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台</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Fonts w:hint="eastAsia" w:ascii="仿宋" w:hAnsi="仿宋" w:eastAsia="仿宋" w:cs="仿宋"/>
                      <w:color w:val="auto"/>
                      <w:sz w:val="24"/>
                      <w:szCs w:val="24"/>
                      <w:bdr w:val="none" w:color="auto" w:sz="0" w:space="0"/>
                    </w:rPr>
                    <w:t>1</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rPr>
                      <w:rFonts w:hint="eastAsia" w:ascii="宋体" w:hAnsi="宋体" w:eastAsia="宋体" w:cs="宋体"/>
                      <w:color w:val="auto"/>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1"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4</w:t>
                  </w:r>
                </w:p>
              </w:tc>
              <w:tc>
                <w:tcPr>
                  <w:tcW w:w="1731" w:type="dxa"/>
                  <w:gridSpan w:val="2"/>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设备机柜</w:t>
                  </w:r>
                </w:p>
              </w:tc>
              <w:tc>
                <w:tcPr>
                  <w:tcW w:w="6902"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1.24U以上标准设备机柜</w:t>
                  </w:r>
                </w:p>
              </w:tc>
              <w:tc>
                <w:tcPr>
                  <w:tcW w:w="890"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套</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Fonts w:hint="eastAsia" w:ascii="仿宋" w:hAnsi="仿宋" w:eastAsia="仿宋" w:cs="仿宋"/>
                      <w:color w:val="auto"/>
                      <w:sz w:val="24"/>
                      <w:szCs w:val="24"/>
                      <w:bdr w:val="none" w:color="auto" w:sz="0" w:space="0"/>
                    </w:rPr>
                    <w:t>1</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rPr>
                      <w:rFonts w:hint="eastAsia" w:ascii="宋体" w:hAnsi="宋体" w:eastAsia="宋体" w:cs="宋体"/>
                      <w:color w:val="auto"/>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1"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bookmarkStart w:id="0" w:name="_GoBack" w:colFirst="0" w:colLast="0"/>
                  <w:r>
                    <w:rPr>
                      <w:rFonts w:hint="eastAsia" w:ascii="仿宋" w:hAnsi="仿宋" w:eastAsia="仿宋" w:cs="仿宋"/>
                      <w:color w:val="auto"/>
                      <w:sz w:val="24"/>
                      <w:szCs w:val="24"/>
                      <w:bdr w:val="none" w:color="auto" w:sz="0" w:space="0"/>
                    </w:rPr>
                    <w:t>5</w:t>
                  </w:r>
                </w:p>
              </w:tc>
              <w:tc>
                <w:tcPr>
                  <w:tcW w:w="1731" w:type="dxa"/>
                  <w:gridSpan w:val="2"/>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both"/>
                    <w:rPr>
                      <w:rFonts w:hint="eastAsia" w:ascii="宋体" w:hAnsi="宋体" w:eastAsia="宋体" w:cs="宋体"/>
                      <w:color w:val="auto"/>
                    </w:rPr>
                  </w:pPr>
                  <w:r>
                    <w:rPr>
                      <w:rFonts w:hint="eastAsia" w:ascii="仿宋" w:hAnsi="仿宋" w:eastAsia="仿宋" w:cs="仿宋"/>
                      <w:color w:val="auto"/>
                      <w:sz w:val="24"/>
                      <w:szCs w:val="24"/>
                      <w:bdr w:val="none" w:color="auto" w:sz="0" w:space="0"/>
                    </w:rPr>
                    <w:t>智能电源管理中心</w:t>
                  </w:r>
                </w:p>
              </w:tc>
              <w:tc>
                <w:tcPr>
                  <w:tcW w:w="6902"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both"/>
                    <w:rPr>
                      <w:rFonts w:hint="eastAsia" w:ascii="宋体" w:hAnsi="宋体" w:eastAsia="宋体" w:cs="宋体"/>
                      <w:color w:val="auto"/>
                    </w:rPr>
                  </w:pPr>
                  <w:r>
                    <w:rPr>
                      <w:rFonts w:hint="eastAsia" w:ascii="宋体" w:hAnsi="宋体" w:eastAsia="宋体" w:cs="宋体"/>
                      <w:color w:val="auto"/>
                      <w:sz w:val="21"/>
                      <w:szCs w:val="21"/>
                      <w:bdr w:val="none" w:color="auto" w:sz="0" w:space="0"/>
                    </w:rPr>
                    <w:t>输入：三相五线制AC380V±10％，50/60Hz；</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both"/>
                    <w:rPr>
                      <w:rFonts w:hint="eastAsia" w:ascii="宋体" w:hAnsi="宋体" w:eastAsia="宋体" w:cs="宋体"/>
                      <w:color w:val="auto"/>
                    </w:rPr>
                  </w:pPr>
                  <w:r>
                    <w:rPr>
                      <w:rFonts w:hint="eastAsia" w:ascii="宋体" w:hAnsi="宋体" w:eastAsia="宋体" w:cs="宋体"/>
                      <w:color w:val="auto"/>
                      <w:sz w:val="21"/>
                      <w:szCs w:val="21"/>
                      <w:bdr w:val="none" w:color="auto" w:sz="0" w:space="0"/>
                    </w:rPr>
                    <w:t>输出：12路输出，最大功率4KW；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both"/>
                    <w:rPr>
                      <w:rFonts w:hint="eastAsia" w:ascii="宋体" w:hAnsi="宋体" w:eastAsia="宋体" w:cs="宋体"/>
                      <w:color w:val="auto"/>
                    </w:rPr>
                  </w:pPr>
                  <w:r>
                    <w:rPr>
                      <w:rFonts w:hint="eastAsia" w:ascii="宋体" w:hAnsi="宋体" w:eastAsia="宋体" w:cs="宋体"/>
                      <w:color w:val="auto"/>
                      <w:sz w:val="21"/>
                      <w:szCs w:val="21"/>
                      <w:bdr w:val="none" w:color="auto" w:sz="0" w:space="0"/>
                    </w:rPr>
                    <w:t>12路一键式顺序、逆序开关，同时可以选择输出通道及其开启顺序，每路可独立开关；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both"/>
                    <w:rPr>
                      <w:rFonts w:hint="eastAsia" w:ascii="宋体" w:hAnsi="宋体" w:eastAsia="宋体" w:cs="宋体"/>
                      <w:color w:val="auto"/>
                    </w:rPr>
                  </w:pPr>
                  <w:r>
                    <w:rPr>
                      <w:rFonts w:hint="eastAsia" w:ascii="宋体" w:hAnsi="宋体" w:eastAsia="宋体" w:cs="宋体"/>
                      <w:color w:val="auto"/>
                      <w:sz w:val="21"/>
                      <w:szCs w:val="21"/>
                      <w:bdr w:val="none" w:color="auto" w:sz="0" w:space="0"/>
                    </w:rPr>
                    <w:t>每路输出由液压电磁式断路器提供过载保护；</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both"/>
                    <w:rPr>
                      <w:rFonts w:hint="eastAsia" w:ascii="宋体" w:hAnsi="宋体" w:eastAsia="宋体" w:cs="宋体"/>
                      <w:color w:val="auto"/>
                    </w:rPr>
                  </w:pPr>
                  <w:r>
                    <w:rPr>
                      <w:rFonts w:hint="eastAsia" w:ascii="宋体" w:hAnsi="宋体" w:eastAsia="宋体" w:cs="宋体"/>
                      <w:color w:val="auto"/>
                      <w:sz w:val="21"/>
                      <w:szCs w:val="21"/>
                      <w:bdr w:val="none" w:color="auto" w:sz="0" w:space="0"/>
                    </w:rPr>
                    <w:t>每路输出通道都具有电流电压测量、漏电报警；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both"/>
                    <w:rPr>
                      <w:rFonts w:hint="eastAsia" w:ascii="宋体" w:hAnsi="宋体" w:eastAsia="宋体" w:cs="宋体"/>
                      <w:color w:val="auto"/>
                    </w:rPr>
                  </w:pPr>
                  <w:r>
                    <w:rPr>
                      <w:rFonts w:hint="eastAsia" w:ascii="宋体" w:hAnsi="宋体" w:eastAsia="宋体" w:cs="宋体"/>
                      <w:color w:val="auto"/>
                      <w:sz w:val="21"/>
                      <w:szCs w:val="21"/>
                      <w:bdr w:val="none" w:color="auto" w:sz="0" w:space="0"/>
                    </w:rPr>
                    <w:t>手机或电脑或云平台可以远程实时监控每路输出通道的电流、功率、温度、设备运行时长和三相平衡等参数；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both"/>
                    <w:rPr>
                      <w:rFonts w:hint="eastAsia" w:ascii="宋体" w:hAnsi="宋体" w:eastAsia="宋体" w:cs="宋体"/>
                      <w:color w:val="auto"/>
                    </w:rPr>
                  </w:pPr>
                  <w:r>
                    <w:rPr>
                      <w:rFonts w:hint="eastAsia" w:ascii="宋体" w:hAnsi="宋体" w:eastAsia="宋体" w:cs="宋体"/>
                      <w:color w:val="auto"/>
                      <w:sz w:val="21"/>
                      <w:szCs w:val="21"/>
                      <w:bdr w:val="none" w:color="auto" w:sz="0" w:space="0"/>
                    </w:rPr>
                    <w:t>设备内部温度检测报警，上传至云端，实时数据监测；</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both"/>
                    <w:rPr>
                      <w:rFonts w:hint="eastAsia" w:ascii="宋体" w:hAnsi="宋体" w:eastAsia="宋体" w:cs="宋体"/>
                      <w:color w:val="auto"/>
                    </w:rPr>
                  </w:pPr>
                  <w:r>
                    <w:rPr>
                      <w:rFonts w:hint="eastAsia" w:ascii="宋体" w:hAnsi="宋体" w:eastAsia="宋体" w:cs="宋体"/>
                      <w:color w:val="auto"/>
                      <w:sz w:val="21"/>
                      <w:szCs w:val="21"/>
                      <w:bdr w:val="none" w:color="auto" w:sz="0" w:space="0"/>
                    </w:rPr>
                    <w:t>显示：≥2.8寸触摸屏，可以显示设备状态；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720" w:right="0" w:hanging="360"/>
                    <w:jc w:val="both"/>
                    <w:rPr>
                      <w:rFonts w:hint="eastAsia" w:ascii="宋体" w:hAnsi="宋体" w:eastAsia="宋体" w:cs="宋体"/>
                      <w:color w:val="auto"/>
                    </w:rPr>
                  </w:pPr>
                  <w:r>
                    <w:rPr>
                      <w:rFonts w:hint="eastAsia" w:ascii="宋体" w:hAnsi="宋体" w:eastAsia="宋体" w:cs="宋体"/>
                      <w:color w:val="auto"/>
                      <w:sz w:val="21"/>
                      <w:szCs w:val="21"/>
                      <w:bdr w:val="none" w:color="auto" w:sz="0" w:space="0"/>
                    </w:rPr>
                    <w:t>通过云平台或APP远程控制每路输出的通断；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both"/>
                    <w:rPr>
                      <w:rFonts w:hint="eastAsia" w:ascii="宋体" w:hAnsi="宋体" w:eastAsia="宋体" w:cs="宋体"/>
                      <w:color w:val="auto"/>
                    </w:rPr>
                  </w:pPr>
                  <w:r>
                    <w:rPr>
                      <w:rFonts w:hint="eastAsia" w:ascii="宋体" w:hAnsi="宋体" w:eastAsia="宋体" w:cs="宋体"/>
                      <w:color w:val="auto"/>
                      <w:sz w:val="21"/>
                      <w:szCs w:val="21"/>
                      <w:bdr w:val="none" w:color="auto" w:sz="0" w:space="0"/>
                    </w:rPr>
                    <w:t>注：以上参数投标时须提供第三方检测机构出具的检测报告复印件佐证，检测报告编号可在全国认证认可信息公共服务平台（www.cnca.cn）查询，须提供查询截图。</w:t>
                  </w:r>
                </w:p>
              </w:tc>
              <w:tc>
                <w:tcPr>
                  <w:tcW w:w="890"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套</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Fonts w:hint="eastAsia" w:ascii="仿宋" w:hAnsi="仿宋" w:eastAsia="仿宋" w:cs="仿宋"/>
                      <w:color w:val="auto"/>
                      <w:sz w:val="24"/>
                      <w:szCs w:val="24"/>
                      <w:bdr w:val="none" w:color="auto" w:sz="0" w:space="0"/>
                    </w:rPr>
                    <w:t>1</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rPr>
                      <w:rFonts w:hint="eastAsia" w:ascii="宋体" w:hAnsi="宋体" w:eastAsia="宋体" w:cs="宋体"/>
                      <w:color w:val="auto"/>
                      <w:sz w:val="15"/>
                      <w:szCs w:val="15"/>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1"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6</w:t>
                  </w:r>
                </w:p>
              </w:tc>
              <w:tc>
                <w:tcPr>
                  <w:tcW w:w="1731" w:type="dxa"/>
                  <w:gridSpan w:val="2"/>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钢结构及装饰</w:t>
                  </w:r>
                </w:p>
              </w:tc>
              <w:tc>
                <w:tcPr>
                  <w:tcW w:w="6902"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1.钢结构制作、安装，用于固定显示屏、提供检修通道；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2.不锈钢包边装饰。</w:t>
                  </w:r>
                </w:p>
              </w:tc>
              <w:tc>
                <w:tcPr>
                  <w:tcW w:w="890"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项</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Fonts w:hint="eastAsia" w:ascii="仿宋" w:hAnsi="仿宋" w:eastAsia="仿宋" w:cs="仿宋"/>
                      <w:color w:val="auto"/>
                      <w:sz w:val="24"/>
                      <w:szCs w:val="24"/>
                      <w:bdr w:val="none" w:color="auto" w:sz="0" w:space="0"/>
                    </w:rPr>
                    <w:t>1</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Style w:val="7"/>
                      <w:rFonts w:hint="eastAsia" w:ascii="仿宋" w:hAnsi="仿宋" w:eastAsia="仿宋" w:cs="仿宋"/>
                      <w:color w:val="auto"/>
                      <w:sz w:val="24"/>
                      <w:szCs w:val="24"/>
                      <w:bdr w:val="none" w:color="auto" w:sz="0" w:space="0"/>
                    </w:rPr>
                    <w:t>不列入标的名称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1"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7</w:t>
                  </w:r>
                </w:p>
              </w:tc>
              <w:tc>
                <w:tcPr>
                  <w:tcW w:w="1731" w:type="dxa"/>
                  <w:gridSpan w:val="2"/>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安装、调试及培训</w:t>
                  </w:r>
                </w:p>
              </w:tc>
              <w:tc>
                <w:tcPr>
                  <w:tcW w:w="6902"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1.包含系统所有设备的安装、调试及操作维护培训。</w:t>
                  </w:r>
                </w:p>
              </w:tc>
              <w:tc>
                <w:tcPr>
                  <w:tcW w:w="890"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项</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Fonts w:hint="eastAsia" w:ascii="仿宋" w:hAnsi="仿宋" w:eastAsia="仿宋" w:cs="仿宋"/>
                      <w:color w:val="auto"/>
                      <w:sz w:val="24"/>
                      <w:szCs w:val="24"/>
                      <w:bdr w:val="none" w:color="auto" w:sz="0" w:space="0"/>
                    </w:rPr>
                    <w:t>1</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Style w:val="7"/>
                      <w:rFonts w:hint="eastAsia" w:ascii="仿宋" w:hAnsi="仿宋" w:eastAsia="仿宋" w:cs="仿宋"/>
                      <w:color w:val="auto"/>
                      <w:sz w:val="24"/>
                      <w:szCs w:val="24"/>
                      <w:bdr w:val="none" w:color="auto" w:sz="0" w:space="0"/>
                    </w:rPr>
                    <w:t>不列入标的名称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1"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8</w:t>
                  </w:r>
                </w:p>
              </w:tc>
              <w:tc>
                <w:tcPr>
                  <w:tcW w:w="1731" w:type="dxa"/>
                  <w:gridSpan w:val="2"/>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线材及辅材</w:t>
                  </w:r>
                </w:p>
              </w:tc>
              <w:tc>
                <w:tcPr>
                  <w:tcW w:w="6902"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1.电源线：RVV3*2.5电源线；</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2.网线：超5类室内网线，0.5mm无氧铜，PVC护套，阻燃等级CM，灰色；</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3.PVC线管：所需各规格PVC管材及接头、弯头等。</w:t>
                  </w:r>
                </w:p>
              </w:tc>
              <w:tc>
                <w:tcPr>
                  <w:tcW w:w="890"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left"/>
                    <w:rPr>
                      <w:rFonts w:hint="eastAsia" w:ascii="宋体" w:hAnsi="宋体" w:eastAsia="宋体" w:cs="宋体"/>
                      <w:color w:val="auto"/>
                    </w:rPr>
                  </w:pPr>
                  <w:r>
                    <w:rPr>
                      <w:rFonts w:hint="eastAsia" w:ascii="仿宋" w:hAnsi="仿宋" w:eastAsia="仿宋" w:cs="仿宋"/>
                      <w:color w:val="auto"/>
                      <w:sz w:val="24"/>
                      <w:szCs w:val="24"/>
                      <w:bdr w:val="none" w:color="auto" w:sz="0" w:space="0"/>
                    </w:rPr>
                    <w:t>项</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Fonts w:hint="eastAsia" w:ascii="仿宋" w:hAnsi="仿宋" w:eastAsia="仿宋" w:cs="仿宋"/>
                      <w:color w:val="auto"/>
                      <w:sz w:val="24"/>
                      <w:szCs w:val="24"/>
                      <w:bdr w:val="none" w:color="auto" w:sz="0" w:space="0"/>
                    </w:rPr>
                    <w:t>1</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Style w:val="7"/>
                      <w:rFonts w:hint="eastAsia" w:ascii="仿宋" w:hAnsi="仿宋" w:eastAsia="仿宋" w:cs="仿宋"/>
                      <w:color w:val="auto"/>
                      <w:sz w:val="24"/>
                      <w:szCs w:val="24"/>
                      <w:bdr w:val="none" w:color="auto" w:sz="0" w:space="0"/>
                    </w:rPr>
                    <w:t>不列入标的名称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1"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hAnsi="宋体" w:eastAsia="宋体" w:cs="宋体"/>
                      <w:color w:val="auto"/>
                      <w:sz w:val="15"/>
                      <w:szCs w:val="15"/>
                    </w:rPr>
                  </w:pPr>
                </w:p>
              </w:tc>
              <w:tc>
                <w:tcPr>
                  <w:tcW w:w="1731" w:type="dxa"/>
                  <w:gridSpan w:val="2"/>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center"/>
                    <w:rPr>
                      <w:rFonts w:hint="eastAsia" w:ascii="宋体" w:hAnsi="宋体" w:eastAsia="宋体" w:cs="宋体"/>
                      <w:color w:val="auto"/>
                    </w:rPr>
                  </w:pPr>
                  <w:r>
                    <w:rPr>
                      <w:rStyle w:val="7"/>
                      <w:rFonts w:hint="eastAsia" w:ascii="仿宋" w:hAnsi="仿宋" w:eastAsia="仿宋" w:cs="仿宋"/>
                      <w:color w:val="auto"/>
                      <w:sz w:val="24"/>
                      <w:szCs w:val="24"/>
                      <w:bdr w:val="none" w:color="auto" w:sz="0" w:space="0"/>
                    </w:rPr>
                    <w:t>合计</w:t>
                  </w:r>
                </w:p>
              </w:tc>
              <w:tc>
                <w:tcPr>
                  <w:tcW w:w="8766" w:type="dxa"/>
                  <w:gridSpan w:val="3"/>
                  <w:tcBorders>
                    <w:top w:val="nil"/>
                    <w:left w:val="nil"/>
                    <w:bottom w:val="single" w:color="000000" w:sz="4" w:space="0"/>
                    <w:right w:val="single" w:color="000000" w:sz="4"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0"/>
                    <w:jc w:val="both"/>
                    <w:rPr>
                      <w:rFonts w:hint="eastAsia" w:ascii="宋体" w:hAnsi="宋体" w:eastAsia="宋体" w:cs="宋体"/>
                      <w:color w:val="auto"/>
                    </w:rPr>
                  </w:pPr>
                  <w:r>
                    <w:rPr>
                      <w:rFonts w:hint="eastAsia" w:ascii="仿宋" w:hAnsi="仿宋" w:eastAsia="仿宋" w:cs="仿宋"/>
                      <w:color w:val="auto"/>
                      <w:sz w:val="24"/>
                      <w:szCs w:val="24"/>
                      <w:bdr w:val="none" w:color="auto" w:sz="0" w:space="0"/>
                    </w:rPr>
                    <w:t>496800.00元</w:t>
                  </w:r>
                </w:p>
              </w:tc>
              <w:tc>
                <w:tcPr>
                  <w:tcW w:w="974" w:type="dxa"/>
                  <w:tcBorders>
                    <w:top w:val="nil"/>
                    <w:left w:val="nil"/>
                    <w:bottom w:val="single" w:color="000000" w:sz="4" w:space="0"/>
                    <w:right w:val="single" w:color="000000" w:sz="4" w:space="0"/>
                  </w:tcBorders>
                  <w:shd w:val="clear"/>
                  <w:tcMar>
                    <w:left w:w="84" w:type="dxa"/>
                    <w:right w:w="84" w:type="dxa"/>
                  </w:tcMar>
                  <w:vAlign w:val="center"/>
                </w:tcPr>
                <w:p>
                  <w:pPr>
                    <w:rPr>
                      <w:rFonts w:hint="eastAsia" w:ascii="宋体" w:hAnsi="宋体" w:eastAsia="宋体" w:cs="宋体"/>
                      <w:color w:val="auto"/>
                      <w:sz w:val="15"/>
                      <w:szCs w:val="15"/>
                    </w:rPr>
                  </w:pPr>
                </w:p>
              </w:tc>
            </w:tr>
          </w:tbl>
          <w:p>
            <w:pPr>
              <w:wordWrap w:val="0"/>
              <w:spacing w:before="0" w:beforeAutospacing="0" w:after="0" w:afterAutospacing="0" w:line="384" w:lineRule="atLeast"/>
              <w:ind w:left="0" w:right="0"/>
              <w:rPr>
                <w:rFonts w:hint="eastAsia" w:ascii="宋体" w:hAnsi="宋体" w:eastAsia="宋体" w:cs="宋体"/>
                <w:color w:val="auto"/>
              </w:rPr>
            </w:pPr>
          </w:p>
        </w:tc>
      </w:tr>
    </w:tbl>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4CC63E"/>
    <w:multiLevelType w:val="multilevel"/>
    <w:tmpl w:val="924CC63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CEAEF852"/>
    <w:multiLevelType w:val="multilevel"/>
    <w:tmpl w:val="CEAEF852"/>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D7CE1459"/>
    <w:multiLevelType w:val="multilevel"/>
    <w:tmpl w:val="D7CE145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3ZDE3MGIyMmMwMGYxMzA1OWEwNzk3Zjg3ZGFhNjAifQ=="/>
  </w:docVars>
  <w:rsids>
    <w:rsidRoot w:val="0EF431D8"/>
    <w:rsid w:val="0EF431D8"/>
    <w:rsid w:val="2DD26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3532</Words>
  <Characters>3885</Characters>
  <Lines>0</Lines>
  <Paragraphs>0</Paragraphs>
  <TotalTime>2</TotalTime>
  <ScaleCrop>false</ScaleCrop>
  <LinksUpToDate>false</LinksUpToDate>
  <CharactersWithSpaces>3922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2023-02-06T01:49:00Z</dcterms:created>
  <dc:creator>吴丹</dc:creator>
  <cp:lastModifiedBy>吴丹</cp:lastModifiedBy>
  <dcterms:modified xsi:type="dcterms:W3CDTF">2023-02-06T02:02:19Z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BE41568BF4114572A305FBFE35E44B07</vt:lpwstr>
  </property>
</Properties>
</file>