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480" w:lineRule="auto"/>
        <w:ind w:right="240"/>
        <w:jc w:val="left"/>
        <w:rPr>
          <w:rFonts w:hint="eastAsia" w:ascii="宋体" w:hAnsi="宋体" w:eastAsia="宋体" w:cs="宋体"/>
          <w:b/>
          <w:color w:val="auto"/>
          <w:kern w:val="2"/>
          <w:sz w:val="24"/>
          <w:szCs w:val="24"/>
          <w:lang w:val="zh-CN" w:eastAsia="zh-CN" w:bidi="ar-SA"/>
        </w:rPr>
      </w:pPr>
      <w:bookmarkStart w:id="0" w:name="_Toc27497"/>
      <w:bookmarkStart w:id="1" w:name="_Toc12739"/>
      <w:bookmarkStart w:id="2" w:name="_Toc8752_WPSOffice_Level2"/>
      <w:bookmarkStart w:id="3" w:name="_Toc6974"/>
      <w:bookmarkStart w:id="4" w:name="_Toc9683"/>
      <w:bookmarkStart w:id="5" w:name="_Toc7101"/>
      <w:r>
        <w:rPr>
          <w:rFonts w:hint="eastAsia" w:ascii="宋体" w:hAnsi="宋体" w:eastAsia="宋体" w:cs="宋体"/>
          <w:b/>
          <w:color w:val="auto"/>
          <w:kern w:val="2"/>
          <w:sz w:val="24"/>
          <w:szCs w:val="24"/>
          <w:lang w:val="zh-CN" w:eastAsia="zh-CN" w:bidi="ar-SA"/>
        </w:rPr>
        <w:t>项目概况</w:t>
      </w:r>
    </w:p>
    <w:p>
      <w:pPr>
        <w:pStyle w:val="7"/>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蒙顶山风景名胜区位于雅安市雨城区与名山区行政辖区内，包含蒙顶山、碧峰峡、上里古镇、金凤等4个景区。风景名胜区现行法定总体规划《雅安市蒙顶山风景名胜区总体规划（2017—2030年）》于2018年1月获</w:t>
      </w:r>
      <w:r>
        <w:rPr>
          <w:rFonts w:hint="eastAsia" w:ascii="宋体" w:hAnsi="宋体" w:cs="宋体"/>
          <w:color w:val="auto"/>
          <w:sz w:val="24"/>
          <w:szCs w:val="24"/>
          <w:lang w:val="en-US" w:eastAsia="zh-CN"/>
        </w:rPr>
        <w:t>四川</w:t>
      </w:r>
      <w:r>
        <w:rPr>
          <w:rFonts w:hint="eastAsia" w:ascii="宋体" w:hAnsi="宋体" w:cs="宋体"/>
          <w:color w:val="auto"/>
          <w:sz w:val="24"/>
          <w:szCs w:val="24"/>
        </w:rPr>
        <w:t>省人民政府批复，确定风景名胜区总面积183.2平方公里。</w:t>
      </w:r>
    </w:p>
    <w:p>
      <w:pPr>
        <w:pStyle w:val="7"/>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2022年7月，国家林草局印发《关于做好风景名胜区整合优化预案编制工作的函》（办函保字〔2022〕99号），要求启动风景名胜区整合优化工作。</w:t>
      </w:r>
      <w:r>
        <w:rPr>
          <w:rFonts w:hint="eastAsia" w:ascii="宋体" w:hAnsi="宋体" w:cs="宋体"/>
          <w:color w:val="auto"/>
          <w:sz w:val="24"/>
          <w:szCs w:val="24"/>
          <w:lang w:val="en-US" w:eastAsia="zh-CN"/>
        </w:rPr>
        <w:t>四川</w:t>
      </w:r>
      <w:r>
        <w:rPr>
          <w:rFonts w:hint="eastAsia" w:ascii="宋体" w:hAnsi="宋体" w:cs="宋体"/>
          <w:color w:val="auto"/>
          <w:sz w:val="24"/>
          <w:szCs w:val="24"/>
        </w:rPr>
        <w:t>省林草局组织开展了全省风景名胜区整合优化工作，形成《四川省风景名胜区整合优化预案（送审稿）》，并已通过国家林草局的技术审查。整合优化后的蒙顶山风景名胜区仅涉及名山区行政辖区，总面积调整为36.88平方公里。</w:t>
      </w:r>
    </w:p>
    <w:p>
      <w:pPr>
        <w:pStyle w:val="7"/>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整合优化后，风景名胜区的范围和面积均发生了较大变化，原法定规划已无法引领风景名胜区发展，无法有效指导风景名胜区的保护、利用和管理工作，风景名胜区总体规划修编工作亟待启动。按风景名胜区相关管理要求，省级风景名胜区总体规划修编工作启动之前需由</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区</w:t>
      </w:r>
      <w:r>
        <w:rPr>
          <w:rFonts w:hint="eastAsia" w:ascii="宋体" w:hAnsi="宋体" w:cs="宋体"/>
          <w:color w:val="auto"/>
          <w:sz w:val="24"/>
          <w:szCs w:val="24"/>
          <w:lang w:eastAsia="zh-CN"/>
        </w:rPr>
        <w:t>）</w:t>
      </w:r>
      <w:r>
        <w:rPr>
          <w:rFonts w:hint="eastAsia" w:ascii="宋体" w:hAnsi="宋体" w:cs="宋体"/>
          <w:color w:val="auto"/>
          <w:sz w:val="24"/>
          <w:szCs w:val="24"/>
        </w:rPr>
        <w:t>县级人民政府开展原风景名胜区法定规划实施评估，作出是否重新编制规划的决定。因此，需同步开展原风景名胜区总体规划实施评估和风景名胜区总体规划修编两项工作。</w:t>
      </w:r>
    </w:p>
    <w:p>
      <w:pPr>
        <w:pStyle w:val="7"/>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同时，蒙顶山景区内风景资源与游览活动最集中的区域已编制了详细规划《雅安市蒙顶山风景名胜区蒙顶重点地段详细规划》，并于2018年11月由四川省住房与城乡建设厅批准实施。但该详细规划编制时间较早，规划内容无法与蒙顶山景区创建国家5A级旅游景区工作进行有效衔接，导致大量拟建项目无法落地。为加快推进蒙顶山景区提升改造，助力创建国家5A级旅游景区，需尽快启动雅安市蒙顶山风景名胜区蒙顶重点地段详细规划修编工作，与风景名胜区总体规划修编工作同步开展，待风景名胜区总体规划修编批复后即可第一时间启动报批程序，最快时间获得该区域建设项目落地的直接规划依据。</w:t>
      </w:r>
    </w:p>
    <w:p>
      <w:pPr>
        <w:pStyle w:val="7"/>
        <w:numPr>
          <w:ilvl w:val="0"/>
          <w:numId w:val="0"/>
        </w:numPr>
        <w:spacing w:line="480" w:lineRule="auto"/>
        <w:ind w:leftChars="0"/>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二、工作目标</w:t>
      </w:r>
    </w:p>
    <w:p>
      <w:pPr>
        <w:pStyle w:val="7"/>
        <w:spacing w:line="480" w:lineRule="auto"/>
        <w:ind w:firstLine="480" w:firstLineChars="200"/>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color w:val="auto"/>
          <w:sz w:val="24"/>
          <w:szCs w:val="24"/>
          <w:lang w:val="zh-TW"/>
        </w:rPr>
        <w:t>编制完成《〈雅安市蒙顶山风景名胜区总体规划（2017—2030年）〉实施评估报告》、《雅安市蒙顶山风景名胜区总体规划（2023—2035年）》及《雅安市蒙顶山风景名胜区蒙顶重点地段详细规划（2023年）》成果。</w:t>
      </w:r>
    </w:p>
    <w:p>
      <w:pPr>
        <w:spacing w:line="480" w:lineRule="auto"/>
        <w:ind w:right="240"/>
        <w:jc w:val="left"/>
        <w:rPr>
          <w:rFonts w:hint="default" w:ascii="宋体" w:hAnsi="宋体" w:eastAsia="宋体" w:cs="宋体"/>
          <w:b/>
          <w:color w:val="auto"/>
          <w:kern w:val="2"/>
          <w:sz w:val="24"/>
          <w:szCs w:val="24"/>
          <w:lang w:val="en-US" w:eastAsia="zh-CN" w:bidi="ar-SA"/>
        </w:rPr>
      </w:pPr>
      <w:r>
        <w:rPr>
          <w:rFonts w:hint="eastAsia" w:cs="宋体"/>
          <w:b/>
          <w:color w:val="auto"/>
          <w:kern w:val="2"/>
          <w:sz w:val="24"/>
          <w:szCs w:val="24"/>
          <w:lang w:val="en-US" w:eastAsia="zh-CN" w:bidi="ar-SA"/>
        </w:rPr>
        <w:t>三</w:t>
      </w:r>
      <w:r>
        <w:rPr>
          <w:rFonts w:hint="eastAsia" w:ascii="宋体" w:hAnsi="宋体" w:eastAsia="宋体" w:cs="宋体"/>
          <w:b/>
          <w:color w:val="auto"/>
          <w:kern w:val="2"/>
          <w:sz w:val="24"/>
          <w:szCs w:val="24"/>
          <w:lang w:val="en-US" w:eastAsia="zh-CN" w:bidi="ar-SA"/>
        </w:rPr>
        <w:t>、服务内容</w:t>
      </w:r>
      <w:r>
        <w:rPr>
          <w:rFonts w:hint="eastAsia" w:cs="宋体"/>
          <w:b/>
          <w:color w:val="auto"/>
          <w:kern w:val="2"/>
          <w:sz w:val="24"/>
          <w:szCs w:val="24"/>
          <w:lang w:val="en-US" w:eastAsia="zh-CN" w:bidi="ar-SA"/>
        </w:rPr>
        <w:t>及要求</w:t>
      </w:r>
      <w:r>
        <w:rPr>
          <w:rFonts w:hint="eastAsia" w:ascii="宋体" w:hAnsi="宋体" w:eastAsia="宋体" w:cs="宋体"/>
          <w:b/>
          <w:color w:val="auto"/>
          <w:kern w:val="2"/>
          <w:sz w:val="24"/>
          <w:szCs w:val="24"/>
          <w:lang w:val="en-US" w:eastAsia="zh-CN" w:bidi="ar-SA"/>
        </w:rPr>
        <w:t>（实质性要求）</w:t>
      </w:r>
    </w:p>
    <w:p>
      <w:pPr>
        <w:numPr>
          <w:ilvl w:val="0"/>
          <w:numId w:val="0"/>
        </w:numPr>
        <w:adjustRightInd/>
        <w:snapToGrid/>
        <w:spacing w:line="480" w:lineRule="auto"/>
        <w:ind w:firstLine="241" w:firstLineChars="100"/>
        <w:jc w:val="both"/>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(一)风景名胜区总体规划实施评估工作内容</w:t>
      </w:r>
    </w:p>
    <w:p>
      <w:pPr>
        <w:pStyle w:val="7"/>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highlight w:val="none"/>
        </w:rPr>
        <w:t>根据《风景名胜区条例》《四川省风景名胜区条例》《</w:t>
      </w:r>
      <w:r>
        <w:rPr>
          <w:rFonts w:hint="eastAsia" w:ascii="宋体" w:hAnsi="宋体" w:cs="宋体"/>
          <w:color w:val="auto"/>
          <w:sz w:val="24"/>
          <w:szCs w:val="24"/>
        </w:rPr>
        <w:t>风景名胜区总体规划评估报告框架》等国家、省相关法规和文件要求，对《雅安市蒙顶山风景名胜区总体规划（2017—2030年）》在风景名胜区保护、利用和管理方面的指导性，以及总体规划编制、实施和监管的一致性等进行科学评估，提出是否重新编制规划的结论，明确重新编制规划需解决的重要事项和重点问题，并提出针对性的措施建议，为下一步规划编制提供指导。</w:t>
      </w:r>
    </w:p>
    <w:p>
      <w:pPr>
        <w:numPr>
          <w:ilvl w:val="0"/>
          <w:numId w:val="0"/>
        </w:numPr>
        <w:adjustRightInd/>
        <w:snapToGrid/>
        <w:spacing w:line="480" w:lineRule="auto"/>
        <w:ind w:firstLine="241" w:firstLineChars="100"/>
        <w:jc w:val="both"/>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(二)风景名胜区总体规划修编工作内容</w:t>
      </w:r>
    </w:p>
    <w:p>
      <w:pPr>
        <w:pStyle w:val="7"/>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根据《风景名胜区条例》《四川省风景名胜区条例》《风景名胜区总体规划标准》等国家、省相关法律法规和技术标准要求，充分对接名山区国土空间总体规划和其他重要专项规划，立足风景名胜区资源保护实际，充分考虑未来发展，合理进行功能区划以及土地和重大设施布局，统筹考虑和提出矛盾化解方法，平衡好保护和利用的关系。</w:t>
      </w:r>
    </w:p>
    <w:p>
      <w:pPr>
        <w:numPr>
          <w:ilvl w:val="0"/>
          <w:numId w:val="0"/>
        </w:numPr>
        <w:adjustRightInd/>
        <w:snapToGrid/>
        <w:spacing w:line="480" w:lineRule="auto"/>
        <w:ind w:firstLine="241" w:firstLineChars="100"/>
        <w:jc w:val="both"/>
        <w:rPr>
          <w:rFonts w:hint="eastAsia" w:ascii="宋体" w:hAnsi="宋体" w:eastAsia="宋体" w:cs="宋体"/>
          <w:b/>
          <w:bCs/>
          <w:i w:val="0"/>
          <w:iCs w:val="0"/>
          <w:color w:val="auto"/>
          <w:kern w:val="0"/>
          <w:sz w:val="24"/>
          <w:szCs w:val="24"/>
          <w:u w:val="none"/>
          <w:lang w:val="en-US" w:eastAsia="zh-CN" w:bidi="ar"/>
        </w:rPr>
      </w:pPr>
      <w:r>
        <w:rPr>
          <w:rFonts w:hint="eastAsia" w:ascii="宋体" w:hAnsi="宋体" w:eastAsia="宋体" w:cs="宋体"/>
          <w:b/>
          <w:bCs/>
          <w:i w:val="0"/>
          <w:iCs w:val="0"/>
          <w:color w:val="auto"/>
          <w:kern w:val="0"/>
          <w:sz w:val="24"/>
          <w:szCs w:val="24"/>
          <w:u w:val="none"/>
          <w:lang w:val="en-US" w:eastAsia="zh-CN" w:bidi="ar"/>
        </w:rPr>
        <w:t>(三)风景名胜区详细规划工作内容</w:t>
      </w:r>
    </w:p>
    <w:p>
      <w:pPr>
        <w:pStyle w:val="7"/>
        <w:spacing w:line="48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rPr>
        <w:t>根据《风景名胜区条例》《四川省风景名胜区条例》《风景名胜区详细规划标准》《雅安市蒙顶山风景名胜区总体规划（2023—2035年）》等国家、省相关法律法规、技术标准和规划要求，充分衔接蒙顶山景区创建国家5A级旅游景区相关建设项目，为风景名胜区的建设</w:t>
      </w:r>
      <w:r>
        <w:rPr>
          <w:rFonts w:hint="eastAsia" w:ascii="宋体" w:hAnsi="宋体" w:cs="宋体"/>
          <w:color w:val="auto"/>
          <w:sz w:val="24"/>
          <w:szCs w:val="24"/>
          <w:highlight w:val="none"/>
        </w:rPr>
        <w:t>管理、设施布局和游赏利用提供直接依据。</w:t>
      </w:r>
    </w:p>
    <w:p>
      <w:pPr>
        <w:spacing w:line="480" w:lineRule="auto"/>
        <w:ind w:right="240"/>
        <w:jc w:val="left"/>
        <w:rPr>
          <w:rFonts w:hint="eastAsia" w:ascii="宋体" w:hAnsi="宋体" w:eastAsia="宋体" w:cs="宋体"/>
          <w:b/>
          <w:color w:val="auto"/>
          <w:kern w:val="2"/>
          <w:sz w:val="24"/>
          <w:szCs w:val="24"/>
          <w:lang w:val="en-US" w:eastAsia="zh-CN" w:bidi="ar-SA"/>
        </w:rPr>
      </w:pPr>
    </w:p>
    <w:p>
      <w:pPr>
        <w:spacing w:line="480" w:lineRule="auto"/>
        <w:ind w:right="240"/>
        <w:jc w:val="left"/>
        <w:rPr>
          <w:rFonts w:hint="eastAsia" w:ascii="宋体" w:hAnsi="宋体" w:eastAsia="宋体" w:cs="宋体"/>
          <w:b/>
          <w:color w:val="auto"/>
          <w:kern w:val="2"/>
          <w:sz w:val="24"/>
          <w:szCs w:val="24"/>
          <w:lang w:val="en-US" w:eastAsia="zh-CN" w:bidi="ar-SA"/>
        </w:rPr>
      </w:pPr>
      <w:r>
        <w:rPr>
          <w:rFonts w:hint="eastAsia" w:cs="宋体"/>
          <w:b/>
          <w:color w:val="auto"/>
          <w:kern w:val="2"/>
          <w:sz w:val="24"/>
          <w:szCs w:val="24"/>
          <w:lang w:val="en-US" w:eastAsia="zh-CN" w:bidi="ar-SA"/>
        </w:rPr>
        <w:t>四</w:t>
      </w:r>
      <w:r>
        <w:rPr>
          <w:rFonts w:hint="eastAsia" w:ascii="宋体" w:hAnsi="宋体" w:eastAsia="宋体" w:cs="宋体"/>
          <w:b/>
          <w:color w:val="auto"/>
          <w:kern w:val="2"/>
          <w:sz w:val="24"/>
          <w:szCs w:val="24"/>
          <w:lang w:val="en-US" w:eastAsia="zh-CN" w:bidi="ar-SA"/>
        </w:rPr>
        <w:t>、执行的技术</w:t>
      </w:r>
      <w:r>
        <w:rPr>
          <w:rFonts w:hint="eastAsia" w:ascii="宋体" w:hAnsi="宋体" w:eastAsia="宋体" w:cs="宋体"/>
          <w:b/>
          <w:bCs/>
          <w:color w:val="auto"/>
          <w:sz w:val="24"/>
          <w:szCs w:val="24"/>
          <w:lang w:val="zh-TW"/>
        </w:rPr>
        <w:t>标准</w:t>
      </w:r>
      <w:r>
        <w:rPr>
          <w:rFonts w:hint="eastAsia" w:cs="宋体"/>
          <w:b/>
          <w:bCs/>
          <w:color w:val="auto"/>
          <w:sz w:val="24"/>
          <w:szCs w:val="24"/>
          <w:lang w:val="en-US" w:eastAsia="zh-CN"/>
        </w:rPr>
        <w:t>及</w:t>
      </w:r>
      <w:r>
        <w:rPr>
          <w:rFonts w:hint="eastAsia" w:cs="宋体"/>
          <w:b/>
          <w:color w:val="auto"/>
          <w:kern w:val="2"/>
          <w:sz w:val="24"/>
          <w:szCs w:val="24"/>
          <w:lang w:val="en-US" w:eastAsia="zh-CN" w:bidi="ar-SA"/>
        </w:rPr>
        <w:t>要求</w:t>
      </w:r>
      <w:r>
        <w:rPr>
          <w:rFonts w:hint="eastAsia" w:ascii="宋体" w:hAnsi="宋体" w:eastAsia="宋体" w:cs="宋体"/>
          <w:b/>
          <w:color w:val="auto"/>
          <w:kern w:val="2"/>
          <w:sz w:val="24"/>
          <w:szCs w:val="24"/>
          <w:lang w:val="en-US" w:eastAsia="zh-CN" w:bidi="ar-SA"/>
        </w:rPr>
        <w:t>（实质性要求）</w:t>
      </w:r>
    </w:p>
    <w:p>
      <w:pPr>
        <w:pStyle w:val="7"/>
        <w:spacing w:line="480" w:lineRule="auto"/>
        <w:ind w:firstLine="482" w:firstLineChars="200"/>
        <w:rPr>
          <w:rFonts w:hint="eastAsia" w:ascii="宋体" w:hAnsi="宋体" w:eastAsia="宋体" w:cs="宋体"/>
          <w:b/>
          <w:bCs/>
          <w:color w:val="auto"/>
          <w:sz w:val="24"/>
          <w:szCs w:val="24"/>
          <w:lang w:val="zh-TW"/>
        </w:rPr>
      </w:pPr>
      <w:r>
        <w:rPr>
          <w:rFonts w:hint="eastAsia" w:ascii="宋体" w:hAnsi="宋体" w:eastAsia="宋体" w:cs="宋体"/>
          <w:b/>
          <w:bCs/>
          <w:color w:val="auto"/>
          <w:sz w:val="24"/>
          <w:szCs w:val="24"/>
          <w:lang w:val="zh-TW"/>
        </w:rPr>
        <w:t>（一）技术标准</w:t>
      </w:r>
    </w:p>
    <w:p>
      <w:pPr>
        <w:pStyle w:val="7"/>
        <w:spacing w:line="480" w:lineRule="auto"/>
        <w:ind w:firstLine="480" w:firstLineChars="200"/>
        <w:rPr>
          <w:rFonts w:hint="eastAsia" w:ascii="宋体" w:hAnsi="宋体" w:eastAsia="宋体" w:cs="宋体"/>
          <w:color w:val="auto"/>
          <w:sz w:val="24"/>
          <w:szCs w:val="24"/>
        </w:rPr>
      </w:pPr>
      <w:bookmarkStart w:id="6" w:name="_Toc6364"/>
      <w:r>
        <w:rPr>
          <w:rFonts w:hint="eastAsia" w:ascii="宋体" w:hAnsi="宋体" w:eastAsia="宋体" w:cs="宋体"/>
          <w:color w:val="auto"/>
          <w:sz w:val="24"/>
          <w:szCs w:val="24"/>
        </w:rPr>
        <w:t>按照《中华人民共和国城乡规划法》(2019年修订)、国务院《风景名胜区条例》(2016年修订)、《四川省风景名胜区条例》(2010年)、《关于建立国土空间规划体系并监督实施的若干意见》(中发〔2019〕18号)、《关于建立以国家公园为主体的自然保护地体系的指导意见》(中办〔2019〕42号)、《四川省林业和草原局转发〈国家林业和草原局自然保护地管理司关于切实加强风景名胜区监督管理工作的通知〉的通知》(川林自函〔2020〕 635号)、《四川省林业和草原局转发〈国家林业和草原局自然保护地管理司关于做好自然保护地整合优化期间管理工作的通知&gt;的通知(川林自函(2020)868号)》、《风景名胜区总体规划标准(GB/T 50298-2018)》、《风景名胜区详细规划标准》（GB/51294-2018）等法律法规、政策文件和技术规范的要求编制规划。</w:t>
      </w:r>
    </w:p>
    <w:p>
      <w:pPr>
        <w:pStyle w:val="3"/>
        <w:adjustRightInd/>
        <w:snapToGrid/>
        <w:spacing w:line="360" w:lineRule="auto"/>
        <w:ind w:firstLine="480"/>
        <w:jc w:val="both"/>
        <w:rPr>
          <w:rFonts w:hint="eastAsia" w:ascii="宋体" w:hAnsi="宋体" w:eastAsia="宋体" w:cs="宋体"/>
          <w:bCs/>
          <w:color w:val="auto"/>
          <w:sz w:val="24"/>
        </w:rPr>
      </w:pPr>
      <w:r>
        <w:rPr>
          <w:rFonts w:hint="eastAsia" w:ascii="宋体" w:hAnsi="宋体" w:eastAsia="宋体" w:cs="宋体"/>
          <w:b/>
          <w:bCs w:val="0"/>
          <w:color w:val="auto"/>
          <w:kern w:val="2"/>
          <w:sz w:val="24"/>
          <w:szCs w:val="24"/>
          <w:lang w:val="en-US" w:eastAsia="zh-CN" w:bidi="ar-SA"/>
        </w:rPr>
        <w:t>注：以上</w:t>
      </w:r>
      <w:r>
        <w:rPr>
          <w:rFonts w:hint="eastAsia" w:ascii="宋体" w:hAnsi="宋体" w:eastAsia="宋体" w:cs="宋体"/>
          <w:b/>
          <w:bCs/>
          <w:color w:val="auto"/>
          <w:sz w:val="24"/>
          <w:szCs w:val="24"/>
          <w:lang w:val="en-US" w:eastAsia="zh-CN"/>
        </w:rPr>
        <w:t>执行的技术文件在履约期间</w:t>
      </w:r>
      <w:r>
        <w:rPr>
          <w:rFonts w:hint="eastAsia" w:ascii="宋体" w:hAnsi="宋体" w:eastAsia="宋体" w:cs="宋体"/>
          <w:b/>
          <w:bCs w:val="0"/>
          <w:color w:val="auto"/>
          <w:kern w:val="2"/>
          <w:sz w:val="24"/>
          <w:szCs w:val="24"/>
          <w:lang w:val="en-US" w:eastAsia="zh-CN" w:bidi="ar-SA"/>
        </w:rPr>
        <w:t>若有国家</w:t>
      </w:r>
      <w:r>
        <w:rPr>
          <w:rFonts w:hint="eastAsia" w:ascii="宋体" w:cs="宋体"/>
          <w:b/>
          <w:bCs w:val="0"/>
          <w:color w:val="auto"/>
          <w:kern w:val="2"/>
          <w:sz w:val="24"/>
          <w:szCs w:val="24"/>
          <w:lang w:val="en-US" w:eastAsia="zh-CN" w:bidi="ar-SA"/>
        </w:rPr>
        <w:t>及相关主管部门</w:t>
      </w:r>
      <w:r>
        <w:rPr>
          <w:rFonts w:hint="eastAsia" w:ascii="宋体" w:hAnsi="宋体" w:eastAsia="宋体" w:cs="宋体"/>
          <w:b/>
          <w:bCs w:val="0"/>
          <w:color w:val="auto"/>
          <w:kern w:val="2"/>
          <w:sz w:val="24"/>
          <w:szCs w:val="24"/>
          <w:lang w:val="en-US" w:eastAsia="zh-CN" w:bidi="ar-SA"/>
        </w:rPr>
        <w:t>最新规范、标准、要求，以最新规范、标准、要求执行。</w:t>
      </w:r>
    </w:p>
    <w:p>
      <w:pPr>
        <w:pStyle w:val="7"/>
        <w:spacing w:line="480" w:lineRule="auto"/>
        <w:ind w:firstLine="482" w:firstLineChars="200"/>
        <w:rPr>
          <w:rFonts w:hint="eastAsia" w:ascii="宋体" w:hAnsi="宋体" w:eastAsia="宋体" w:cs="宋体"/>
          <w:b/>
          <w:bCs/>
          <w:color w:val="auto"/>
          <w:sz w:val="24"/>
          <w:szCs w:val="24"/>
          <w:lang w:val="zh-TW"/>
        </w:rPr>
      </w:pPr>
      <w:r>
        <w:rPr>
          <w:rFonts w:hint="eastAsia" w:ascii="宋体" w:hAnsi="宋体" w:eastAsia="宋体" w:cs="宋体"/>
          <w:b/>
          <w:bCs/>
          <w:color w:val="auto"/>
          <w:sz w:val="24"/>
          <w:szCs w:val="24"/>
          <w:lang w:val="zh-TW"/>
        </w:rPr>
        <w:t>（二）</w:t>
      </w:r>
      <w:bookmarkEnd w:id="6"/>
      <w:r>
        <w:rPr>
          <w:rFonts w:hint="eastAsia" w:ascii="宋体" w:hAnsi="宋体" w:cs="宋体"/>
          <w:b/>
          <w:bCs/>
          <w:color w:val="auto"/>
          <w:sz w:val="24"/>
          <w:szCs w:val="24"/>
          <w:lang w:val="en-US" w:eastAsia="zh-CN"/>
        </w:rPr>
        <w:t>技术</w:t>
      </w:r>
      <w:r>
        <w:rPr>
          <w:rFonts w:hint="eastAsia" w:ascii="宋体" w:hAnsi="宋体" w:eastAsia="宋体" w:cs="宋体"/>
          <w:b/>
          <w:bCs/>
          <w:color w:val="auto"/>
          <w:sz w:val="24"/>
          <w:szCs w:val="24"/>
          <w:lang w:val="zh-TW"/>
        </w:rPr>
        <w:t>要求</w:t>
      </w:r>
    </w:p>
    <w:p>
      <w:pPr>
        <w:pStyle w:val="7"/>
        <w:spacing w:line="48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编制规划必须坚持生态文明和绿色发展的理念，在保证风景名胜资源完整性基础上，合理核定和矢量化风景名胜区范围，并立足风景名胜区资源保护实际，充分考虑未来发展，合理进行功能区划以及土地和重大设施布局，统筹考虑和提出矛盾化解方法，平衡好保护和利用的关系。</w:t>
      </w:r>
    </w:p>
    <w:p>
      <w:pPr>
        <w:spacing w:line="480" w:lineRule="auto"/>
        <w:ind w:right="240"/>
        <w:jc w:val="left"/>
        <w:rPr>
          <w:rFonts w:hint="default" w:ascii="宋体" w:hAnsi="宋体" w:eastAsia="宋体" w:cs="宋体"/>
          <w:b/>
          <w:color w:val="auto"/>
          <w:kern w:val="2"/>
          <w:sz w:val="24"/>
          <w:szCs w:val="24"/>
          <w:lang w:val="en-US" w:eastAsia="zh-CN" w:bidi="ar-SA"/>
        </w:rPr>
      </w:pPr>
      <w:r>
        <w:rPr>
          <w:rFonts w:hint="eastAsia" w:cs="宋体"/>
          <w:b/>
          <w:color w:val="auto"/>
          <w:kern w:val="2"/>
          <w:sz w:val="24"/>
          <w:szCs w:val="24"/>
          <w:lang w:val="en-US" w:eastAsia="zh-CN" w:bidi="ar-SA"/>
        </w:rPr>
        <w:t>五</w:t>
      </w:r>
      <w:r>
        <w:rPr>
          <w:rFonts w:hint="eastAsia" w:ascii="宋体" w:hAnsi="宋体" w:eastAsia="宋体" w:cs="宋体"/>
          <w:b/>
          <w:color w:val="auto"/>
          <w:kern w:val="2"/>
          <w:sz w:val="24"/>
          <w:szCs w:val="24"/>
          <w:lang w:val="en-US" w:eastAsia="zh-CN" w:bidi="ar-SA"/>
        </w:rPr>
        <w:t>、成果要求（实质性要求）</w:t>
      </w:r>
    </w:p>
    <w:p>
      <w:pPr>
        <w:pStyle w:val="7"/>
        <w:spacing w:line="480" w:lineRule="auto"/>
        <w:ind w:firstLine="482" w:firstLineChars="200"/>
        <w:rPr>
          <w:rFonts w:hint="eastAsia" w:ascii="宋体" w:hAnsi="宋体" w:eastAsia="宋体" w:cs="宋体"/>
          <w:b/>
          <w:bCs/>
          <w:color w:val="auto"/>
          <w:sz w:val="24"/>
          <w:szCs w:val="24"/>
          <w:lang w:val="zh-TW"/>
        </w:rPr>
      </w:pPr>
      <w:r>
        <w:rPr>
          <w:rFonts w:hint="eastAsia" w:ascii="宋体" w:hAnsi="宋体" w:eastAsia="宋体" w:cs="宋体"/>
          <w:b/>
          <w:bCs/>
          <w:color w:val="auto"/>
          <w:sz w:val="24"/>
          <w:szCs w:val="24"/>
          <w:lang w:val="zh-TW" w:eastAsia="zh-CN"/>
        </w:rPr>
        <w:t>（</w:t>
      </w: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lang w:val="zh-TW" w:eastAsia="zh-CN"/>
        </w:rPr>
        <w:t>）</w:t>
      </w:r>
      <w:r>
        <w:rPr>
          <w:rFonts w:hint="eastAsia" w:ascii="宋体" w:hAnsi="宋体" w:eastAsia="宋体" w:cs="宋体"/>
          <w:b/>
          <w:bCs/>
          <w:color w:val="auto"/>
          <w:sz w:val="24"/>
          <w:szCs w:val="24"/>
          <w:lang w:val="zh-TW"/>
        </w:rPr>
        <w:t>《〈雅安市蒙顶山风景名胜区总体规划（2017—2030年）〉实施评估报告》</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包括总则、原总体规划概况、景观资源保护评估、规划实施一致性评估、规划指导性评估、规划履行相关法规情况评估及评估结论和建议。</w:t>
      </w:r>
    </w:p>
    <w:p>
      <w:pPr>
        <w:pStyle w:val="7"/>
        <w:spacing w:line="480" w:lineRule="auto"/>
        <w:ind w:firstLine="482" w:firstLineChars="200"/>
        <w:rPr>
          <w:rFonts w:hint="eastAsia" w:ascii="宋体" w:hAnsi="宋体" w:eastAsia="宋体" w:cs="宋体"/>
          <w:b/>
          <w:bCs/>
          <w:color w:val="auto"/>
          <w:sz w:val="24"/>
          <w:szCs w:val="24"/>
          <w:lang w:val="zh-TW" w:eastAsia="zh-CN"/>
        </w:rPr>
      </w:pPr>
    </w:p>
    <w:p>
      <w:pPr>
        <w:pStyle w:val="7"/>
        <w:spacing w:line="480" w:lineRule="auto"/>
        <w:ind w:firstLine="482" w:firstLineChars="200"/>
        <w:rPr>
          <w:rFonts w:hint="eastAsia" w:ascii="宋体" w:hAnsi="宋体" w:eastAsia="宋体" w:cs="宋体"/>
          <w:b/>
          <w:bCs/>
          <w:color w:val="auto"/>
          <w:sz w:val="24"/>
          <w:szCs w:val="24"/>
          <w:lang w:val="zh-TW"/>
        </w:rPr>
      </w:pPr>
      <w:r>
        <w:rPr>
          <w:rFonts w:hint="eastAsia" w:ascii="宋体" w:hAnsi="宋体" w:eastAsia="宋体" w:cs="宋体"/>
          <w:b/>
          <w:bCs/>
          <w:color w:val="auto"/>
          <w:sz w:val="24"/>
          <w:szCs w:val="24"/>
          <w:lang w:val="zh-TW" w:eastAsia="zh-CN"/>
        </w:rPr>
        <w:t>（</w:t>
      </w: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lang w:val="zh-TW" w:eastAsia="zh-CN"/>
        </w:rPr>
        <w:t>）</w:t>
      </w:r>
      <w:r>
        <w:rPr>
          <w:rFonts w:hint="eastAsia" w:ascii="宋体" w:hAnsi="宋体" w:eastAsia="宋体" w:cs="宋体"/>
          <w:b/>
          <w:bCs/>
          <w:color w:val="auto"/>
          <w:sz w:val="24"/>
          <w:szCs w:val="24"/>
          <w:lang w:val="zh-TW"/>
        </w:rPr>
        <w:t>《雅安市蒙顶山风景名胜区总体规划（2023—2035年）》</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规划成果包括规划文本、规划图纸、规划说明书、基础资料汇编等四个部分。</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1）规划文本:包括规划总则、保护培育规划、游赏规划、设施规划、居民点协调发展规划、相关规划协调、分期发展规划等内容，明确规定性要求，明确风景名胜区详细规划编制区域，对风景名胜区的规划管理提出措施建议。</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2）规划图纸:包含但不限于区位关系图、综合现状图、资源评价和现状分析图、规划总图、风景名胜区和核心景区界线坐标图、分级保护规划图、游赏规划图、道路交通规划图、旅游服务设施规划图、居民点协调发展规划图、土地利用规划图、基础工程规划图、分期发展规划图等，图纸应清晰准确，图文相符，图文一致，要素齐备。</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3）规划说明书:包括总则说明、保护规划说明、游赏规划说明、设施规划说明、居民点协调发展规划说明、相关规划协调说明、分期规划实施说明等内容，应分析现状，论证规划意图、规划目标和说明规划内容，并附相关图纸和表格。</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（4）基础资料汇编:包括风景名胜区概况、资源概况、发展概况等内容。</w:t>
      </w:r>
    </w:p>
    <w:p>
      <w:pPr>
        <w:pStyle w:val="7"/>
        <w:spacing w:line="480" w:lineRule="auto"/>
        <w:ind w:firstLine="482" w:firstLineChars="200"/>
        <w:rPr>
          <w:rFonts w:hint="eastAsia" w:ascii="宋体" w:hAnsi="宋体" w:eastAsia="宋体" w:cs="宋体"/>
          <w:b/>
          <w:bCs/>
          <w:color w:val="auto"/>
          <w:sz w:val="24"/>
          <w:szCs w:val="24"/>
          <w:lang w:val="zh-TW"/>
        </w:rPr>
      </w:pPr>
      <w:r>
        <w:rPr>
          <w:rFonts w:hint="eastAsia" w:ascii="宋体" w:hAnsi="宋体" w:eastAsia="宋体" w:cs="宋体"/>
          <w:b/>
          <w:bCs/>
          <w:color w:val="auto"/>
          <w:sz w:val="24"/>
          <w:szCs w:val="24"/>
          <w:lang w:val="zh-TW" w:eastAsia="zh-CN"/>
        </w:rPr>
        <w:t>（</w:t>
      </w: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lang w:val="zh-TW" w:eastAsia="zh-CN"/>
        </w:rPr>
        <w:t>）</w:t>
      </w:r>
      <w:r>
        <w:rPr>
          <w:rFonts w:hint="eastAsia" w:ascii="宋体" w:hAnsi="宋体" w:eastAsia="宋体" w:cs="宋体"/>
          <w:b/>
          <w:bCs/>
          <w:color w:val="auto"/>
          <w:sz w:val="24"/>
          <w:szCs w:val="24"/>
          <w:lang w:val="zh-TW"/>
        </w:rPr>
        <w:t>《雅安市蒙顶山风景名胜区蒙顶重点地段详细规划（2023年）》</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规划成果包括规划文本、规划图纸、规划说明书等三个部分。</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1）规划文本:包括规划总则、功能地位与规划布局、保护培育规划、风景游赏规划、用地布局规划、居民社会调控规划、服务设施规划、景观与建筑风貌控制规划、道路交通与竖向工程规划、基础工程设施规划、地块指标控制规划等内容，落实和细化风景名胜区总体规划要求。</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2）规划图纸:包含但不限于区位分析图、综合现状图、总平面图、用地分析图、景点规划图、风景游赏规划图、保护培育规划图、竖向规划图、游览交通规划图、基础工程规划图、土地利用规划图等，图纸应清晰准确，图文相符，图文一致，要素齐备。</w:t>
      </w:r>
    </w:p>
    <w:p>
      <w:pPr>
        <w:pStyle w:val="7"/>
        <w:spacing w:line="480" w:lineRule="auto"/>
        <w:ind w:firstLine="480" w:firstLineChars="200"/>
        <w:rPr>
          <w:rFonts w:hint="eastAsia" w:ascii="宋体" w:hAnsi="宋体" w:eastAsia="宋体" w:cs="宋体"/>
          <w:color w:val="auto"/>
          <w:sz w:val="24"/>
          <w:szCs w:val="24"/>
          <w:lang w:val="zh-TW"/>
        </w:rPr>
      </w:pPr>
      <w:r>
        <w:rPr>
          <w:rFonts w:hint="eastAsia" w:ascii="宋体" w:hAnsi="宋体" w:eastAsia="宋体" w:cs="宋体"/>
          <w:color w:val="auto"/>
          <w:sz w:val="24"/>
          <w:szCs w:val="24"/>
          <w:lang w:val="zh-TW"/>
        </w:rPr>
        <w:t>（3）规划说明书:包括总则说明、保护培育规划说明、风景游赏规划说明、用地布局规划说明、居民社会调控规划说明、服务设施规划说明、景观与建筑风貌控制规划说明、道路交通与竖向工程规划说明、基础工程设施规划说明、地块指标控制规划说明等内容，应分析现状，论证规划意图、规划目标和说明规划内容，并附相关图纸和表格。</w:t>
      </w:r>
    </w:p>
    <w:p>
      <w:pPr>
        <w:pStyle w:val="2"/>
        <w:spacing w:line="480" w:lineRule="auto"/>
        <w:rPr>
          <w:rFonts w:hint="eastAsia" w:hAnsi="宋体" w:eastAsia="宋体"/>
          <w:b/>
          <w:bCs/>
          <w:color w:val="auto"/>
          <w:sz w:val="24"/>
          <w:szCs w:val="24"/>
          <w:lang w:val="en-US" w:eastAsia="zh-CN"/>
        </w:rPr>
      </w:pPr>
      <w:r>
        <w:rPr>
          <w:rFonts w:hint="eastAsia"/>
          <w:b/>
          <w:bCs/>
          <w:color w:val="auto"/>
          <w:sz w:val="24"/>
          <w:szCs w:val="24"/>
          <w:lang w:val="en-US" w:eastAsia="zh-CN"/>
        </w:rPr>
        <w:t>六</w:t>
      </w:r>
      <w:r>
        <w:rPr>
          <w:rFonts w:hint="eastAsia" w:hAnsi="宋体" w:eastAsia="宋体"/>
          <w:b/>
          <w:bCs/>
          <w:color w:val="auto"/>
          <w:sz w:val="24"/>
          <w:szCs w:val="24"/>
          <w:lang w:val="en-US" w:eastAsia="zh-CN"/>
        </w:rPr>
        <w:t>、商务要求（实质性要求）</w:t>
      </w:r>
    </w:p>
    <w:p>
      <w:pPr>
        <w:pStyle w:val="8"/>
        <w:numPr>
          <w:ilvl w:val="0"/>
          <w:numId w:val="0"/>
        </w:numPr>
        <w:tabs>
          <w:tab w:val="left" w:pos="315"/>
          <w:tab w:val="clear" w:pos="700"/>
        </w:tabs>
        <w:spacing w:line="480" w:lineRule="auto"/>
        <w:ind w:firstLine="480" w:firstLineChars="200"/>
        <w:rPr>
          <w:rFonts w:hint="eastAsia" w:ascii="仿宋" w:hAnsi="仿宋" w:eastAsia="仿宋" w:cs="仿宋"/>
          <w:color w:val="auto"/>
          <w:sz w:val="28"/>
          <w:szCs w:val="28"/>
          <w:highlight w:val="none"/>
        </w:rPr>
      </w:pPr>
      <w:r>
        <w:rPr>
          <w:rFonts w:hint="eastAsia" w:ascii="宋体" w:hAnsi="宋体" w:cs="宋体"/>
          <w:color w:val="auto"/>
          <w:sz w:val="24"/>
          <w:highlight w:val="none"/>
        </w:rPr>
        <w:t>1、履约时间：</w:t>
      </w:r>
      <w:r>
        <w:rPr>
          <w:rFonts w:hint="eastAsia" w:ascii="宋体" w:hAnsi="宋体" w:cs="宋体"/>
          <w:color w:val="auto"/>
          <w:sz w:val="24"/>
          <w:highlight w:val="none"/>
          <w:lang w:val="en-US" w:eastAsia="zh-CN"/>
        </w:rPr>
        <w:t>签订合同后</w:t>
      </w:r>
      <w:r>
        <w:rPr>
          <w:rFonts w:hint="eastAsia" w:cs="宋体"/>
          <w:color w:val="auto"/>
          <w:sz w:val="24"/>
          <w:highlight w:val="none"/>
          <w:lang w:val="en-US" w:eastAsia="zh-CN"/>
        </w:rPr>
        <w:t>24</w:t>
      </w:r>
      <w:r>
        <w:rPr>
          <w:rFonts w:hint="eastAsia" w:ascii="宋体" w:hAnsi="宋体" w:cs="宋体"/>
          <w:color w:val="auto"/>
          <w:sz w:val="24"/>
          <w:highlight w:val="none"/>
          <w:lang w:val="en-US" w:eastAsia="zh-CN"/>
        </w:rPr>
        <w:t>0</w:t>
      </w:r>
      <w:r>
        <w:rPr>
          <w:rFonts w:hint="eastAsia" w:cs="宋体"/>
          <w:color w:val="auto"/>
          <w:sz w:val="24"/>
          <w:highlight w:val="none"/>
          <w:lang w:val="en-US" w:eastAsia="zh-CN"/>
        </w:rPr>
        <w:t>日</w:t>
      </w:r>
      <w:r>
        <w:rPr>
          <w:rFonts w:hint="eastAsia" w:ascii="宋体" w:hAnsi="宋体" w:cs="宋体"/>
          <w:color w:val="auto"/>
          <w:sz w:val="24"/>
          <w:highlight w:val="none"/>
          <w:lang w:val="en-US" w:eastAsia="zh-CN"/>
        </w:rPr>
        <w:t>内完成。</w:t>
      </w:r>
      <w:r>
        <w:rPr>
          <w:rFonts w:hint="eastAsia" w:ascii="宋体" w:hAnsi="宋体" w:eastAsia="宋体" w:cs="Times New Roman"/>
          <w:color w:val="auto"/>
          <w:sz w:val="24"/>
          <w:szCs w:val="15"/>
          <w:highlight w:val="none"/>
          <w:lang w:val="zh-TW" w:eastAsia="zh-CN"/>
        </w:rPr>
        <w:t>《〈雅安市蒙顶山风景名胜区总体规划（2017—2030年）〉实施评估报告》</w:t>
      </w:r>
      <w:r>
        <w:rPr>
          <w:rFonts w:hint="eastAsia" w:ascii="宋体" w:hAnsi="宋体" w:eastAsia="宋体" w:cs="Times New Roman"/>
          <w:color w:val="auto"/>
          <w:sz w:val="24"/>
          <w:szCs w:val="15"/>
          <w:highlight w:val="none"/>
          <w:lang w:val="en-US" w:eastAsia="zh-CN"/>
        </w:rPr>
        <w:t>在合同签订后</w:t>
      </w:r>
      <w:r>
        <w:rPr>
          <w:rFonts w:hint="eastAsia" w:cs="Times New Roman"/>
          <w:color w:val="auto"/>
          <w:sz w:val="24"/>
          <w:szCs w:val="15"/>
          <w:highlight w:val="none"/>
          <w:lang w:val="en-US" w:eastAsia="zh-CN"/>
        </w:rPr>
        <w:t>30</w:t>
      </w:r>
      <w:r>
        <w:rPr>
          <w:rFonts w:hint="eastAsia" w:cs="宋体"/>
          <w:color w:val="auto"/>
          <w:sz w:val="24"/>
          <w:highlight w:val="none"/>
          <w:lang w:val="en-US" w:eastAsia="zh-CN"/>
        </w:rPr>
        <w:t>日</w:t>
      </w:r>
      <w:r>
        <w:rPr>
          <w:rFonts w:hint="eastAsia" w:ascii="宋体" w:hAnsi="宋体" w:eastAsia="宋体" w:cs="Times New Roman"/>
          <w:color w:val="auto"/>
          <w:sz w:val="24"/>
          <w:szCs w:val="15"/>
          <w:highlight w:val="none"/>
          <w:lang w:val="en-US" w:eastAsia="zh-CN"/>
        </w:rPr>
        <w:t>内完成；</w:t>
      </w:r>
      <w:r>
        <w:rPr>
          <w:rFonts w:hint="eastAsia" w:ascii="宋体" w:hAnsi="宋体" w:eastAsia="宋体" w:cs="Times New Roman"/>
          <w:color w:val="auto"/>
          <w:sz w:val="24"/>
          <w:szCs w:val="15"/>
          <w:highlight w:val="none"/>
          <w:lang w:val="zh-TW" w:eastAsia="zh-CN"/>
        </w:rPr>
        <w:t>《雅安市蒙顶山风景名胜区总体规划（2023—2035年）》</w:t>
      </w:r>
      <w:r>
        <w:rPr>
          <w:rFonts w:hint="eastAsia" w:cs="Times New Roman"/>
          <w:color w:val="auto"/>
          <w:sz w:val="24"/>
          <w:szCs w:val="15"/>
          <w:highlight w:val="none"/>
          <w:lang w:val="en-US" w:eastAsia="zh-CN"/>
        </w:rPr>
        <w:t>在实施评估报告获得批复后90</w:t>
      </w:r>
      <w:r>
        <w:rPr>
          <w:rFonts w:hint="eastAsia" w:cs="宋体"/>
          <w:color w:val="auto"/>
          <w:sz w:val="24"/>
          <w:highlight w:val="none"/>
          <w:lang w:val="en-US" w:eastAsia="zh-CN"/>
        </w:rPr>
        <w:t>日</w:t>
      </w:r>
      <w:r>
        <w:rPr>
          <w:rFonts w:hint="eastAsia" w:cs="Times New Roman"/>
          <w:color w:val="auto"/>
          <w:sz w:val="24"/>
          <w:szCs w:val="15"/>
          <w:highlight w:val="none"/>
          <w:lang w:val="en-US" w:eastAsia="zh-CN"/>
        </w:rPr>
        <w:t>内完成；</w:t>
      </w:r>
      <w:r>
        <w:rPr>
          <w:rFonts w:hint="eastAsia" w:ascii="宋体" w:hAnsi="宋体" w:eastAsia="宋体" w:cs="Times New Roman"/>
          <w:color w:val="auto"/>
          <w:sz w:val="24"/>
          <w:szCs w:val="15"/>
          <w:highlight w:val="none"/>
          <w:lang w:val="zh-TW" w:eastAsia="zh-CN"/>
        </w:rPr>
        <w:t>《雅安市蒙顶山风景名胜区蒙顶重点地段详细规划（2023年）》</w:t>
      </w:r>
      <w:r>
        <w:rPr>
          <w:rFonts w:hint="eastAsia" w:ascii="宋体" w:hAnsi="宋体" w:eastAsia="宋体" w:cs="Times New Roman"/>
          <w:color w:val="auto"/>
          <w:sz w:val="24"/>
          <w:szCs w:val="15"/>
          <w:highlight w:val="none"/>
          <w:lang w:val="en-US" w:eastAsia="zh-CN"/>
        </w:rPr>
        <w:t>在</w:t>
      </w:r>
      <w:r>
        <w:rPr>
          <w:rFonts w:hint="eastAsia" w:cs="Times New Roman"/>
          <w:color w:val="auto"/>
          <w:sz w:val="24"/>
          <w:szCs w:val="15"/>
          <w:highlight w:val="none"/>
          <w:lang w:val="en-US" w:eastAsia="zh-CN"/>
        </w:rPr>
        <w:t>总体规划</w:t>
      </w:r>
      <w:r>
        <w:rPr>
          <w:rFonts w:hint="eastAsia" w:ascii="宋体" w:hAnsi="宋体" w:eastAsia="宋体" w:cs="Times New Roman"/>
          <w:color w:val="auto"/>
          <w:sz w:val="24"/>
          <w:szCs w:val="15"/>
          <w:highlight w:val="none"/>
          <w:lang w:val="en-US" w:eastAsia="zh-CN"/>
        </w:rPr>
        <w:t>获得批复后</w:t>
      </w:r>
      <w:r>
        <w:rPr>
          <w:rFonts w:hint="eastAsia" w:cs="Times New Roman"/>
          <w:color w:val="auto"/>
          <w:sz w:val="24"/>
          <w:szCs w:val="15"/>
          <w:highlight w:val="none"/>
          <w:lang w:val="en-US" w:eastAsia="zh-CN"/>
        </w:rPr>
        <w:t>90</w:t>
      </w:r>
      <w:r>
        <w:rPr>
          <w:rFonts w:hint="eastAsia" w:cs="宋体"/>
          <w:color w:val="auto"/>
          <w:sz w:val="24"/>
          <w:highlight w:val="none"/>
          <w:lang w:val="en-US" w:eastAsia="zh-CN"/>
        </w:rPr>
        <w:t>日</w:t>
      </w:r>
      <w:r>
        <w:rPr>
          <w:rFonts w:hint="eastAsia" w:ascii="宋体" w:hAnsi="宋体" w:eastAsia="宋体" w:cs="Times New Roman"/>
          <w:color w:val="auto"/>
          <w:sz w:val="24"/>
          <w:szCs w:val="15"/>
          <w:highlight w:val="none"/>
          <w:lang w:val="en-US" w:eastAsia="zh-CN"/>
        </w:rPr>
        <w:t>内完成</w:t>
      </w:r>
      <w:r>
        <w:rPr>
          <w:rFonts w:hint="eastAsia" w:cs="Times New Roman"/>
          <w:color w:val="auto"/>
          <w:sz w:val="24"/>
          <w:szCs w:val="15"/>
          <w:highlight w:val="none"/>
          <w:lang w:val="en-US" w:eastAsia="zh-CN"/>
        </w:rPr>
        <w:t>。</w:t>
      </w:r>
    </w:p>
    <w:p>
      <w:pPr>
        <w:spacing w:line="480" w:lineRule="auto"/>
        <w:ind w:firstLine="480" w:firstLineChars="200"/>
        <w:rPr>
          <w:rFonts w:hint="eastAsia" w:ascii="宋体" w:hAnsi="宋体" w:cs="宋体"/>
          <w:color w:val="auto"/>
          <w:sz w:val="24"/>
        </w:rPr>
      </w:pPr>
      <w:r>
        <w:rPr>
          <w:rFonts w:hint="eastAsia" w:ascii="宋体" w:hAnsi="宋体" w:cs="宋体"/>
          <w:color w:val="auto"/>
          <w:sz w:val="24"/>
        </w:rPr>
        <w:t>2、履约地点：</w:t>
      </w:r>
      <w:r>
        <w:rPr>
          <w:rFonts w:hint="eastAsia"/>
          <w:color w:val="auto"/>
          <w:sz w:val="24"/>
          <w:szCs w:val="15"/>
        </w:rPr>
        <w:t>采购人指定地点</w:t>
      </w:r>
      <w:r>
        <w:rPr>
          <w:rFonts w:hint="eastAsia" w:ascii="宋体" w:hAnsi="宋体" w:cs="宋体"/>
          <w:color w:val="auto"/>
          <w:sz w:val="24"/>
        </w:rPr>
        <w:t>。</w:t>
      </w:r>
    </w:p>
    <w:p>
      <w:pPr>
        <w:spacing w:line="480" w:lineRule="auto"/>
        <w:ind w:firstLine="480" w:firstLineChars="200"/>
        <w:rPr>
          <w:rFonts w:hint="eastAsia" w:ascii="宋体" w:hAnsi="宋体" w:cs="宋体"/>
          <w:color w:val="auto"/>
          <w:sz w:val="24"/>
        </w:rPr>
      </w:pPr>
      <w:r>
        <w:rPr>
          <w:rFonts w:hint="eastAsia" w:ascii="宋体" w:hAnsi="宋体" w:cs="宋体"/>
          <w:color w:val="auto"/>
          <w:sz w:val="24"/>
        </w:rPr>
        <w:t>3、付款方式：</w:t>
      </w:r>
    </w:p>
    <w:p>
      <w:pPr>
        <w:pStyle w:val="9"/>
        <w:spacing w:line="480" w:lineRule="auto"/>
        <w:ind w:firstLine="480"/>
        <w:rPr>
          <w:rFonts w:hint="eastAsia" w:ascii="宋体" w:hAnsi="宋体" w:eastAsia="宋体" w:cs="宋体"/>
          <w:color w:val="auto"/>
          <w:szCs w:val="20"/>
          <w:highlight w:val="none"/>
          <w:lang w:eastAsia="zh-CN"/>
        </w:rPr>
      </w:pPr>
      <w:r>
        <w:rPr>
          <w:rFonts w:hint="eastAsia" w:ascii="宋体" w:hAnsi="宋体"/>
          <w:bCs/>
          <w:color w:val="auto"/>
          <w:highlight w:val="none"/>
          <w:lang w:val="en-US" w:eastAsia="zh-CN"/>
        </w:rPr>
        <w:t>①</w:t>
      </w:r>
      <w:r>
        <w:rPr>
          <w:rFonts w:hint="eastAsia" w:ascii="宋体" w:hAnsi="宋体" w:cs="宋体"/>
          <w:color w:val="auto"/>
          <w:sz w:val="24"/>
          <w:highlight w:val="none"/>
          <w:lang w:val="en-US" w:eastAsia="zh-CN"/>
        </w:rPr>
        <w:t>签订采购合同后7日内</w:t>
      </w:r>
      <w:r>
        <w:rPr>
          <w:rFonts w:hint="eastAsia" w:ascii="宋体" w:hAnsi="宋体" w:cs="宋体"/>
          <w:color w:val="auto"/>
          <w:szCs w:val="20"/>
          <w:highlight w:val="none"/>
        </w:rPr>
        <w:t>，采购人向</w:t>
      </w:r>
      <w:r>
        <w:rPr>
          <w:rFonts w:hint="eastAsia" w:cs="宋体"/>
          <w:color w:val="auto"/>
          <w:szCs w:val="20"/>
          <w:highlight w:val="none"/>
          <w:lang w:val="en-US" w:eastAsia="zh-CN"/>
        </w:rPr>
        <w:t>中标</w:t>
      </w:r>
      <w:r>
        <w:rPr>
          <w:rFonts w:hint="eastAsia" w:ascii="宋体" w:hAnsi="宋体" w:cs="宋体"/>
          <w:color w:val="auto"/>
          <w:szCs w:val="20"/>
          <w:highlight w:val="none"/>
        </w:rPr>
        <w:t>供应商支付</w:t>
      </w:r>
      <w:r>
        <w:rPr>
          <w:rFonts w:hint="eastAsia" w:ascii="宋体" w:hAnsi="宋体" w:cs="宋体"/>
          <w:color w:val="auto"/>
          <w:sz w:val="24"/>
          <w:highlight w:val="none"/>
          <w:lang w:val="en-US" w:eastAsia="zh-CN"/>
        </w:rPr>
        <w:t>合同金额30%的预付款</w:t>
      </w:r>
      <w:r>
        <w:rPr>
          <w:rFonts w:hint="eastAsia" w:cs="宋体"/>
          <w:color w:val="auto"/>
          <w:szCs w:val="20"/>
          <w:highlight w:val="none"/>
          <w:lang w:eastAsia="zh-CN"/>
        </w:rPr>
        <w:t>；</w:t>
      </w:r>
    </w:p>
    <w:p>
      <w:pPr>
        <w:pStyle w:val="9"/>
        <w:spacing w:line="480" w:lineRule="auto"/>
        <w:ind w:firstLine="480"/>
        <w:rPr>
          <w:rFonts w:hint="eastAsia" w:ascii="宋体" w:hAnsi="宋体" w:cs="宋体"/>
          <w:color w:val="auto"/>
          <w:szCs w:val="20"/>
          <w:highlight w:val="none"/>
        </w:rPr>
      </w:pPr>
      <w:r>
        <w:rPr>
          <w:rFonts w:hint="eastAsia" w:ascii="宋体" w:hAnsi="宋体" w:cs="宋体"/>
          <w:color w:val="auto"/>
          <w:szCs w:val="20"/>
          <w:highlight w:val="none"/>
          <w:lang w:val="en-US" w:eastAsia="zh-CN"/>
        </w:rPr>
        <w:t>②</w:t>
      </w:r>
      <w:r>
        <w:rPr>
          <w:rFonts w:hint="eastAsia" w:ascii="宋体" w:hAnsi="宋体" w:cs="宋体"/>
          <w:color w:val="auto"/>
          <w:szCs w:val="20"/>
          <w:highlight w:val="none"/>
        </w:rPr>
        <w:t>编制的《〈雅安市蒙顶山风景名胜区总体规划（2017—2030年）〉实施评估报告》</w:t>
      </w:r>
      <w:r>
        <w:rPr>
          <w:rFonts w:hint="eastAsia" w:cs="宋体"/>
          <w:color w:val="auto"/>
          <w:szCs w:val="20"/>
          <w:highlight w:val="none"/>
          <w:lang w:eastAsia="zh-CN"/>
        </w:rPr>
        <w:t>、</w:t>
      </w:r>
      <w:r>
        <w:rPr>
          <w:rFonts w:hint="eastAsia" w:ascii="宋体" w:hAnsi="宋体" w:cs="宋体"/>
          <w:color w:val="auto"/>
          <w:szCs w:val="20"/>
          <w:highlight w:val="none"/>
        </w:rPr>
        <w:t>《雅安市蒙顶山风景名胜区总体规划（2023—2035年）》</w:t>
      </w:r>
      <w:r>
        <w:rPr>
          <w:rFonts w:hint="eastAsia" w:cs="宋体"/>
          <w:color w:val="auto"/>
          <w:szCs w:val="20"/>
          <w:highlight w:val="none"/>
          <w:lang w:val="en-US" w:eastAsia="zh-CN"/>
        </w:rPr>
        <w:t>送审资料</w:t>
      </w:r>
      <w:r>
        <w:rPr>
          <w:rFonts w:hint="eastAsia" w:ascii="宋体" w:hAnsi="宋体" w:cs="宋体"/>
          <w:color w:val="auto"/>
          <w:szCs w:val="20"/>
          <w:highlight w:val="none"/>
        </w:rPr>
        <w:t>通过</w:t>
      </w:r>
      <w:r>
        <w:rPr>
          <w:rFonts w:hint="eastAsia" w:cs="宋体"/>
          <w:color w:val="auto"/>
          <w:szCs w:val="20"/>
          <w:highlight w:val="none"/>
          <w:lang w:val="en-US" w:eastAsia="zh-CN"/>
        </w:rPr>
        <w:t>名山区</w:t>
      </w:r>
      <w:r>
        <w:rPr>
          <w:rFonts w:hint="eastAsia" w:ascii="宋体" w:hAnsi="宋体" w:cs="宋体"/>
          <w:color w:val="auto"/>
          <w:szCs w:val="20"/>
          <w:highlight w:val="none"/>
        </w:rPr>
        <w:t>人民政府组织的审查后7日内，采购人向</w:t>
      </w:r>
      <w:r>
        <w:rPr>
          <w:rFonts w:hint="eastAsia" w:cs="宋体"/>
          <w:color w:val="auto"/>
          <w:szCs w:val="20"/>
          <w:highlight w:val="none"/>
          <w:lang w:val="en-US" w:eastAsia="zh-CN"/>
        </w:rPr>
        <w:t>中标</w:t>
      </w:r>
      <w:r>
        <w:rPr>
          <w:rFonts w:hint="eastAsia" w:ascii="宋体" w:hAnsi="宋体" w:cs="宋体"/>
          <w:color w:val="auto"/>
          <w:szCs w:val="20"/>
          <w:highlight w:val="none"/>
        </w:rPr>
        <w:t>供应商支付</w:t>
      </w:r>
      <w:r>
        <w:rPr>
          <w:rFonts w:hint="eastAsia" w:ascii="宋体" w:hAnsi="宋体" w:cs="宋体"/>
          <w:color w:val="auto"/>
          <w:sz w:val="24"/>
          <w:highlight w:val="none"/>
          <w:lang w:val="en-US" w:eastAsia="zh-CN"/>
        </w:rPr>
        <w:t>合同金额</w:t>
      </w:r>
      <w:r>
        <w:rPr>
          <w:rFonts w:hint="eastAsia" w:ascii="宋体" w:hAnsi="宋体" w:cs="宋体"/>
          <w:color w:val="auto"/>
          <w:szCs w:val="20"/>
          <w:highlight w:val="none"/>
          <w:lang w:val="en-US" w:eastAsia="zh-CN"/>
        </w:rPr>
        <w:t>的</w:t>
      </w:r>
      <w:r>
        <w:rPr>
          <w:rFonts w:hint="eastAsia" w:cs="宋体"/>
          <w:color w:val="auto"/>
          <w:szCs w:val="20"/>
          <w:highlight w:val="none"/>
          <w:lang w:val="en-US" w:eastAsia="zh-CN"/>
        </w:rPr>
        <w:t>4</w:t>
      </w:r>
      <w:r>
        <w:rPr>
          <w:rFonts w:hint="eastAsia" w:ascii="宋体" w:hAnsi="宋体" w:cs="宋体"/>
          <w:color w:val="auto"/>
          <w:szCs w:val="20"/>
          <w:highlight w:val="none"/>
        </w:rPr>
        <w:t>0%；</w:t>
      </w:r>
    </w:p>
    <w:p>
      <w:pPr>
        <w:pStyle w:val="9"/>
        <w:spacing w:line="480" w:lineRule="auto"/>
        <w:ind w:firstLine="480"/>
        <w:rPr>
          <w:rFonts w:hint="eastAsia" w:cs="宋体"/>
          <w:color w:val="auto"/>
          <w:szCs w:val="20"/>
          <w:highlight w:val="none"/>
          <w:lang w:eastAsia="zh-CN"/>
        </w:rPr>
      </w:pPr>
      <w:r>
        <w:rPr>
          <w:rFonts w:hint="eastAsia" w:ascii="宋体" w:hAnsi="宋体" w:cs="宋体"/>
          <w:color w:val="auto"/>
          <w:szCs w:val="20"/>
          <w:highlight w:val="none"/>
          <w:lang w:val="en-US" w:eastAsia="zh-CN"/>
        </w:rPr>
        <w:t>③</w:t>
      </w:r>
      <w:r>
        <w:rPr>
          <w:rFonts w:hint="eastAsia" w:ascii="宋体" w:hAnsi="宋体" w:cs="宋体"/>
          <w:color w:val="auto"/>
          <w:szCs w:val="20"/>
          <w:highlight w:val="none"/>
        </w:rPr>
        <w:t>编制的《雅安市蒙顶山风景名胜区总体规划（2023—2035年）》</w:t>
      </w:r>
      <w:r>
        <w:rPr>
          <w:rFonts w:hint="eastAsia" w:cs="宋体"/>
          <w:color w:val="auto"/>
          <w:szCs w:val="20"/>
          <w:highlight w:val="none"/>
          <w:lang w:eastAsia="zh-CN"/>
        </w:rPr>
        <w:t>、</w:t>
      </w:r>
      <w:r>
        <w:rPr>
          <w:rFonts w:hint="eastAsia" w:ascii="宋体" w:hAnsi="宋体" w:cs="宋体"/>
          <w:color w:val="auto"/>
          <w:szCs w:val="20"/>
          <w:highlight w:val="none"/>
        </w:rPr>
        <w:t>《雅安市蒙顶山风景名胜区蒙顶重点地段详细规划（2023年）》</w:t>
      </w:r>
      <w:r>
        <w:rPr>
          <w:rFonts w:hint="eastAsia" w:cs="宋体"/>
          <w:color w:val="auto"/>
          <w:szCs w:val="20"/>
          <w:highlight w:val="none"/>
          <w:lang w:val="en-US" w:eastAsia="zh-CN"/>
        </w:rPr>
        <w:t>送审资料</w:t>
      </w:r>
      <w:r>
        <w:rPr>
          <w:rFonts w:hint="eastAsia" w:ascii="宋体" w:hAnsi="宋体" w:cs="宋体"/>
          <w:color w:val="auto"/>
          <w:szCs w:val="20"/>
          <w:highlight w:val="none"/>
        </w:rPr>
        <w:t>通过</w:t>
      </w:r>
      <w:r>
        <w:rPr>
          <w:rFonts w:hint="eastAsia" w:cs="宋体"/>
          <w:color w:val="auto"/>
          <w:szCs w:val="20"/>
          <w:highlight w:val="none"/>
          <w:lang w:val="en-US" w:eastAsia="zh-CN"/>
        </w:rPr>
        <w:t>四川</w:t>
      </w:r>
      <w:r>
        <w:rPr>
          <w:rFonts w:hint="eastAsia" w:ascii="宋体" w:hAnsi="宋体" w:cs="宋体"/>
          <w:color w:val="auto"/>
          <w:szCs w:val="20"/>
          <w:highlight w:val="none"/>
        </w:rPr>
        <w:t>省林业和草原局组织的审查后7日内，采购人向</w:t>
      </w:r>
      <w:r>
        <w:rPr>
          <w:rFonts w:hint="eastAsia" w:cs="宋体"/>
          <w:color w:val="auto"/>
          <w:szCs w:val="20"/>
          <w:highlight w:val="none"/>
          <w:lang w:val="en-US" w:eastAsia="zh-CN"/>
        </w:rPr>
        <w:t>中标</w:t>
      </w:r>
      <w:r>
        <w:rPr>
          <w:rFonts w:hint="eastAsia" w:ascii="宋体" w:hAnsi="宋体" w:cs="宋体"/>
          <w:color w:val="auto"/>
          <w:szCs w:val="20"/>
          <w:highlight w:val="none"/>
        </w:rPr>
        <w:t>供应商支付</w:t>
      </w:r>
      <w:r>
        <w:rPr>
          <w:rFonts w:hint="eastAsia" w:ascii="宋体" w:hAnsi="宋体" w:cs="宋体"/>
          <w:color w:val="auto"/>
          <w:sz w:val="24"/>
          <w:highlight w:val="none"/>
          <w:lang w:val="en-US" w:eastAsia="zh-CN"/>
        </w:rPr>
        <w:t>合同金额</w:t>
      </w:r>
      <w:r>
        <w:rPr>
          <w:rFonts w:hint="eastAsia" w:ascii="宋体" w:hAnsi="宋体" w:cs="宋体"/>
          <w:color w:val="auto"/>
          <w:szCs w:val="20"/>
          <w:highlight w:val="none"/>
        </w:rPr>
        <w:t>的</w:t>
      </w:r>
      <w:r>
        <w:rPr>
          <w:rFonts w:hint="eastAsia" w:cs="宋体"/>
          <w:color w:val="auto"/>
          <w:szCs w:val="20"/>
          <w:highlight w:val="none"/>
          <w:lang w:val="en-US" w:eastAsia="zh-CN"/>
        </w:rPr>
        <w:t>2</w:t>
      </w:r>
      <w:r>
        <w:rPr>
          <w:rFonts w:hint="eastAsia" w:ascii="宋体" w:hAnsi="宋体" w:cs="宋体"/>
          <w:color w:val="auto"/>
          <w:szCs w:val="20"/>
          <w:highlight w:val="none"/>
        </w:rPr>
        <w:t>0%</w:t>
      </w:r>
      <w:r>
        <w:rPr>
          <w:rFonts w:hint="eastAsia" w:cs="宋体"/>
          <w:color w:val="auto"/>
          <w:szCs w:val="20"/>
          <w:highlight w:val="none"/>
          <w:lang w:eastAsia="zh-CN"/>
        </w:rPr>
        <w:t>；</w:t>
      </w:r>
    </w:p>
    <w:p>
      <w:pPr>
        <w:pStyle w:val="9"/>
        <w:spacing w:line="480" w:lineRule="auto"/>
        <w:ind w:firstLine="480"/>
        <w:rPr>
          <w:rFonts w:hint="default" w:eastAsia="宋体" w:cs="宋体"/>
          <w:color w:val="auto"/>
          <w:szCs w:val="20"/>
          <w:highlight w:val="none"/>
          <w:lang w:val="en-US" w:eastAsia="zh-CN"/>
        </w:rPr>
      </w:pPr>
      <w:r>
        <w:rPr>
          <w:rFonts w:hint="eastAsia" w:cs="宋体"/>
          <w:color w:val="auto"/>
          <w:szCs w:val="20"/>
          <w:highlight w:val="none"/>
          <w:lang w:val="en-US" w:eastAsia="zh-CN"/>
        </w:rPr>
        <w:t>④采购人提取</w:t>
      </w:r>
      <w:r>
        <w:rPr>
          <w:rFonts w:hint="eastAsia" w:ascii="宋体" w:hAnsi="宋体" w:cs="宋体"/>
          <w:color w:val="auto"/>
          <w:szCs w:val="20"/>
          <w:highlight w:val="none"/>
        </w:rPr>
        <w:t>《雅安市蒙顶山风景名胜区总体规划（2023—2035年）》</w:t>
      </w:r>
      <w:r>
        <w:rPr>
          <w:rFonts w:hint="eastAsia" w:cs="宋体"/>
          <w:color w:val="auto"/>
          <w:szCs w:val="20"/>
          <w:highlight w:val="none"/>
          <w:lang w:eastAsia="zh-CN"/>
        </w:rPr>
        <w:t>、</w:t>
      </w:r>
      <w:r>
        <w:rPr>
          <w:rFonts w:hint="eastAsia" w:ascii="宋体" w:hAnsi="宋体" w:cs="宋体"/>
          <w:color w:val="auto"/>
          <w:szCs w:val="20"/>
          <w:highlight w:val="none"/>
        </w:rPr>
        <w:t>《雅安市蒙顶山风景名胜区蒙顶重点地段详细规划（2023年）》</w:t>
      </w:r>
      <w:r>
        <w:rPr>
          <w:rFonts w:hint="eastAsia" w:cs="宋体"/>
          <w:color w:val="auto"/>
          <w:szCs w:val="20"/>
          <w:highlight w:val="none"/>
          <w:lang w:val="en-US" w:eastAsia="zh-CN"/>
        </w:rPr>
        <w:t>正式报批</w:t>
      </w:r>
      <w:r>
        <w:rPr>
          <w:rFonts w:hint="eastAsia" w:ascii="宋体" w:hAnsi="宋体" w:cs="宋体"/>
          <w:color w:val="auto"/>
          <w:szCs w:val="20"/>
          <w:highlight w:val="none"/>
        </w:rPr>
        <w:t>成果</w:t>
      </w:r>
      <w:r>
        <w:rPr>
          <w:rFonts w:hint="eastAsia" w:ascii="宋体" w:hAnsi="宋体" w:cs="宋体"/>
          <w:color w:val="auto"/>
          <w:szCs w:val="20"/>
          <w:highlight w:val="none"/>
          <w:lang w:val="en-US" w:eastAsia="zh-CN"/>
        </w:rPr>
        <w:t>后</w:t>
      </w:r>
      <w:r>
        <w:rPr>
          <w:rFonts w:hint="eastAsia" w:cs="宋体"/>
          <w:color w:val="auto"/>
          <w:szCs w:val="20"/>
          <w:highlight w:val="none"/>
          <w:lang w:val="en-US" w:eastAsia="zh-CN"/>
        </w:rPr>
        <w:t>7日内，</w:t>
      </w:r>
      <w:r>
        <w:rPr>
          <w:rFonts w:hint="eastAsia" w:ascii="宋体" w:hAnsi="宋体" w:cs="宋体"/>
          <w:color w:val="auto"/>
          <w:szCs w:val="20"/>
          <w:highlight w:val="none"/>
        </w:rPr>
        <w:t>采购人向</w:t>
      </w:r>
      <w:r>
        <w:rPr>
          <w:rFonts w:hint="eastAsia" w:cs="宋体"/>
          <w:color w:val="auto"/>
          <w:szCs w:val="20"/>
          <w:highlight w:val="none"/>
          <w:lang w:val="en-US" w:eastAsia="zh-CN"/>
        </w:rPr>
        <w:t>中标</w:t>
      </w:r>
      <w:r>
        <w:rPr>
          <w:rFonts w:hint="eastAsia" w:ascii="宋体" w:hAnsi="宋体" w:cs="宋体"/>
          <w:color w:val="auto"/>
          <w:szCs w:val="20"/>
          <w:highlight w:val="none"/>
        </w:rPr>
        <w:t>供应商支付</w:t>
      </w:r>
      <w:r>
        <w:rPr>
          <w:rFonts w:hint="eastAsia" w:ascii="宋体" w:hAnsi="宋体" w:cs="宋体"/>
          <w:color w:val="auto"/>
          <w:sz w:val="24"/>
          <w:highlight w:val="none"/>
          <w:lang w:val="en-US" w:eastAsia="zh-CN"/>
        </w:rPr>
        <w:t>合同金额</w:t>
      </w:r>
      <w:r>
        <w:rPr>
          <w:rFonts w:hint="eastAsia" w:ascii="宋体" w:hAnsi="宋体" w:cs="宋体"/>
          <w:color w:val="auto"/>
          <w:szCs w:val="20"/>
          <w:highlight w:val="none"/>
        </w:rPr>
        <w:t>的</w:t>
      </w:r>
      <w:r>
        <w:rPr>
          <w:rFonts w:hint="eastAsia" w:cs="宋体"/>
          <w:color w:val="auto"/>
          <w:szCs w:val="20"/>
          <w:highlight w:val="none"/>
          <w:lang w:val="en-US" w:eastAsia="zh-CN"/>
        </w:rPr>
        <w:t>1</w:t>
      </w:r>
      <w:r>
        <w:rPr>
          <w:rFonts w:hint="eastAsia" w:ascii="宋体" w:hAnsi="宋体" w:cs="宋体"/>
          <w:color w:val="auto"/>
          <w:szCs w:val="20"/>
          <w:highlight w:val="none"/>
        </w:rPr>
        <w:t>0%</w:t>
      </w:r>
      <w:r>
        <w:rPr>
          <w:rFonts w:hint="eastAsia" w:cs="宋体"/>
          <w:color w:val="auto"/>
          <w:szCs w:val="20"/>
          <w:highlight w:val="none"/>
          <w:lang w:eastAsia="zh-CN"/>
        </w:rPr>
        <w:t>；</w:t>
      </w:r>
    </w:p>
    <w:p>
      <w:pPr>
        <w:pStyle w:val="3"/>
        <w:spacing w:line="480" w:lineRule="auto"/>
        <w:rPr>
          <w:rFonts w:hint="eastAsia"/>
          <w:color w:val="auto"/>
        </w:rPr>
      </w:pPr>
      <w:r>
        <w:rPr>
          <w:rFonts w:hint="eastAsia"/>
          <w:color w:val="auto"/>
          <w:lang w:val="en-US" w:eastAsia="zh-CN"/>
        </w:rPr>
        <w:t>⑤中标供应商在向采购人提交付款申请前，应向采购人出具合法有效完整的完税发票及凭证资料进行支付结算。</w:t>
      </w:r>
    </w:p>
    <w:p>
      <w:pPr>
        <w:numPr>
          <w:ilvl w:val="0"/>
          <w:numId w:val="0"/>
        </w:numPr>
        <w:spacing w:line="480" w:lineRule="auto"/>
        <w:ind w:firstLine="480" w:firstLineChars="200"/>
        <w:rPr>
          <w:rFonts w:hint="eastAsia" w:cs="宋体"/>
          <w:color w:val="auto"/>
        </w:rPr>
      </w:pPr>
      <w:r>
        <w:rPr>
          <w:rFonts w:hint="eastAsia" w:cs="宋体"/>
          <w:color w:val="auto"/>
          <w:lang w:val="en-US" w:eastAsia="zh-CN"/>
        </w:rPr>
        <w:t>4、</w:t>
      </w:r>
      <w:r>
        <w:rPr>
          <w:rFonts w:hint="eastAsia" w:cs="宋体"/>
          <w:color w:val="auto"/>
        </w:rPr>
        <w:t>报价要求：</w:t>
      </w:r>
    </w:p>
    <w:p>
      <w:pPr>
        <w:pStyle w:val="2"/>
        <w:spacing w:line="360" w:lineRule="auto"/>
        <w:rPr>
          <w:rFonts w:hint="default" w:eastAsia="宋体"/>
          <w:color w:val="auto"/>
          <w:highlight w:val="none"/>
          <w:lang w:val="en-US" w:eastAsia="zh-CN"/>
        </w:rPr>
      </w:pPr>
      <w:r>
        <w:rPr>
          <w:rFonts w:hint="eastAsia" w:cs="宋体"/>
          <w:color w:val="auto"/>
          <w:lang w:val="en-US" w:eastAsia="zh-CN"/>
        </w:rPr>
        <w:t xml:space="preserve">    </w:t>
      </w:r>
      <w:r>
        <w:rPr>
          <w:rFonts w:hint="eastAsia" w:cs="宋体"/>
          <w:color w:val="auto"/>
          <w:highlight w:val="none"/>
          <w:lang w:val="en-US" w:eastAsia="zh-CN"/>
        </w:rPr>
        <w:t>①投标人在报价时须分别对《〈雅安市蒙顶山风景名胜区总体规划（2017—2030年）〉实施评估报告》、《雅安市蒙顶山风景名胜区总体规划（2023—2035年）》、《雅安市蒙顶山风景名胜区蒙顶重点地段详细规划（2023年）》进行报价，未按要求进行报价的作无效投标处理。</w:t>
      </w:r>
    </w:p>
    <w:p>
      <w:pPr>
        <w:numPr>
          <w:ilvl w:val="0"/>
          <w:numId w:val="0"/>
        </w:numPr>
        <w:spacing w:line="480" w:lineRule="auto"/>
        <w:ind w:firstLine="480" w:firstLineChars="200"/>
        <w:rPr>
          <w:rFonts w:hint="eastAsia" w:ascii="宋体" w:hAnsi="宋体" w:cs="宋体"/>
          <w:color w:val="auto"/>
          <w:sz w:val="24"/>
          <w:lang w:val="zh-CN"/>
        </w:rPr>
      </w:pPr>
      <w:r>
        <w:rPr>
          <w:rFonts w:hint="eastAsia" w:cs="宋体"/>
          <w:color w:val="auto"/>
          <w:lang w:val="en-US" w:eastAsia="zh-CN"/>
        </w:rPr>
        <w:t>②投标人</w:t>
      </w:r>
      <w:r>
        <w:rPr>
          <w:rFonts w:hint="eastAsia" w:cs="宋体"/>
          <w:color w:val="auto"/>
          <w:lang w:val="zh-CN"/>
        </w:rPr>
        <w:t>的报价包含了完成本项目所涉及的人员劳务、利润、资料费、投入设备费、税金等相关的一切费用，采购人不再另行支付其它费用。</w:t>
      </w:r>
    </w:p>
    <w:p>
      <w:pPr>
        <w:numPr>
          <w:ilvl w:val="0"/>
          <w:numId w:val="0"/>
        </w:numPr>
        <w:spacing w:line="480" w:lineRule="auto"/>
        <w:ind w:firstLine="480" w:firstLineChars="200"/>
        <w:rPr>
          <w:rFonts w:hint="default" w:cs="宋体"/>
          <w:color w:val="auto"/>
          <w:lang w:val="en-US" w:eastAsia="zh-CN"/>
        </w:rPr>
      </w:pPr>
      <w:r>
        <w:rPr>
          <w:rFonts w:hint="eastAsia" w:cs="宋体"/>
          <w:color w:val="auto"/>
          <w:lang w:val="en-US" w:eastAsia="zh-CN"/>
        </w:rPr>
        <w:t>5、合同签订时间：中标通知书发出后，原则上不超过十个工作日，如有特殊原因最迟不超过三十日。</w:t>
      </w:r>
    </w:p>
    <w:p>
      <w:pPr>
        <w:numPr>
          <w:ilvl w:val="0"/>
          <w:numId w:val="0"/>
        </w:numPr>
        <w:spacing w:line="480" w:lineRule="auto"/>
        <w:ind w:firstLine="480" w:firstLineChars="200"/>
        <w:rPr>
          <w:rFonts w:hint="eastAsia" w:cs="宋体"/>
          <w:color w:val="auto"/>
          <w:lang w:val="en-US" w:eastAsia="zh-CN"/>
        </w:rPr>
      </w:pPr>
      <w:r>
        <w:rPr>
          <w:rFonts w:hint="eastAsia" w:cs="宋体"/>
          <w:color w:val="auto"/>
          <w:lang w:val="en-US" w:eastAsia="zh-CN"/>
        </w:rPr>
        <w:t>6、中标供应商编制的《〈雅安市蒙顶山风景名胜区总体规划（2017—2030年）〉实施评估报告》未通过名山区人民政府组织审查的，本项目涉及的</w:t>
      </w:r>
      <w:r>
        <w:rPr>
          <w:rFonts w:hint="eastAsia" w:cs="宋体"/>
          <w:color w:val="auto"/>
          <w:highlight w:val="none"/>
          <w:lang w:val="en-US" w:eastAsia="zh-CN"/>
        </w:rPr>
        <w:t>《雅安市蒙顶山风景名胜区总体规划（2023—2035年）》、《雅安市蒙顶山风景名胜区蒙顶重点地段详细规划（2023年）》服务内容均不再实施；采购人按照中标供应商所报的</w:t>
      </w:r>
      <w:r>
        <w:rPr>
          <w:rFonts w:hint="eastAsia" w:cs="宋体"/>
          <w:color w:val="auto"/>
          <w:lang w:val="en-US" w:eastAsia="zh-CN"/>
        </w:rPr>
        <w:t>《〈雅安市蒙顶山风景名胜区总体规划（2017—2030年）〉实施评估报告》的价格结算相关费用，若采购人前期支付的费用超出中标供应商所报《〈雅安市蒙顶山风景名胜区总体规划（2017—2030年）〉实施评估报告》的费用，中标供应商应按照采购人指定的账户退回相关超出费用。</w:t>
      </w:r>
    </w:p>
    <w:p>
      <w:pPr>
        <w:numPr>
          <w:ilvl w:val="0"/>
          <w:numId w:val="0"/>
        </w:numPr>
        <w:spacing w:line="480" w:lineRule="auto"/>
        <w:ind w:firstLine="480" w:firstLineChars="200"/>
        <w:rPr>
          <w:rFonts w:hint="eastAsia" w:cs="宋体"/>
          <w:color w:val="auto"/>
          <w:lang w:val="zh-CN"/>
        </w:rPr>
      </w:pPr>
      <w:r>
        <w:rPr>
          <w:rFonts w:hint="eastAsia" w:cs="宋体"/>
          <w:color w:val="auto"/>
          <w:lang w:val="en-US" w:eastAsia="zh-CN"/>
        </w:rPr>
        <w:t>7、</w:t>
      </w:r>
      <w:r>
        <w:rPr>
          <w:rFonts w:hint="eastAsia" w:cs="宋体"/>
          <w:color w:val="auto"/>
          <w:lang w:val="zh-CN"/>
        </w:rPr>
        <w:t>本项目所涉及的服务成果知识产权归</w:t>
      </w:r>
      <w:r>
        <w:rPr>
          <w:rFonts w:hint="eastAsia" w:cs="宋体"/>
          <w:color w:val="auto"/>
        </w:rPr>
        <w:t>采购人</w:t>
      </w:r>
      <w:r>
        <w:rPr>
          <w:rFonts w:hint="eastAsia" w:cs="宋体"/>
          <w:color w:val="auto"/>
          <w:lang w:val="zh-CN"/>
        </w:rPr>
        <w:t>所有，未经采购人同意不得对外提供。</w:t>
      </w:r>
    </w:p>
    <w:p>
      <w:pPr>
        <w:pStyle w:val="10"/>
        <w:spacing w:line="360" w:lineRule="auto"/>
        <w:ind w:firstLine="480" w:firstLineChars="200"/>
        <w:rPr>
          <w:rFonts w:hint="default" w:cs="宋体"/>
          <w:color w:val="auto"/>
          <w:lang w:val="en-US" w:eastAsia="zh-CN"/>
        </w:rPr>
      </w:pPr>
      <w:r>
        <w:rPr>
          <w:rFonts w:hint="eastAsia" w:ascii="宋体" w:hAnsi="宋体" w:eastAsia="宋体" w:cs="宋体"/>
          <w:color w:val="auto"/>
          <w:kern w:val="2"/>
          <w:sz w:val="24"/>
          <w:szCs w:val="24"/>
          <w:lang w:val="en-US" w:eastAsia="zh-CN" w:bidi="ar-SA"/>
        </w:rPr>
        <w:t>8、</w:t>
      </w:r>
      <w:r>
        <w:rPr>
          <w:rFonts w:hint="eastAsia"/>
          <w:color w:val="auto"/>
          <w:sz w:val="24"/>
          <w:szCs w:val="24"/>
          <w:lang w:val="en-US" w:bidi="ar-SA"/>
        </w:rPr>
        <w:t>采购人所提供的资料及本项目合同执行过程中接触或产生的资料负有保密义务，未经采购人书面许可，中标供应商不得向任何第三方披露。如因中标供应商原因造成发生任何有损于其保密性的事情，中标供应商有责任采取补救措施，且须向采购人赔偿</w:t>
      </w:r>
      <w:r>
        <w:rPr>
          <w:rFonts w:hint="eastAsia"/>
          <w:color w:val="auto"/>
          <w:sz w:val="24"/>
          <w:szCs w:val="24"/>
          <w:lang w:val="en-US" w:eastAsia="zh-CN" w:bidi="ar-SA"/>
        </w:rPr>
        <w:t>实际</w:t>
      </w:r>
      <w:r>
        <w:rPr>
          <w:rFonts w:hint="eastAsia"/>
          <w:color w:val="auto"/>
          <w:sz w:val="24"/>
          <w:szCs w:val="24"/>
          <w:lang w:val="en-US" w:bidi="ar-SA"/>
        </w:rPr>
        <w:t>损失。</w:t>
      </w:r>
    </w:p>
    <w:p>
      <w:pPr>
        <w:spacing w:line="480" w:lineRule="auto"/>
        <w:ind w:firstLine="480" w:firstLineChars="200"/>
        <w:rPr>
          <w:rFonts w:hint="eastAsia" w:eastAsia="宋体" w:cs="宋体"/>
          <w:color w:val="auto"/>
          <w:lang w:eastAsia="zh-CN"/>
        </w:rPr>
      </w:pPr>
      <w:r>
        <w:rPr>
          <w:rFonts w:hint="eastAsia" w:cs="宋体"/>
          <w:color w:val="auto"/>
          <w:lang w:val="en-US" w:eastAsia="zh-CN"/>
        </w:rPr>
        <w:t>9、</w:t>
      </w:r>
      <w:r>
        <w:rPr>
          <w:rFonts w:hint="eastAsia" w:cs="宋体"/>
          <w:color w:val="auto"/>
        </w:rPr>
        <w:t>在实施本项目期间若因</w:t>
      </w:r>
      <w:r>
        <w:rPr>
          <w:rFonts w:hint="eastAsia" w:cs="宋体"/>
          <w:color w:val="auto"/>
          <w:lang w:val="en-US" w:eastAsia="zh-CN"/>
        </w:rPr>
        <w:t>中标供应商</w:t>
      </w:r>
      <w:r>
        <w:rPr>
          <w:rFonts w:hint="eastAsia" w:cs="宋体"/>
          <w:color w:val="auto"/>
        </w:rPr>
        <w:t>自身导致发生的安全事故，由</w:t>
      </w:r>
      <w:r>
        <w:rPr>
          <w:rFonts w:hint="eastAsia" w:cs="宋体"/>
          <w:color w:val="auto"/>
          <w:lang w:val="en-US" w:eastAsia="zh-CN"/>
        </w:rPr>
        <w:t>中标供应商</w:t>
      </w:r>
      <w:r>
        <w:rPr>
          <w:rFonts w:hint="eastAsia" w:cs="宋体"/>
          <w:color w:val="auto"/>
        </w:rPr>
        <w:t>自行承担</w:t>
      </w:r>
      <w:r>
        <w:rPr>
          <w:rFonts w:hint="eastAsia" w:cs="宋体"/>
          <w:color w:val="auto"/>
          <w:lang w:eastAsia="zh-CN"/>
        </w:rPr>
        <w:t>。</w:t>
      </w:r>
    </w:p>
    <w:p>
      <w:pPr>
        <w:spacing w:line="480" w:lineRule="auto"/>
        <w:ind w:firstLine="480" w:firstLineChars="200"/>
        <w:rPr>
          <w:rFonts w:hint="eastAsia" w:ascii="宋体" w:hAnsi="宋体" w:cs="宋体"/>
          <w:color w:val="auto"/>
          <w:sz w:val="24"/>
        </w:rPr>
      </w:pPr>
      <w:r>
        <w:rPr>
          <w:rFonts w:hint="eastAsia" w:cs="宋体"/>
          <w:color w:val="auto"/>
          <w:sz w:val="24"/>
          <w:lang w:val="en-US" w:eastAsia="zh-CN"/>
        </w:rPr>
        <w:t>10</w:t>
      </w:r>
      <w:r>
        <w:rPr>
          <w:rFonts w:hint="eastAsia" w:ascii="宋体" w:hAnsi="宋体" w:cs="宋体"/>
          <w:color w:val="auto"/>
          <w:sz w:val="24"/>
        </w:rPr>
        <w:t>、</w:t>
      </w:r>
      <w:r>
        <w:rPr>
          <w:rFonts w:hint="eastAsia" w:ascii="宋体" w:hAnsi="宋体" w:cs="宋体"/>
          <w:color w:val="auto"/>
          <w:sz w:val="24"/>
          <w:lang w:val="zh-CN"/>
        </w:rPr>
        <w:t>其他未尽事宜由双方共同协商在合同中约定。</w:t>
      </w:r>
    </w:p>
    <w:p>
      <w:pPr>
        <w:pStyle w:val="2"/>
        <w:spacing w:line="480" w:lineRule="auto"/>
        <w:rPr>
          <w:rFonts w:hint="eastAsia"/>
          <w:b/>
          <w:bCs/>
          <w:color w:val="auto"/>
          <w:sz w:val="24"/>
          <w:szCs w:val="24"/>
          <w:lang w:val="en-US" w:eastAsia="zh-CN"/>
        </w:rPr>
      </w:pPr>
    </w:p>
    <w:p>
      <w:pPr>
        <w:pStyle w:val="2"/>
        <w:spacing w:line="480" w:lineRule="auto"/>
        <w:rPr>
          <w:rFonts w:hint="eastAsia"/>
          <w:b/>
          <w:bCs/>
          <w:color w:val="auto"/>
          <w:sz w:val="24"/>
          <w:szCs w:val="24"/>
          <w:lang w:val="en-US" w:eastAsia="zh-CN"/>
        </w:rPr>
      </w:pPr>
      <w:r>
        <w:rPr>
          <w:rFonts w:hint="eastAsia"/>
          <w:b/>
          <w:bCs/>
          <w:color w:val="auto"/>
          <w:sz w:val="24"/>
          <w:szCs w:val="24"/>
          <w:lang w:val="en-US" w:eastAsia="zh-CN"/>
        </w:rPr>
        <w:t>七、履约能力要求（评审因素，按照评分标准细则进行得分或者扣分。）</w:t>
      </w:r>
    </w:p>
    <w:p>
      <w:pPr>
        <w:pStyle w:val="3"/>
        <w:adjustRightInd/>
        <w:snapToGrid/>
        <w:spacing w:line="480" w:lineRule="auto"/>
        <w:ind w:left="0" w:leftChars="0" w:firstLine="480" w:firstLineChars="2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1、投标人针对本项目提供的项目服务方案包括但不限于：①对本项目现况及目标任务的理解；②项目重、难点分析及解决方案；③工作思路；④工作流程；⑤项目管理机构图；</w:t>
      </w:r>
      <w:r>
        <w:rPr>
          <w:rFonts w:hint="eastAsia" w:ascii="宋体" w:hAnsi="宋体" w:eastAsia="宋体" w:cs="宋体"/>
          <w:color w:val="auto"/>
          <w:kern w:val="2"/>
          <w:sz w:val="24"/>
          <w:szCs w:val="24"/>
          <w:lang w:val="en-US" w:eastAsia="zh-CN"/>
        </w:rPr>
        <w:t>⑥</w:t>
      </w:r>
      <w:r>
        <w:rPr>
          <w:rFonts w:hint="eastAsia" w:ascii="宋体" w:hAnsi="宋体" w:eastAsia="宋体" w:cs="宋体"/>
          <w:color w:val="auto"/>
          <w:sz w:val="24"/>
          <w:szCs w:val="24"/>
          <w:lang w:val="en-US" w:eastAsia="zh-CN"/>
        </w:rPr>
        <w:t>人员配置</w:t>
      </w:r>
      <w:r>
        <w:rPr>
          <w:rFonts w:hint="eastAsia" w:cs="宋体"/>
          <w:color w:val="auto"/>
          <w:sz w:val="24"/>
          <w:szCs w:val="24"/>
          <w:lang w:val="en-US" w:eastAsia="zh-CN"/>
        </w:rPr>
        <w:t>的</w:t>
      </w:r>
      <w:r>
        <w:rPr>
          <w:rFonts w:hint="eastAsia" w:ascii="宋体" w:hAnsi="宋体" w:eastAsia="宋体" w:cs="宋体"/>
          <w:color w:val="auto"/>
          <w:sz w:val="24"/>
          <w:szCs w:val="24"/>
          <w:lang w:val="en-US" w:eastAsia="zh-CN"/>
        </w:rPr>
        <w:t>具体工作内容；</w:t>
      </w:r>
      <w:r>
        <w:rPr>
          <w:rFonts w:hint="eastAsia" w:ascii="宋体" w:hAnsi="宋体" w:eastAsia="宋体" w:cs="宋体"/>
          <w:bCs/>
          <w:color w:val="auto"/>
          <w:kern w:val="2"/>
          <w:sz w:val="24"/>
          <w:szCs w:val="24"/>
          <w:lang w:val="en-US" w:eastAsia="zh-CN" w:bidi="ar-SA"/>
        </w:rPr>
        <w:t>⑦进度计划安排；⑧技术路线、技术流程。</w:t>
      </w:r>
    </w:p>
    <w:p>
      <w:pPr>
        <w:pStyle w:val="3"/>
        <w:adjustRightInd/>
        <w:snapToGrid/>
        <w:spacing w:line="480" w:lineRule="auto"/>
        <w:ind w:left="0" w:leftChars="0" w:firstLine="480" w:firstLineChars="2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2、投标人针对本项目提供的项目保障措施包括但不限于：①进度保证措施；②质量保障措施；③技术保障措施；④后勤保障措施；⑤项目日常管理制度和考核办法；⑥突发情况预估以及对应解决措施。</w:t>
      </w:r>
    </w:p>
    <w:p>
      <w:pPr>
        <w:pStyle w:val="3"/>
        <w:adjustRightInd/>
        <w:snapToGrid/>
        <w:spacing w:line="480" w:lineRule="auto"/>
        <w:ind w:left="0" w:leftChars="0" w:firstLine="480" w:firstLineChars="2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3、投标人针对本项目提供的后续服务方案包括但不限于：①后续技术力量支撑方案；②后续服务人员配备及工作安排；③后续服务承诺及范围；④成果提交及修改预估方案。</w:t>
      </w:r>
    </w:p>
    <w:p>
      <w:pPr>
        <w:pStyle w:val="3"/>
        <w:adjustRightInd/>
        <w:snapToGrid/>
        <w:spacing w:line="480" w:lineRule="auto"/>
        <w:ind w:left="0" w:leftChars="0" w:firstLine="480" w:firstLineChars="20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4、</w:t>
      </w:r>
      <w:r>
        <w:rPr>
          <w:rFonts w:hint="eastAsia" w:ascii="宋体" w:cs="宋体"/>
          <w:b w:val="0"/>
          <w:color w:val="auto"/>
          <w:kern w:val="2"/>
          <w:sz w:val="24"/>
          <w:szCs w:val="24"/>
          <w:lang w:val="en-US" w:eastAsia="zh-CN" w:bidi="zh-CN"/>
        </w:rPr>
        <w:t>投标人</w:t>
      </w:r>
      <w:r>
        <w:rPr>
          <w:rFonts w:hint="eastAsia" w:ascii="宋体" w:hAnsi="宋体" w:eastAsia="宋体" w:cs="宋体"/>
          <w:b w:val="0"/>
          <w:color w:val="auto"/>
          <w:kern w:val="2"/>
          <w:sz w:val="24"/>
          <w:szCs w:val="24"/>
          <w:lang w:val="en-US" w:eastAsia="zh-CN" w:bidi="zh-CN"/>
        </w:rPr>
        <w:t>针对本项目提供团队人员配置的相关证明材料。</w:t>
      </w:r>
    </w:p>
    <w:p>
      <w:pPr>
        <w:pStyle w:val="3"/>
        <w:adjustRightInd/>
        <w:snapToGrid/>
        <w:spacing w:line="480" w:lineRule="auto"/>
        <w:ind w:firstLine="480"/>
        <w:jc w:val="both"/>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5、</w:t>
      </w:r>
      <w:r>
        <w:rPr>
          <w:rFonts w:hint="eastAsia" w:ascii="宋体" w:cs="宋体"/>
          <w:b w:val="0"/>
          <w:color w:val="auto"/>
          <w:kern w:val="2"/>
          <w:sz w:val="24"/>
          <w:szCs w:val="24"/>
          <w:lang w:val="en-US" w:eastAsia="zh-CN" w:bidi="zh-CN"/>
        </w:rPr>
        <w:t>投标人</w:t>
      </w:r>
      <w:r>
        <w:rPr>
          <w:rFonts w:hint="eastAsia" w:ascii="宋体" w:hAnsi="宋体" w:eastAsia="宋体" w:cs="宋体"/>
          <w:bCs/>
          <w:color w:val="auto"/>
          <w:kern w:val="2"/>
          <w:sz w:val="24"/>
          <w:szCs w:val="24"/>
          <w:lang w:val="en-US" w:eastAsia="zh-CN" w:bidi="ar-SA"/>
        </w:rPr>
        <w:t>提供类似履约经验的相关证明材料。</w:t>
      </w:r>
    </w:p>
    <w:p>
      <w:pPr>
        <w:pStyle w:val="2"/>
        <w:spacing w:line="480" w:lineRule="auto"/>
        <w:rPr>
          <w:rFonts w:hint="eastAsia"/>
          <w:b/>
          <w:bCs/>
          <w:color w:val="auto"/>
          <w:sz w:val="24"/>
          <w:szCs w:val="24"/>
          <w:lang w:val="en-US" w:eastAsia="zh-CN"/>
        </w:rPr>
      </w:pPr>
      <w:r>
        <w:rPr>
          <w:rFonts w:hint="eastAsia"/>
          <w:b/>
          <w:bCs/>
          <w:color w:val="auto"/>
          <w:sz w:val="24"/>
          <w:szCs w:val="24"/>
          <w:lang w:val="en-US" w:eastAsia="zh-CN"/>
        </w:rPr>
        <w:t>八、履约验收（实质性要求）</w:t>
      </w:r>
    </w:p>
    <w:bookmarkEnd w:id="0"/>
    <w:bookmarkEnd w:id="1"/>
    <w:bookmarkEnd w:id="2"/>
    <w:bookmarkEnd w:id="3"/>
    <w:bookmarkEnd w:id="4"/>
    <w:bookmarkEnd w:id="5"/>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1、验收组织方式：自行验收。</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2、是否邀请本项目的其他供应商：否。</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3、是否邀请专家：</w:t>
      </w:r>
      <w:r>
        <w:rPr>
          <w:rFonts w:hint="eastAsia" w:cs="宋体"/>
          <w:color w:val="auto"/>
          <w:sz w:val="24"/>
          <w:szCs w:val="24"/>
          <w:lang w:val="en-US" w:eastAsia="zh-CN"/>
        </w:rPr>
        <w:t>是</w:t>
      </w:r>
      <w:r>
        <w:rPr>
          <w:rFonts w:hint="eastAsia" w:ascii="宋体" w:hAnsi="宋体" w:eastAsia="宋体" w:cs="宋体"/>
          <w:color w:val="auto"/>
          <w:sz w:val="24"/>
          <w:szCs w:val="24"/>
          <w:lang w:val="en-US" w:eastAsia="zh-CN"/>
        </w:rPr>
        <w:t>。</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4、是否邀请服务对象：是。</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5、是否邀请第三方检测机构：否。</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6、履约验收程序：</w:t>
      </w:r>
      <w:r>
        <w:rPr>
          <w:rFonts w:hint="eastAsia" w:cs="宋体"/>
          <w:color w:val="auto"/>
          <w:sz w:val="24"/>
          <w:szCs w:val="24"/>
          <w:lang w:val="en-US" w:eastAsia="zh-CN"/>
        </w:rPr>
        <w:t>一次性</w:t>
      </w:r>
      <w:r>
        <w:rPr>
          <w:rFonts w:hint="eastAsia" w:ascii="宋体" w:hAnsi="宋体" w:eastAsia="宋体" w:cs="宋体"/>
          <w:color w:val="auto"/>
          <w:sz w:val="24"/>
          <w:szCs w:val="24"/>
          <w:lang w:val="en-US" w:eastAsia="zh-CN"/>
        </w:rPr>
        <w:t>验收。</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r>
        <w:rPr>
          <w:rFonts w:hint="eastAsia" w:cs="宋体"/>
          <w:color w:val="auto"/>
          <w:sz w:val="24"/>
          <w:szCs w:val="24"/>
          <w:lang w:val="en-US" w:eastAsia="zh-CN"/>
        </w:rPr>
        <w:t>在中标</w:t>
      </w:r>
      <w:r>
        <w:rPr>
          <w:rFonts w:hint="eastAsia" w:ascii="宋体" w:hAnsi="宋体" w:eastAsia="宋体" w:cs="宋体"/>
          <w:color w:val="auto"/>
          <w:sz w:val="24"/>
          <w:szCs w:val="24"/>
          <w:lang w:val="en-US" w:eastAsia="zh-CN"/>
        </w:rPr>
        <w:t>供应商通知履约完成后</w:t>
      </w:r>
      <w:r>
        <w:rPr>
          <w:rFonts w:hint="eastAsia" w:cs="宋体"/>
          <w:color w:val="auto"/>
          <w:sz w:val="24"/>
          <w:szCs w:val="24"/>
          <w:lang w:val="en-US" w:eastAsia="zh-CN"/>
        </w:rPr>
        <w:t>10</w:t>
      </w:r>
      <w:r>
        <w:rPr>
          <w:rFonts w:hint="eastAsia" w:ascii="宋体" w:hAnsi="宋体" w:eastAsia="宋体" w:cs="宋体"/>
          <w:color w:val="auto"/>
          <w:sz w:val="24"/>
          <w:szCs w:val="24"/>
          <w:lang w:val="en-US" w:eastAsia="zh-CN"/>
        </w:rPr>
        <w:t>日内组织验收，本项目现场验收由采购人组织，</w:t>
      </w:r>
      <w:r>
        <w:rPr>
          <w:rFonts w:hint="eastAsia" w:cs="宋体"/>
          <w:color w:val="auto"/>
          <w:sz w:val="24"/>
          <w:szCs w:val="24"/>
          <w:lang w:val="en-US" w:eastAsia="zh-CN"/>
        </w:rPr>
        <w:t>中标</w:t>
      </w:r>
      <w:r>
        <w:rPr>
          <w:rFonts w:hint="eastAsia" w:ascii="宋体" w:hAnsi="宋体" w:eastAsia="宋体" w:cs="宋体"/>
          <w:color w:val="auto"/>
          <w:sz w:val="24"/>
          <w:szCs w:val="24"/>
          <w:lang w:val="en-US" w:eastAsia="zh-CN"/>
        </w:rPr>
        <w:t>供应商配合进行。</w:t>
      </w:r>
    </w:p>
    <w:p>
      <w:pPr>
        <w:spacing w:line="48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8、按国家有关规定以及</w:t>
      </w:r>
      <w:r>
        <w:rPr>
          <w:rFonts w:hint="eastAsia" w:cs="宋体"/>
          <w:color w:val="auto"/>
          <w:sz w:val="24"/>
          <w:szCs w:val="24"/>
          <w:lang w:val="en-US" w:eastAsia="zh-CN"/>
        </w:rPr>
        <w:t>招标</w:t>
      </w:r>
      <w:r>
        <w:rPr>
          <w:rFonts w:hint="eastAsia" w:ascii="宋体" w:hAnsi="宋体" w:eastAsia="宋体" w:cs="宋体"/>
          <w:color w:val="auto"/>
          <w:sz w:val="24"/>
          <w:szCs w:val="24"/>
          <w:lang w:val="en-US" w:eastAsia="zh-CN"/>
        </w:rPr>
        <w:t>文件的质量要求和技术指标(包括每一项技术和商务要求的履约情况)、</w:t>
      </w:r>
      <w:r>
        <w:rPr>
          <w:rFonts w:hint="eastAsia" w:cs="宋体"/>
          <w:color w:val="auto"/>
          <w:sz w:val="24"/>
          <w:szCs w:val="24"/>
          <w:lang w:val="en-US" w:eastAsia="zh-CN"/>
        </w:rPr>
        <w:t>中标</w:t>
      </w:r>
      <w:r>
        <w:rPr>
          <w:rFonts w:hint="eastAsia" w:ascii="宋体" w:hAnsi="宋体" w:eastAsia="宋体" w:cs="宋体"/>
          <w:color w:val="auto"/>
          <w:sz w:val="24"/>
          <w:szCs w:val="24"/>
          <w:lang w:val="en-US" w:eastAsia="zh-CN"/>
        </w:rPr>
        <w:t>供应商的</w:t>
      </w:r>
      <w:r>
        <w:rPr>
          <w:rFonts w:hint="eastAsia" w:cs="宋体"/>
          <w:color w:val="auto"/>
          <w:sz w:val="24"/>
          <w:szCs w:val="24"/>
          <w:lang w:val="en-US" w:eastAsia="zh-CN"/>
        </w:rPr>
        <w:t>投标</w:t>
      </w:r>
      <w:r>
        <w:rPr>
          <w:rFonts w:hint="eastAsia" w:ascii="宋体" w:hAnsi="宋体" w:eastAsia="宋体" w:cs="宋体"/>
          <w:color w:val="auto"/>
          <w:sz w:val="24"/>
          <w:szCs w:val="24"/>
          <w:lang w:val="en-US" w:eastAsia="zh-CN"/>
        </w:rPr>
        <w:t>文件及承诺与本合同约定标准进行验收；双方如对质量要求和技术指标的约定标准有相互抵触或异议的事项，由采购人在</w:t>
      </w:r>
      <w:r>
        <w:rPr>
          <w:rFonts w:hint="eastAsia" w:cs="宋体"/>
          <w:color w:val="auto"/>
          <w:sz w:val="24"/>
          <w:szCs w:val="24"/>
          <w:lang w:val="en-US" w:eastAsia="zh-CN"/>
        </w:rPr>
        <w:t>招标</w:t>
      </w:r>
      <w:r>
        <w:rPr>
          <w:rFonts w:hint="eastAsia" w:ascii="宋体" w:hAnsi="宋体" w:eastAsia="宋体" w:cs="宋体"/>
          <w:color w:val="auto"/>
          <w:sz w:val="24"/>
          <w:szCs w:val="24"/>
          <w:lang w:val="en-US" w:eastAsia="zh-CN"/>
        </w:rPr>
        <w:t>文件中按质量要求和技术指标比较优胜的原则确定该项的约定标准进行验收；验收时如发现所提交的成果不符合标准及本合同规定之情形者，采购人应做出详尽的现场记录，或由双方签署备忘录，此现场记录或备忘录可用作补充、缺失和整改的有效证据，由此产生的时间延误与有关费用由</w:t>
      </w:r>
      <w:r>
        <w:rPr>
          <w:rFonts w:hint="eastAsia" w:cs="宋体"/>
          <w:color w:val="auto"/>
          <w:sz w:val="24"/>
          <w:szCs w:val="24"/>
          <w:lang w:val="en-US" w:eastAsia="zh-CN"/>
        </w:rPr>
        <w:t>中标</w:t>
      </w:r>
      <w:r>
        <w:rPr>
          <w:rFonts w:hint="eastAsia" w:ascii="宋体" w:hAnsi="宋体" w:eastAsia="宋体" w:cs="宋体"/>
          <w:color w:val="auto"/>
          <w:sz w:val="24"/>
          <w:szCs w:val="24"/>
          <w:lang w:val="en-US" w:eastAsia="zh-CN"/>
        </w:rPr>
        <w:t>供应商承担，验收期限相应顺延；如验收合格，双方签署验收报告。验收不合格且拒不整改的，将不予支付采购资金，还可能上报本项目同级财政部门按照政府采购法律法规等有关规定给予行政处罚。</w:t>
      </w:r>
    </w:p>
    <w:p>
      <w:pPr>
        <w:spacing w:line="480" w:lineRule="auto"/>
        <w:ind w:firstLine="480" w:firstLineChars="200"/>
        <w:rPr>
          <w:rFonts w:hint="eastAsia" w:cs="宋体"/>
          <w:color w:val="auto"/>
          <w:lang w:val="zh-CN" w:eastAsia="zh-CN"/>
        </w:rPr>
      </w:pPr>
      <w:r>
        <w:rPr>
          <w:rFonts w:hint="eastAsia" w:cs="宋体"/>
          <w:color w:val="auto"/>
          <w:lang w:val="en-US" w:eastAsia="zh-CN"/>
        </w:rPr>
        <w:t>9、其他未尽事宜应</w:t>
      </w:r>
      <w:r>
        <w:rPr>
          <w:rFonts w:hint="eastAsia" w:cs="宋体"/>
          <w:color w:val="auto"/>
          <w:lang w:val="zh-CN" w:eastAsia="zh-CN"/>
        </w:rPr>
        <w:t>严格按照政府采购相关法律法规以及财政部关于印发《政府采购需求管理办法》的通知（财库〔2021〕22号）、《财政部关于进一步加强政府采购需求和履约验收管理的指导意见》(财库〔2016〕205号) 和《雅安市财政局关于规范政府采购履约验收工作的通知》（雅财采〔2021〕50号）的要求进行验收。</w:t>
      </w:r>
    </w:p>
    <w:p>
      <w:pPr>
        <w:spacing w:line="360" w:lineRule="auto"/>
        <w:rPr>
          <w:rFonts w:hint="eastAsia" w:cs="宋体"/>
          <w:b/>
          <w:bCs/>
          <w:color w:val="auto"/>
          <w:lang w:val="zh-CN" w:eastAsia="zh-CN"/>
        </w:rPr>
      </w:pPr>
      <w:r>
        <w:rPr>
          <w:rFonts w:hint="eastAsia" w:cs="宋体"/>
          <w:b/>
          <w:bCs/>
          <w:color w:val="auto"/>
          <w:lang w:val="en-US" w:eastAsia="zh-CN"/>
        </w:rPr>
        <w:t>九</w:t>
      </w:r>
      <w:r>
        <w:rPr>
          <w:rFonts w:hint="eastAsia" w:cs="宋体"/>
          <w:b/>
          <w:bCs/>
          <w:color w:val="auto"/>
          <w:lang w:val="zh-CN" w:eastAsia="zh-CN"/>
        </w:rPr>
        <w:t>、违约责任</w:t>
      </w:r>
    </w:p>
    <w:p>
      <w:pPr>
        <w:spacing w:line="360" w:lineRule="auto"/>
        <w:ind w:firstLine="241" w:firstLineChars="100"/>
        <w:rPr>
          <w:rFonts w:hint="eastAsia" w:cs="宋体"/>
          <w:b/>
          <w:bCs/>
          <w:color w:val="auto"/>
          <w:lang w:val="zh-CN" w:eastAsia="zh-CN"/>
        </w:rPr>
      </w:pPr>
      <w:r>
        <w:rPr>
          <w:rFonts w:hint="eastAsia" w:cs="宋体"/>
          <w:b/>
          <w:bCs/>
          <w:color w:val="auto"/>
          <w:lang w:val="zh-CN" w:eastAsia="zh-CN"/>
        </w:rPr>
        <w:t xml:space="preserve">(一)甲方违约责任 </w:t>
      </w:r>
    </w:p>
    <w:p>
      <w:pPr>
        <w:spacing w:line="360" w:lineRule="auto"/>
        <w:ind w:firstLine="480" w:firstLineChars="200"/>
        <w:rPr>
          <w:rFonts w:hint="eastAsia" w:cs="宋体"/>
          <w:color w:val="auto"/>
          <w:lang w:val="zh-CN" w:eastAsia="zh-CN"/>
        </w:rPr>
      </w:pPr>
      <w:r>
        <w:rPr>
          <w:rFonts w:hint="eastAsia" w:cs="宋体"/>
          <w:color w:val="auto"/>
          <w:lang w:val="zh-CN" w:eastAsia="zh-CN"/>
        </w:rPr>
        <w:t>1、甲方应遵守本合同并执行合同中的各项规定，保证本合同的正常履行。</w:t>
      </w:r>
    </w:p>
    <w:p>
      <w:pPr>
        <w:spacing w:line="360" w:lineRule="auto"/>
        <w:ind w:firstLine="480" w:firstLineChars="200"/>
        <w:rPr>
          <w:rFonts w:hint="eastAsia" w:cs="宋体"/>
          <w:color w:val="auto"/>
          <w:lang w:val="zh-CN" w:eastAsia="zh-CN"/>
        </w:rPr>
      </w:pPr>
      <w:r>
        <w:rPr>
          <w:rFonts w:hint="eastAsia" w:cs="宋体"/>
          <w:color w:val="auto"/>
          <w:lang w:val="zh-CN" w:eastAsia="zh-CN"/>
        </w:rPr>
        <w:t xml:space="preserve">2、甲方逾期支付服务合同款项的，除应及时付足合同款项外，应向乙方偿付欠款总额万分之一/天的违约金；逾期付款超过九十天的，乙方有权终止合同。 </w:t>
      </w:r>
    </w:p>
    <w:p>
      <w:pPr>
        <w:spacing w:line="360" w:lineRule="auto"/>
        <w:ind w:firstLine="480" w:firstLineChars="200"/>
        <w:rPr>
          <w:rFonts w:hint="eastAsia" w:cs="宋体"/>
          <w:color w:val="auto"/>
          <w:lang w:val="zh-CN" w:eastAsia="zh-CN"/>
        </w:rPr>
      </w:pPr>
      <w:r>
        <w:rPr>
          <w:rFonts w:hint="eastAsia" w:cs="宋体"/>
          <w:color w:val="auto"/>
          <w:lang w:val="zh-CN" w:eastAsia="zh-CN"/>
        </w:rPr>
        <w:t>3、甲方偿付的违约金不足以弥补乙方损失的，还应按乙方经济损失尚未弥补的部分，支付赔偿金给乙方。</w:t>
      </w:r>
    </w:p>
    <w:p>
      <w:pPr>
        <w:spacing w:line="360" w:lineRule="auto"/>
        <w:ind w:firstLine="241" w:firstLineChars="100"/>
        <w:rPr>
          <w:rFonts w:hint="eastAsia" w:cs="宋体"/>
          <w:b/>
          <w:bCs/>
          <w:color w:val="auto"/>
          <w:lang w:val="zh-CN" w:eastAsia="zh-CN"/>
        </w:rPr>
      </w:pPr>
      <w:r>
        <w:rPr>
          <w:rFonts w:hint="eastAsia" w:cs="宋体"/>
          <w:b/>
          <w:bCs/>
          <w:color w:val="auto"/>
          <w:lang w:val="zh-CN" w:eastAsia="zh-CN"/>
        </w:rPr>
        <w:t xml:space="preserve">(二)乙方违约责任 </w:t>
      </w:r>
    </w:p>
    <w:p>
      <w:pPr>
        <w:spacing w:line="360" w:lineRule="auto"/>
        <w:ind w:firstLine="480" w:firstLineChars="200"/>
        <w:rPr>
          <w:rFonts w:hint="eastAsia" w:cs="宋体"/>
          <w:color w:val="auto"/>
          <w:lang w:val="zh-CN" w:eastAsia="zh-CN"/>
        </w:rPr>
      </w:pPr>
      <w:r>
        <w:rPr>
          <w:rFonts w:hint="eastAsia" w:cs="宋体"/>
          <w:color w:val="auto"/>
          <w:lang w:val="zh-CN" w:eastAsia="zh-CN"/>
        </w:rPr>
        <w:t xml:space="preserve">1、乙方必须遵守采购合同并执行合同中的各项规定，保证采购合同的正常履行。 </w:t>
      </w:r>
    </w:p>
    <w:p>
      <w:pPr>
        <w:spacing w:line="360" w:lineRule="auto"/>
        <w:ind w:firstLine="480" w:firstLineChars="200"/>
        <w:rPr>
          <w:rFonts w:hint="eastAsia" w:cs="宋体"/>
          <w:color w:val="auto"/>
          <w:lang w:val="zh-CN" w:eastAsia="zh-CN"/>
        </w:rPr>
      </w:pPr>
      <w:r>
        <w:rPr>
          <w:rFonts w:hint="eastAsia" w:cs="宋体"/>
          <w:color w:val="auto"/>
          <w:lang w:val="zh-CN" w:eastAsia="zh-CN"/>
        </w:rPr>
        <w:t xml:space="preserve">2、如因乙方工作人员在履行职务过程中的疏忽、失职、过错等故意或者过失原因给甲方造成损失或侵害，包括但不限于甲方本身的财产损失、由此而导致的甲方对任何第三方的法律责任等，乙方对此均应承担全部的赔偿责任。 </w:t>
      </w:r>
    </w:p>
    <w:p>
      <w:pPr>
        <w:spacing w:line="360" w:lineRule="auto"/>
        <w:ind w:firstLine="480" w:firstLineChars="200"/>
        <w:rPr>
          <w:rFonts w:hint="eastAsia" w:cs="宋体"/>
          <w:color w:val="auto"/>
          <w:lang w:val="zh-CN" w:eastAsia="zh-CN"/>
        </w:rPr>
      </w:pPr>
      <w:r>
        <w:rPr>
          <w:rFonts w:hint="eastAsia" w:cs="宋体"/>
          <w:color w:val="auto"/>
          <w:lang w:val="zh-CN" w:eastAsia="zh-CN"/>
        </w:rPr>
        <w:t xml:space="preserve">3、乙方不能按时提供服务（成果）或逾期提供的而违约的，除应及时提供服务外，应向甲方偿付逾期提供部分服务总额的万分之一/天的违约金；逾期超过15天，甲方有权终止合同，乙方则应按合同总价的百分之十的款额向甲方偿付违约金，并须全额退还甲方已经付给乙方的服务费及其利息。 </w:t>
      </w:r>
    </w:p>
    <w:p>
      <w:pPr>
        <w:spacing w:line="360" w:lineRule="auto"/>
        <w:ind w:firstLine="480" w:firstLineChars="200"/>
        <w:rPr>
          <w:rFonts w:hint="eastAsia" w:cs="宋体"/>
          <w:color w:val="auto"/>
          <w:lang w:val="zh-CN" w:eastAsia="zh-CN"/>
        </w:rPr>
      </w:pPr>
      <w:r>
        <w:rPr>
          <w:rFonts w:hint="eastAsia" w:cs="宋体"/>
          <w:color w:val="auto"/>
          <w:lang w:val="zh-CN" w:eastAsia="zh-CN"/>
        </w:rPr>
        <w:t xml:space="preserve">4、乙方在履约过程中，服务经甲方考核不合格的，甲方有权要求乙方整改，乙方三次整改仍不符合要求的，甲方有权终止合同。 </w:t>
      </w:r>
    </w:p>
    <w:p>
      <w:pPr>
        <w:spacing w:line="360" w:lineRule="auto"/>
        <w:ind w:firstLine="480" w:firstLineChars="200"/>
        <w:rPr>
          <w:rFonts w:hint="eastAsia" w:cs="宋体"/>
          <w:color w:val="auto"/>
          <w:lang w:val="zh-CN" w:eastAsia="zh-CN"/>
        </w:rPr>
      </w:pPr>
      <w:r>
        <w:rPr>
          <w:rFonts w:hint="eastAsia" w:cs="宋体"/>
          <w:color w:val="auto"/>
          <w:lang w:val="zh-CN" w:eastAsia="zh-CN"/>
        </w:rPr>
        <w:t xml:space="preserve">5、乙方应当遵守甲方的相关项目需求及相关技术要求及实质性条款，实施完成采购合同应当完全满足相关项目需求及相关技术要求及实质性条款，若乙方瑕疵履行采购合同，甲方有权向乙方要求赔偿合同总价款20%的违约金，若造成相关损失的，甲方有权要求乙方承担所有赔偿责任。 </w:t>
      </w:r>
    </w:p>
    <w:p>
      <w:pPr>
        <w:numPr>
          <w:numId w:val="0"/>
        </w:numPr>
      </w:pPr>
      <w:r>
        <w:rPr>
          <w:rFonts w:hint="eastAsia" w:cs="宋体"/>
          <w:color w:val="auto"/>
          <w:lang w:val="zh-CN" w:eastAsia="zh-CN"/>
        </w:rPr>
        <w:t>6、有下列情形之一的，当事人可以解除合同：6.1因不可抗力致使不能实现合同目的(由于非供应商或采购人原因，致使合同实质性条款无法实现的)； 6.2当事人一方迟延履行主要债务，经催告后在合理期限内仍未履行；6.3当事人一方迟延履行债务或者有其他违约行为致使不能实现合同目的；6.4法律规定的其他情形。 解决争议的方法 (一)合同履行期间,若双方发生争议，可协商或由有关部门调解解决，协商或调解不成的，按照下列方式解决(任选一项，且只能选择一项，在选定的一项前的方框内打“√”)：向□(雅安市)仲裁委员会申请仲裁；□ 向项目所在地人民法院起诉。 (二)仲裁裁决应为最终决定，并对双方具有约束力。 (三)除另有裁决外，仲裁费应由败诉方负担。(四)在仲裁期间，除正在进行仲裁部分外，合同其他部分继续执行。</w:t>
      </w:r>
      <w:bookmarkStart w:id="7" w:name="_GoBack"/>
      <w:bookmarkEnd w:id="7"/>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tabs>
          <w:tab w:val="left" w:pos="0"/>
        </w:tabs>
        <w:ind w:left="420" w:hanging="420"/>
      </w:pPr>
      <w:rPr>
        <w:rFonts w:hint="eastAsia"/>
      </w:rPr>
    </w:lvl>
    <w:lvl w:ilvl="1" w:tentative="0">
      <w:start w:val="1"/>
      <w:numFmt w:val="decimal"/>
      <w:pStyle w:val="8"/>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6688B2C5"/>
    <w:multiLevelType w:val="singleLevel"/>
    <w:tmpl w:val="6688B2C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OWE0MTk0YjdmZGY3MzU3OWM1NzhiZTM1N2Y4MjIifQ=="/>
  </w:docVars>
  <w:rsids>
    <w:rsidRoot w:val="567B359A"/>
    <w:rsid w:val="567B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99"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pPr>
    <w:rPr>
      <w:rFonts w:ascii="宋体" w:hAnsi="宋体" w:eastAsia="宋体" w:cstheme="minorBidi"/>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rPr>
      <w:rFonts w:ascii="Times New Roman"/>
    </w:rPr>
  </w:style>
  <w:style w:type="paragraph" w:styleId="3">
    <w:name w:val="Normal Indent"/>
    <w:basedOn w:val="1"/>
    <w:next w:val="4"/>
    <w:qFormat/>
    <w:uiPriority w:val="0"/>
    <w:pPr>
      <w:ind w:firstLine="420" w:firstLineChars="200"/>
    </w:pPr>
    <w:rPr>
      <w:rFonts w:ascii="Times New Roman"/>
    </w:rPr>
  </w:style>
  <w:style w:type="paragraph" w:styleId="4">
    <w:name w:val="index 7"/>
    <w:basedOn w:val="1"/>
    <w:next w:val="1"/>
    <w:semiHidden/>
    <w:qFormat/>
    <w:uiPriority w:val="99"/>
    <w:pPr>
      <w:ind w:left="1200" w:leftChars="1200"/>
    </w:pPr>
  </w:style>
  <w:style w:type="paragraph" w:customStyle="1" w:styleId="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8">
    <w:name w:val="（符号）三标题1.1"/>
    <w:basedOn w:val="1"/>
    <w:qFormat/>
    <w:uiPriority w:val="0"/>
    <w:pPr>
      <w:numPr>
        <w:ilvl w:val="1"/>
        <w:numId w:val="1"/>
      </w:numPr>
      <w:tabs>
        <w:tab w:val="clear" w:pos="0"/>
      </w:tabs>
      <w:spacing w:line="500" w:lineRule="exact"/>
    </w:pPr>
    <w:rPr>
      <w:rFonts w:hAnsi="宋体"/>
      <w:sz w:val="24"/>
      <w:szCs w:val="24"/>
    </w:rPr>
  </w:style>
  <w:style w:type="paragraph" w:customStyle="1" w:styleId="9">
    <w:name w:val="样式 首行缩进:  2 字符"/>
    <w:basedOn w:val="1"/>
    <w:qFormat/>
    <w:uiPriority w:val="0"/>
    <w:pPr>
      <w:spacing w:line="400" w:lineRule="exact"/>
      <w:ind w:firstLine="200" w:firstLineChars="200"/>
    </w:pPr>
    <w:rPr>
      <w:rFonts w:cs="宋体"/>
    </w:rPr>
  </w:style>
  <w:style w:type="paragraph" w:customStyle="1" w:styleId="10">
    <w:name w:val="Body text|1"/>
    <w:basedOn w:val="1"/>
    <w:qFormat/>
    <w:uiPriority w:val="0"/>
    <w:pPr>
      <w:spacing w:line="456" w:lineRule="auto"/>
      <w:ind w:firstLine="400"/>
    </w:pPr>
    <w:rPr>
      <w:rFonts w:ascii="宋体" w:hAnsi="宋体" w:cs="宋体"/>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320</Words>
  <Characters>346</Characters>
  <Lines>0</Lines>
  <Paragraphs>0</Paragraphs>
  <TotalTime>1</TotalTime>
  <ScaleCrop>false</ScaleCrop>
  <LinksUpToDate>false</LinksUpToDate>
  <CharactersWithSpaces>346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2023-06-19T02:59:00Z</dcterms:created>
  <dc:creator>李青</dc:creator>
  <cp:lastModifiedBy>李青</cp:lastModifiedBy>
  <dcterms:modified xsi:type="dcterms:W3CDTF">2023-06-19T03:01:21Z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E22E680F8E15412CAAF05F73354833C0_11</vt:lpwstr>
  </property>
</Properties>
</file>